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AE12D8" w14:paraId="6AED1243" w14:textId="77777777" w:rsidTr="00B23EDF">
        <w:trPr>
          <w:cantSplit/>
        </w:trPr>
        <w:tc>
          <w:tcPr>
            <w:tcW w:w="1418" w:type="dxa"/>
            <w:vAlign w:val="center"/>
          </w:tcPr>
          <w:p w14:paraId="22788538" w14:textId="77777777" w:rsidR="00B23EDF" w:rsidRPr="00AE12D8" w:rsidRDefault="00B23EDF" w:rsidP="004E12F1">
            <w:pPr>
              <w:spacing w:before="100" w:beforeAutospacing="1"/>
              <w:rPr>
                <w:rFonts w:ascii="Verdana" w:hAnsi="Verdana"/>
                <w:b/>
                <w:bCs/>
                <w:sz w:val="20"/>
              </w:rPr>
            </w:pPr>
            <w:r w:rsidRPr="00AE12D8">
              <w:rPr>
                <w:lang w:eastAsia="fr-CH"/>
              </w:rPr>
              <w:drawing>
                <wp:inline distT="0" distB="0" distL="0" distR="0" wp14:anchorId="72949AB2" wp14:editId="49FF88E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049B74D0" w14:textId="65E0EE62" w:rsidR="00B23EDF" w:rsidRPr="00AE12D8" w:rsidRDefault="00B23EDF" w:rsidP="004E12F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E12D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E12D8">
              <w:rPr>
                <w:rFonts w:ascii="Verdana" w:hAnsi="Verdana"/>
                <w:b/>
                <w:bCs/>
                <w:sz w:val="20"/>
              </w:rPr>
              <w:br/>
            </w:r>
            <w:r w:rsidRPr="00AE12D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C58EF" w:rsidRPr="00AE12D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E12D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5ADCFD44" w14:textId="77777777" w:rsidR="00B23EDF" w:rsidRPr="00AE12D8" w:rsidRDefault="00B23EDF" w:rsidP="004E12F1">
            <w:pPr>
              <w:spacing w:before="0"/>
            </w:pPr>
            <w:bookmarkStart w:id="0" w:name="ditulogo"/>
            <w:bookmarkEnd w:id="0"/>
            <w:r w:rsidRPr="00AE12D8">
              <w:rPr>
                <w:lang w:eastAsia="fr-CH"/>
              </w:rPr>
              <w:drawing>
                <wp:inline distT="0" distB="0" distL="0" distR="0" wp14:anchorId="6B34425C" wp14:editId="4EE2BCF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AE12D8" w14:paraId="12DC0874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E27825" w14:textId="77777777" w:rsidR="00587A4E" w:rsidRPr="00AE12D8" w:rsidRDefault="00587A4E" w:rsidP="004E12F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227FB2F" w14:textId="77777777" w:rsidR="00587A4E" w:rsidRPr="00AE12D8" w:rsidRDefault="00587A4E" w:rsidP="004E12F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AE12D8" w14:paraId="0D4A8027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3CFD78" w14:textId="77777777" w:rsidR="00587A4E" w:rsidRPr="00AE12D8" w:rsidRDefault="00587A4E" w:rsidP="004E12F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D4A855" w14:textId="77777777" w:rsidR="00587A4E" w:rsidRPr="00AE12D8" w:rsidRDefault="00587A4E" w:rsidP="004E12F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AE12D8" w14:paraId="14AA428B" w14:textId="77777777" w:rsidTr="00773113">
        <w:trPr>
          <w:cantSplit/>
        </w:trPr>
        <w:tc>
          <w:tcPr>
            <w:tcW w:w="6911" w:type="dxa"/>
            <w:gridSpan w:val="2"/>
          </w:tcPr>
          <w:p w14:paraId="7E22FF47" w14:textId="77777777" w:rsidR="00587A4E" w:rsidRPr="00AE12D8" w:rsidRDefault="008D6821" w:rsidP="004E12F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2D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FA83FF4" w14:textId="00F6F2C1" w:rsidR="00587A4E" w:rsidRPr="00AE12D8" w:rsidRDefault="00587A4E" w:rsidP="004E12F1">
            <w:pPr>
              <w:spacing w:before="0"/>
              <w:rPr>
                <w:rFonts w:ascii="Verdana" w:hAnsi="Verdana"/>
                <w:sz w:val="20"/>
              </w:rPr>
            </w:pPr>
            <w:r w:rsidRPr="00AE12D8">
              <w:rPr>
                <w:rFonts w:ascii="Verdana" w:hAnsi="Verdana"/>
                <w:b/>
                <w:sz w:val="20"/>
              </w:rPr>
              <w:t xml:space="preserve">Document </w:t>
            </w:r>
            <w:r w:rsidR="00CC58EF" w:rsidRPr="00AE12D8">
              <w:rPr>
                <w:rFonts w:ascii="Verdana" w:hAnsi="Verdana"/>
                <w:b/>
                <w:sz w:val="20"/>
              </w:rPr>
              <w:t>129</w:t>
            </w:r>
            <w:r w:rsidRPr="00AE12D8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AE12D8" w14:paraId="08E41967" w14:textId="77777777" w:rsidTr="00773113">
        <w:trPr>
          <w:cantSplit/>
        </w:trPr>
        <w:tc>
          <w:tcPr>
            <w:tcW w:w="6911" w:type="dxa"/>
            <w:gridSpan w:val="2"/>
          </w:tcPr>
          <w:p w14:paraId="62C78C3C" w14:textId="77777777" w:rsidR="00587A4E" w:rsidRPr="00AE12D8" w:rsidRDefault="00587A4E" w:rsidP="004E12F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C5BCD6A" w14:textId="1488003B" w:rsidR="00587A4E" w:rsidRPr="00AE12D8" w:rsidRDefault="00CC58EF" w:rsidP="004E12F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2D8">
              <w:rPr>
                <w:rFonts w:ascii="Verdana" w:hAnsi="Verdana"/>
                <w:b/>
                <w:sz w:val="20"/>
              </w:rPr>
              <w:t>29 octobre</w:t>
            </w:r>
            <w:r w:rsidR="00587A4E" w:rsidRPr="00AE12D8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AE12D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AE12D8" w14:paraId="2279F2B5" w14:textId="77777777" w:rsidTr="00773113">
        <w:trPr>
          <w:cantSplit/>
        </w:trPr>
        <w:tc>
          <w:tcPr>
            <w:tcW w:w="6911" w:type="dxa"/>
            <w:gridSpan w:val="2"/>
          </w:tcPr>
          <w:p w14:paraId="31AF393E" w14:textId="77777777" w:rsidR="00587A4E" w:rsidRPr="00AE12D8" w:rsidRDefault="00587A4E" w:rsidP="004E12F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33DB89" w14:textId="77777777" w:rsidR="00587A4E" w:rsidRPr="00AE12D8" w:rsidRDefault="00587A4E" w:rsidP="004E12F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12D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AE12D8" w14:paraId="0E4D384D" w14:textId="77777777" w:rsidTr="00773113">
        <w:trPr>
          <w:cantSplit/>
        </w:trPr>
        <w:tc>
          <w:tcPr>
            <w:tcW w:w="10031" w:type="dxa"/>
            <w:gridSpan w:val="4"/>
          </w:tcPr>
          <w:p w14:paraId="3B60DEB9" w14:textId="77777777" w:rsidR="00587A4E" w:rsidRPr="00AE12D8" w:rsidRDefault="00587A4E" w:rsidP="004E12F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AE12D8" w14:paraId="10C81064" w14:textId="77777777" w:rsidTr="00773113">
        <w:trPr>
          <w:cantSplit/>
        </w:trPr>
        <w:tc>
          <w:tcPr>
            <w:tcW w:w="10031" w:type="dxa"/>
            <w:gridSpan w:val="4"/>
          </w:tcPr>
          <w:p w14:paraId="43759453" w14:textId="7F594FEA" w:rsidR="00587A4E" w:rsidRPr="00AE12D8" w:rsidRDefault="006C031D" w:rsidP="004E12F1">
            <w:pPr>
              <w:pStyle w:val="Source"/>
            </w:pPr>
            <w:bookmarkStart w:id="2" w:name="lt_pId008"/>
            <w:bookmarkStart w:id="3" w:name="dsource" w:colFirst="0" w:colLast="0"/>
            <w:r w:rsidRPr="00AE12D8">
              <w:t>Allemagne (République fédérale d')/France/Luxembourg</w:t>
            </w:r>
            <w:bookmarkEnd w:id="2"/>
          </w:p>
        </w:tc>
      </w:tr>
      <w:tr w:rsidR="00587A4E" w:rsidRPr="00AE12D8" w14:paraId="648B4BCE" w14:textId="77777777" w:rsidTr="00773113">
        <w:trPr>
          <w:cantSplit/>
        </w:trPr>
        <w:tc>
          <w:tcPr>
            <w:tcW w:w="10031" w:type="dxa"/>
            <w:gridSpan w:val="4"/>
          </w:tcPr>
          <w:p w14:paraId="662996CE" w14:textId="21426DB6" w:rsidR="00587A4E" w:rsidRPr="00AE12D8" w:rsidRDefault="00CC58EF" w:rsidP="004E12F1">
            <w:pPr>
              <w:pStyle w:val="Title1"/>
            </w:pPr>
            <w:bookmarkStart w:id="4" w:name="dtitle1" w:colFirst="0" w:colLast="0"/>
            <w:bookmarkEnd w:id="3"/>
            <w:r w:rsidRPr="00AE12D8">
              <w:t>PROPOSITIONS POUR LES TRAVAUX DE LA CONFÉRENCE</w:t>
            </w:r>
          </w:p>
        </w:tc>
      </w:tr>
      <w:tr w:rsidR="00587A4E" w:rsidRPr="00AE12D8" w14:paraId="3423D8E0" w14:textId="77777777" w:rsidTr="00773113">
        <w:trPr>
          <w:cantSplit/>
        </w:trPr>
        <w:tc>
          <w:tcPr>
            <w:tcW w:w="10031" w:type="dxa"/>
            <w:gridSpan w:val="4"/>
          </w:tcPr>
          <w:p w14:paraId="4EE7F80D" w14:textId="77777777" w:rsidR="00587A4E" w:rsidRPr="00AE12D8" w:rsidRDefault="00587A4E" w:rsidP="004E12F1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87A4E" w:rsidRPr="00AE12D8" w14:paraId="6A48CAFE" w14:textId="77777777" w:rsidTr="00773113">
        <w:trPr>
          <w:cantSplit/>
        </w:trPr>
        <w:tc>
          <w:tcPr>
            <w:tcW w:w="10031" w:type="dxa"/>
            <w:gridSpan w:val="4"/>
          </w:tcPr>
          <w:p w14:paraId="5E43CE28" w14:textId="274FAD6D" w:rsidR="00587A4E" w:rsidRPr="00AE12D8" w:rsidRDefault="00CC58EF" w:rsidP="004E12F1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AE12D8">
              <w:rPr>
                <w:lang w:val="fr-FR"/>
              </w:rPr>
              <w:t>Point 7(A) de l'ordre du jour</w:t>
            </w:r>
          </w:p>
        </w:tc>
      </w:tr>
    </w:tbl>
    <w:bookmarkEnd w:id="6"/>
    <w:p w14:paraId="05A052C9" w14:textId="4520367B" w:rsidR="00F372DE" w:rsidRPr="00AE12D8" w:rsidRDefault="00191C24" w:rsidP="00AE12D8">
      <w:pPr>
        <w:pStyle w:val="Normalaftertitle"/>
      </w:pPr>
      <w:r w:rsidRPr="00AE12D8">
        <w:t>7</w:t>
      </w:r>
      <w:r w:rsidRPr="00AE12D8">
        <w:tab/>
        <w:t xml:space="preserve">examiner d'éventuels changements à apporter en application de la Résolution </w:t>
      </w:r>
      <w:r w:rsidRPr="00AE12D8">
        <w:rPr>
          <w:b/>
          <w:bCs/>
        </w:rPr>
        <w:t>86</w:t>
      </w:r>
      <w:r w:rsidRPr="00AE12D8">
        <w:t xml:space="preserve"> (Rév.</w:t>
      </w:r>
      <w:r w:rsidR="004E12F1" w:rsidRPr="00AE12D8">
        <w:t> </w:t>
      </w:r>
      <w:r w:rsidRPr="00AE12D8">
        <w:t xml:space="preserve">Marrakech, 2002) de la Conférence de plénipotentiaires, intitulée «Procédures de publication anticipée, de coordination, de notification et d'inscription des assignations de fréquence relatives aux réseaux à satellite», conformément à la Résolution </w:t>
      </w:r>
      <w:r w:rsidRPr="00AE12D8">
        <w:rPr>
          <w:b/>
          <w:bCs/>
        </w:rPr>
        <w:t>86 (Rév.CMR-07)</w:t>
      </w:r>
      <w:r w:rsidRPr="00AE12D8">
        <w:t>, afin de faciliter l'utilisation rationnelle, efficace et économique des fréquences radioélectriques et des orbites associées, y compris de l'orbite des satellites géostationnaires;</w:t>
      </w:r>
    </w:p>
    <w:p w14:paraId="7A3AD047" w14:textId="7239B5A4" w:rsidR="00191C24" w:rsidRPr="00AE12D8" w:rsidRDefault="00191C24" w:rsidP="004E12F1">
      <w:r w:rsidRPr="00AE12D8">
        <w:t>7(A)</w:t>
      </w:r>
      <w:r w:rsidRPr="00AE12D8">
        <w:tab/>
        <w:t>Question A – Tolérances pour certaines caractéristiques orbitales des stations spatiales non</w:t>
      </w:r>
      <w:r w:rsidR="004E12F1" w:rsidRPr="00AE12D8">
        <w:t> </w:t>
      </w:r>
      <w:r w:rsidRPr="00AE12D8">
        <w:t>OSG du SFS, du SRS ou du SMS</w:t>
      </w:r>
    </w:p>
    <w:p w14:paraId="09E21FAA" w14:textId="46C387E3" w:rsidR="00191C24" w:rsidRPr="00AE12D8" w:rsidRDefault="00191C24" w:rsidP="004E12F1">
      <w:pPr>
        <w:pStyle w:val="Heading1"/>
      </w:pPr>
      <w:r w:rsidRPr="00AE12D8">
        <w:t>1</w:t>
      </w:r>
      <w:r w:rsidRPr="00AE12D8">
        <w:tab/>
        <w:t>Introduction</w:t>
      </w:r>
    </w:p>
    <w:p w14:paraId="41B7B989" w14:textId="65FE3849" w:rsidR="006C031D" w:rsidRPr="00AE12D8" w:rsidRDefault="007D5415" w:rsidP="004E12F1">
      <w:r w:rsidRPr="00AE12D8">
        <w:t>Compte tenu</w:t>
      </w:r>
      <w:r w:rsidR="002A1ABE" w:rsidRPr="00AE12D8">
        <w:t xml:space="preserve"> des discussions sur la définition des tolérances orbitales pour les systèmes non</w:t>
      </w:r>
      <w:r w:rsidR="007F42A9" w:rsidRPr="00AE12D8">
        <w:t xml:space="preserve"> </w:t>
      </w:r>
      <w:r w:rsidR="002A1ABE" w:rsidRPr="00AE12D8">
        <w:t>OSG</w:t>
      </w:r>
      <w:r w:rsidR="00A13BA2" w:rsidRPr="00AE12D8">
        <w:t xml:space="preserve"> qui ont eu lieu pendant l'actuel cycle d'études</w:t>
      </w:r>
      <w:r w:rsidR="002A1ABE" w:rsidRPr="00AE12D8">
        <w:t xml:space="preserve">, il </w:t>
      </w:r>
      <w:r w:rsidR="00A13BA2" w:rsidRPr="00AE12D8">
        <w:t>est nécessaire</w:t>
      </w:r>
      <w:r w:rsidR="002A1ABE" w:rsidRPr="00AE12D8">
        <w:t xml:space="preserve"> de permettre </w:t>
      </w:r>
      <w:r w:rsidR="00696F53" w:rsidRPr="00AE12D8">
        <w:t>certains ajustements</w:t>
      </w:r>
      <w:r w:rsidR="002A1ABE" w:rsidRPr="00AE12D8">
        <w:t xml:space="preserve"> des paramètres orbitaux notifiés </w:t>
      </w:r>
      <w:r w:rsidR="003F572C" w:rsidRPr="00AE12D8">
        <w:t>par rapport aux pa</w:t>
      </w:r>
      <w:r w:rsidR="009B3F6A" w:rsidRPr="00AE12D8">
        <w:t>ramètres orbita</w:t>
      </w:r>
      <w:r w:rsidR="005A6B57" w:rsidRPr="00AE12D8">
        <w:t>ux opérationnels</w:t>
      </w:r>
      <w:r w:rsidR="00A13BA2" w:rsidRPr="00AE12D8">
        <w:t xml:space="preserve">, </w:t>
      </w:r>
      <w:r w:rsidR="005A6B57" w:rsidRPr="00AE12D8">
        <w:t xml:space="preserve">mais il faut </w:t>
      </w:r>
      <w:r w:rsidR="00A13BA2" w:rsidRPr="00AE12D8">
        <w:t>aussi, parallèlement,</w:t>
      </w:r>
      <w:r w:rsidR="005A6B57" w:rsidRPr="00AE12D8">
        <w:t xml:space="preserve"> </w:t>
      </w:r>
      <w:r w:rsidR="00A13BA2" w:rsidRPr="00AE12D8">
        <w:t xml:space="preserve">assurer </w:t>
      </w:r>
      <w:r w:rsidR="00013D26" w:rsidRPr="00AE12D8">
        <w:t xml:space="preserve">la viabilité à long terme des ressources </w:t>
      </w:r>
      <w:r w:rsidR="00944489" w:rsidRPr="00AE12D8">
        <w:t>que constituent les orbites de satellites non géostationnaires</w:t>
      </w:r>
      <w:r w:rsidR="00A13BA2" w:rsidRPr="00AE12D8">
        <w:t xml:space="preserve"> (non OSG)</w:t>
      </w:r>
      <w:r w:rsidR="00944489" w:rsidRPr="00AE12D8">
        <w:t xml:space="preserve">/le spectre </w:t>
      </w:r>
      <w:r w:rsidR="00A13BA2" w:rsidRPr="00AE12D8">
        <w:t xml:space="preserve">ainsi que </w:t>
      </w:r>
      <w:r w:rsidR="00013D26" w:rsidRPr="00AE12D8">
        <w:t xml:space="preserve">l'accès équitable à ces ressources. </w:t>
      </w:r>
      <w:r w:rsidR="00A13BA2" w:rsidRPr="00AE12D8">
        <w:t xml:space="preserve">Si cette </w:t>
      </w:r>
      <w:r w:rsidR="002B5C81" w:rsidRPr="00AE12D8">
        <w:t xml:space="preserve">souplesse opérationnelle est </w:t>
      </w:r>
      <w:r w:rsidR="00400E12" w:rsidRPr="00AE12D8">
        <w:t>requise</w:t>
      </w:r>
      <w:r w:rsidR="00A13BA2" w:rsidRPr="00AE12D8">
        <w:t xml:space="preserve">, c'est </w:t>
      </w:r>
      <w:r w:rsidR="00400E12" w:rsidRPr="00AE12D8">
        <w:t xml:space="preserve">principalement lorsque deux systèmes sont notifiés à la même altitude et que le système déjà déployé est un </w:t>
      </w:r>
      <w:r w:rsidR="00400E12" w:rsidRPr="00AE12D8">
        <w:rPr>
          <w:b/>
        </w:rPr>
        <w:t xml:space="preserve">système </w:t>
      </w:r>
      <w:r w:rsidRPr="00AE12D8">
        <w:rPr>
          <w:b/>
        </w:rPr>
        <w:t>non coopératif</w:t>
      </w:r>
      <w:r w:rsidRPr="00AE12D8">
        <w:t xml:space="preserve">. Dans ce contexte, un </w:t>
      </w:r>
      <w:r w:rsidRPr="00AE12D8">
        <w:rPr>
          <w:b/>
        </w:rPr>
        <w:t>système non coopératif</w:t>
      </w:r>
      <w:r w:rsidRPr="00AE12D8">
        <w:t xml:space="preserve"> </w:t>
      </w:r>
      <w:r w:rsidR="00A13BA2" w:rsidRPr="00AE12D8">
        <w:t>s'entend d'</w:t>
      </w:r>
      <w:r w:rsidRPr="00AE12D8">
        <w:t xml:space="preserve">un système </w:t>
      </w:r>
      <w:r w:rsidR="00A13BA2" w:rsidRPr="00AE12D8">
        <w:t>qui ne veut pas</w:t>
      </w:r>
      <w:r w:rsidR="00AD0BDB" w:rsidRPr="00AE12D8">
        <w:t xml:space="preserve"> accepter que certaines contraintes soient imposées à ses paramètres orbitaux op</w:t>
      </w:r>
      <w:r w:rsidR="009640BB" w:rsidRPr="00AE12D8">
        <w:t xml:space="preserve">érationnels et </w:t>
      </w:r>
      <w:r w:rsidR="00A13BA2" w:rsidRPr="00AE12D8">
        <w:t xml:space="preserve">souhaite </w:t>
      </w:r>
      <w:r w:rsidR="005F7000" w:rsidRPr="00AE12D8">
        <w:t xml:space="preserve">conserver toute la </w:t>
      </w:r>
      <w:r w:rsidR="00090279" w:rsidRPr="00AE12D8">
        <w:t>souplesse</w:t>
      </w:r>
      <w:r w:rsidR="005F7000" w:rsidRPr="00AE12D8">
        <w:t xml:space="preserve"> nécessaire</w:t>
      </w:r>
      <w:r w:rsidR="00090279" w:rsidRPr="00AE12D8">
        <w:t xml:space="preserve"> </w:t>
      </w:r>
      <w:r w:rsidR="00EB3208" w:rsidRPr="00AE12D8">
        <w:t>pour</w:t>
      </w:r>
      <w:r w:rsidR="00090279" w:rsidRPr="00AE12D8">
        <w:t xml:space="preserve"> </w:t>
      </w:r>
      <w:r w:rsidR="00A13BA2" w:rsidRPr="00AE12D8">
        <w:t>exploiter son système</w:t>
      </w:r>
      <w:r w:rsidR="00090279" w:rsidRPr="00AE12D8">
        <w:t xml:space="preserve"> </w:t>
      </w:r>
      <w:r w:rsidR="0018315D" w:rsidRPr="00AE12D8">
        <w:t>dans la plage</w:t>
      </w:r>
      <w:r w:rsidR="000A03BF" w:rsidRPr="00AE12D8">
        <w:t xml:space="preserve"> de tolérance</w:t>
      </w:r>
      <w:r w:rsidR="00A13BA2" w:rsidRPr="00AE12D8">
        <w:t>s</w:t>
      </w:r>
      <w:r w:rsidR="000A03BF" w:rsidRPr="00AE12D8">
        <w:t xml:space="preserve"> orbitale</w:t>
      </w:r>
      <w:r w:rsidR="00A13BA2" w:rsidRPr="00AE12D8">
        <w:t>s</w:t>
      </w:r>
      <w:r w:rsidR="000A03BF" w:rsidRPr="00AE12D8">
        <w:t>.</w:t>
      </w:r>
      <w:r w:rsidR="009640BB" w:rsidRPr="00AE12D8">
        <w:t xml:space="preserve"> </w:t>
      </w:r>
      <w:r w:rsidR="009F0B0C" w:rsidRPr="00AE12D8">
        <w:t xml:space="preserve">Pour atténuer le problème de la non-sphéricité de la Terre, le terme </w:t>
      </w:r>
      <w:r w:rsidR="007F42A9" w:rsidRPr="00AE12D8">
        <w:t>«</w:t>
      </w:r>
      <w:r w:rsidR="009F0B0C" w:rsidRPr="00AE12D8">
        <w:t>altitude</w:t>
      </w:r>
      <w:r w:rsidR="007F42A9" w:rsidRPr="00AE12D8">
        <w:t>»</w:t>
      </w:r>
      <w:r w:rsidR="00A13BA2" w:rsidRPr="00AE12D8">
        <w:t xml:space="preserve">, dans la présente contribution, </w:t>
      </w:r>
      <w:r w:rsidR="009F0B0C" w:rsidRPr="00AE12D8">
        <w:t>s'entend de la distance entre le centre de la Terre et le satellite non OSG.</w:t>
      </w:r>
    </w:p>
    <w:p w14:paraId="72D7A5E6" w14:textId="33E6A6A7" w:rsidR="00191C24" w:rsidRPr="00AE12D8" w:rsidRDefault="00191C24" w:rsidP="00AE12D8">
      <w:pPr>
        <w:pStyle w:val="Heading1"/>
      </w:pPr>
      <w:r w:rsidRPr="00AE12D8">
        <w:t>2</w:t>
      </w:r>
      <w:r w:rsidRPr="00AE12D8">
        <w:tab/>
      </w:r>
      <w:r w:rsidR="00A13BA2" w:rsidRPr="00AE12D8">
        <w:t xml:space="preserve">Raisons </w:t>
      </w:r>
      <w:r w:rsidR="007060C7" w:rsidRPr="00AE12D8">
        <w:t>légitimes possibles de</w:t>
      </w:r>
      <w:r w:rsidR="00A13BA2" w:rsidRPr="00AE12D8">
        <w:t xml:space="preserve">s différences </w:t>
      </w:r>
      <w:r w:rsidR="007060C7" w:rsidRPr="00AE12D8">
        <w:t xml:space="preserve">entre les paramètres orbitaux notifiés et </w:t>
      </w:r>
      <w:r w:rsidR="00E34A97" w:rsidRPr="00AE12D8">
        <w:t xml:space="preserve">les paramètres orbitaux </w:t>
      </w:r>
      <w:r w:rsidR="007060C7" w:rsidRPr="00AE12D8">
        <w:t>opérationnels</w:t>
      </w:r>
    </w:p>
    <w:p w14:paraId="2CEB6857" w14:textId="043F8135" w:rsidR="00191C24" w:rsidRPr="00AE12D8" w:rsidRDefault="00E91069" w:rsidP="00AE12D8">
      <w:pPr>
        <w:keepNext/>
        <w:keepLines/>
      </w:pPr>
      <w:r w:rsidRPr="00AE12D8">
        <w:t xml:space="preserve">Le Groupe de travail (GT) 4A de l'UIT-R et </w:t>
      </w:r>
      <w:r w:rsidR="00A13BA2" w:rsidRPr="00AE12D8">
        <w:t xml:space="preserve">les participants à </w:t>
      </w:r>
      <w:r w:rsidRPr="00AE12D8">
        <w:t xml:space="preserve">la Réunion de préparation à la Conférence (RPC) ont </w:t>
      </w:r>
      <w:r w:rsidR="00A13BA2" w:rsidRPr="00AE12D8">
        <w:t xml:space="preserve">déterminé les raisons </w:t>
      </w:r>
      <w:r w:rsidRPr="00AE12D8">
        <w:t>légitimes possibles</w:t>
      </w:r>
      <w:r w:rsidR="00A13BA2" w:rsidRPr="00AE12D8">
        <w:t xml:space="preserve"> suivantes</w:t>
      </w:r>
      <w:r w:rsidR="00191C24" w:rsidRPr="00AE12D8">
        <w:t>:</w:t>
      </w:r>
    </w:p>
    <w:p w14:paraId="6141FC2A" w14:textId="0AECE0DC" w:rsidR="00191C24" w:rsidRPr="00AE12D8" w:rsidRDefault="00191C24" w:rsidP="00AE12D8">
      <w:pPr>
        <w:pStyle w:val="enumlev1"/>
        <w:keepNext/>
        <w:keepLines/>
      </w:pPr>
      <w:r w:rsidRPr="00AE12D8">
        <w:lastRenderedPageBreak/>
        <w:t>–</w:t>
      </w:r>
      <w:r w:rsidRPr="00AE12D8">
        <w:tab/>
      </w:r>
      <w:r w:rsidR="006B117D" w:rsidRPr="00AE12D8">
        <w:rPr>
          <w:u w:val="single"/>
        </w:rPr>
        <w:t>Optimisation des paramètres orbitaux</w:t>
      </w:r>
      <w:r w:rsidR="006B117D" w:rsidRPr="00AE12D8">
        <w:t xml:space="preserve">: </w:t>
      </w:r>
      <w:r w:rsidR="004E12F1" w:rsidRPr="00AE12D8">
        <w:t>p</w:t>
      </w:r>
      <w:r w:rsidR="00EC0AF8" w:rsidRPr="00AE12D8">
        <w:t>endant la période de coordination de sept ans, la définition du marché ciblé et le type de service proposé par le système non OSG sont souvent ajustés</w:t>
      </w:r>
      <w:r w:rsidR="0073083F" w:rsidRPr="00AE12D8">
        <w:t xml:space="preserve">, de sorte que </w:t>
      </w:r>
      <w:r w:rsidR="00EC0AF8" w:rsidRPr="00AE12D8">
        <w:t xml:space="preserve">les paramètres orbitaux opérationnels pourraient être </w:t>
      </w:r>
      <w:r w:rsidR="00B21932" w:rsidRPr="00AE12D8">
        <w:t xml:space="preserve">légèrement optimisés par rapport aux paramètres orbitaux figurant dans </w:t>
      </w:r>
      <w:r w:rsidR="00C17A2D" w:rsidRPr="00AE12D8">
        <w:t xml:space="preserve">la demande de coordination (CR/C) publiée </w:t>
      </w:r>
      <w:r w:rsidR="00104BE8" w:rsidRPr="00AE12D8">
        <w:t>il y a sept ans.</w:t>
      </w:r>
    </w:p>
    <w:p w14:paraId="1112E2B5" w14:textId="408E2ADC" w:rsidR="00191C24" w:rsidRPr="00AE12D8" w:rsidRDefault="001B25F7" w:rsidP="004E12F1">
      <w:pPr>
        <w:pStyle w:val="enumlev1"/>
      </w:pPr>
      <w:r w:rsidRPr="00AE12D8">
        <w:t>–</w:t>
      </w:r>
      <w:r w:rsidRPr="00AE12D8">
        <w:tab/>
      </w:r>
      <w:r w:rsidRPr="00AE12D8">
        <w:rPr>
          <w:u w:val="single"/>
        </w:rPr>
        <w:t>Fluctuation journalière</w:t>
      </w:r>
      <w:r w:rsidRPr="00AE12D8">
        <w:t xml:space="preserve">: </w:t>
      </w:r>
      <w:r w:rsidR="004E12F1" w:rsidRPr="00AE12D8">
        <w:t>e</w:t>
      </w:r>
      <w:r w:rsidRPr="00AE12D8">
        <w:t xml:space="preserve">n raison </w:t>
      </w:r>
      <w:r w:rsidR="00F645E8" w:rsidRPr="00AE12D8">
        <w:t xml:space="preserve">de la non-sphéricité de la Terre et </w:t>
      </w:r>
      <w:r w:rsidRPr="00AE12D8">
        <w:t>du caractère non homogène d</w:t>
      </w:r>
      <w:r w:rsidR="00F645E8" w:rsidRPr="00AE12D8">
        <w:t>e son</w:t>
      </w:r>
      <w:r w:rsidRPr="00AE12D8">
        <w:t xml:space="preserve"> champ </w:t>
      </w:r>
      <w:r w:rsidR="003453C6" w:rsidRPr="00AE12D8">
        <w:t>gravitationnel</w:t>
      </w:r>
      <w:r w:rsidR="00FE1AD1" w:rsidRPr="00AE12D8">
        <w:t xml:space="preserve">, </w:t>
      </w:r>
      <w:r w:rsidR="00067AB1" w:rsidRPr="00AE12D8">
        <w:t xml:space="preserve">la position de </w:t>
      </w:r>
      <w:r w:rsidR="003121FA" w:rsidRPr="00AE12D8">
        <w:t xml:space="preserve">chaque satellite </w:t>
      </w:r>
      <w:r w:rsidR="00067AB1" w:rsidRPr="00AE12D8">
        <w:t xml:space="preserve">non OSG </w:t>
      </w:r>
      <w:r w:rsidR="0068341A" w:rsidRPr="00AE12D8">
        <w:t>fluctue</w:t>
      </w:r>
      <w:r w:rsidR="00067AB1" w:rsidRPr="00AE12D8">
        <w:t xml:space="preserve"> de plusieurs kilomètres autour d'une altitude moyenne. </w:t>
      </w:r>
      <w:r w:rsidR="0068341A" w:rsidRPr="00AE12D8">
        <w:t xml:space="preserve">Pour une grande constellation, cette </w:t>
      </w:r>
      <w:r w:rsidR="005B40AA" w:rsidRPr="00AE12D8">
        <w:t>fluctuation</w:t>
      </w:r>
      <w:r w:rsidR="0068341A" w:rsidRPr="00AE12D8">
        <w:t xml:space="preserve"> journalière est essentiellement liée à la </w:t>
      </w:r>
      <w:r w:rsidR="00CB7738" w:rsidRPr="00AE12D8">
        <w:t xml:space="preserve">différence d'altitude </w:t>
      </w:r>
      <w:r w:rsidR="00F84912" w:rsidRPr="00AE12D8">
        <w:t xml:space="preserve">entre deux </w:t>
      </w:r>
      <w:r w:rsidR="005B64E7" w:rsidRPr="00AE12D8">
        <w:t>nappes</w:t>
      </w:r>
      <w:r w:rsidR="00C130F8" w:rsidRPr="00AE12D8">
        <w:t xml:space="preserve">, autrement dit, si votre système comporte des </w:t>
      </w:r>
      <w:r w:rsidR="005B64E7" w:rsidRPr="00AE12D8">
        <w:t>nappes</w:t>
      </w:r>
      <w:r w:rsidR="00C130F8" w:rsidRPr="00AE12D8">
        <w:t xml:space="preserve"> tous les 20 km, </w:t>
      </w:r>
      <w:r w:rsidR="0073083F" w:rsidRPr="00AE12D8">
        <w:t xml:space="preserve">chaque satellite </w:t>
      </w:r>
      <w:r w:rsidR="00B56E45" w:rsidRPr="00AE12D8">
        <w:t xml:space="preserve">de chaque </w:t>
      </w:r>
      <w:r w:rsidR="005B64E7" w:rsidRPr="00AE12D8">
        <w:t>nappe</w:t>
      </w:r>
      <w:r w:rsidR="00B56E45" w:rsidRPr="00AE12D8">
        <w:t xml:space="preserve"> doit </w:t>
      </w:r>
      <w:r w:rsidR="00DD49FF" w:rsidRPr="00AE12D8">
        <w:t xml:space="preserve">rester dans un rayon </w:t>
      </w:r>
      <w:r w:rsidR="00B85B0E" w:rsidRPr="00AE12D8">
        <w:t xml:space="preserve">maximal </w:t>
      </w:r>
      <w:r w:rsidR="00DD49FF" w:rsidRPr="00AE12D8">
        <w:t xml:space="preserve">de </w:t>
      </w:r>
      <w:r w:rsidR="00DD49FF" w:rsidRPr="00AE12D8">
        <w:rPr>
          <w:lang w:eastAsia="ru-RU"/>
        </w:rPr>
        <w:t xml:space="preserve">±10 km, pour éviter les </w:t>
      </w:r>
      <w:r w:rsidR="00B85B0E" w:rsidRPr="00AE12D8">
        <w:rPr>
          <w:lang w:eastAsia="ru-RU"/>
        </w:rPr>
        <w:t xml:space="preserve">risques de collision </w:t>
      </w:r>
      <w:r w:rsidR="00E90576" w:rsidRPr="00AE12D8">
        <w:rPr>
          <w:lang w:eastAsia="ru-RU"/>
        </w:rPr>
        <w:t xml:space="preserve">entre </w:t>
      </w:r>
      <w:r w:rsidR="00EC7188" w:rsidRPr="00AE12D8">
        <w:rPr>
          <w:lang w:eastAsia="ru-RU"/>
        </w:rPr>
        <w:t>les</w:t>
      </w:r>
      <w:r w:rsidR="00E90576" w:rsidRPr="00AE12D8">
        <w:rPr>
          <w:lang w:eastAsia="ru-RU"/>
        </w:rPr>
        <w:t xml:space="preserve"> satellites </w:t>
      </w:r>
      <w:r w:rsidR="00EC7188" w:rsidRPr="00AE12D8">
        <w:rPr>
          <w:lang w:eastAsia="ru-RU"/>
        </w:rPr>
        <w:t xml:space="preserve">que vous avez </w:t>
      </w:r>
      <w:r w:rsidR="00E90576" w:rsidRPr="00AE12D8">
        <w:rPr>
          <w:lang w:eastAsia="ru-RU"/>
        </w:rPr>
        <w:t xml:space="preserve">déployés </w:t>
      </w:r>
      <w:r w:rsidR="004F251B" w:rsidRPr="00AE12D8">
        <w:rPr>
          <w:lang w:eastAsia="ru-RU"/>
        </w:rPr>
        <w:t xml:space="preserve">dans des </w:t>
      </w:r>
      <w:r w:rsidR="005B64E7" w:rsidRPr="00AE12D8">
        <w:rPr>
          <w:lang w:eastAsia="ru-RU"/>
        </w:rPr>
        <w:t>nappes</w:t>
      </w:r>
      <w:r w:rsidR="004F251B" w:rsidRPr="00AE12D8">
        <w:rPr>
          <w:lang w:eastAsia="ru-RU"/>
        </w:rPr>
        <w:t xml:space="preserve"> différentes, comme indiqué dans la Figure 1 ci-dessous.</w:t>
      </w:r>
      <w:r w:rsidR="00323E83" w:rsidRPr="00AE12D8">
        <w:rPr>
          <w:lang w:eastAsia="ru-RU"/>
        </w:rPr>
        <w:t xml:space="preserve"> Dans la pratique, la plage d'altitude</w:t>
      </w:r>
      <w:r w:rsidR="00A31476" w:rsidRPr="00AE12D8">
        <w:rPr>
          <w:lang w:eastAsia="ru-RU"/>
        </w:rPr>
        <w:t>s</w:t>
      </w:r>
      <w:r w:rsidR="00323E83" w:rsidRPr="00AE12D8">
        <w:rPr>
          <w:lang w:eastAsia="ru-RU"/>
        </w:rPr>
        <w:t xml:space="preserve"> sera </w:t>
      </w:r>
      <w:r w:rsidR="00D00A17" w:rsidRPr="00AE12D8">
        <w:rPr>
          <w:lang w:eastAsia="ru-RU"/>
        </w:rPr>
        <w:t xml:space="preserve">inférieure à ±10 km, pour </w:t>
      </w:r>
      <w:r w:rsidR="00246123" w:rsidRPr="00AE12D8">
        <w:rPr>
          <w:lang w:eastAsia="ru-RU"/>
        </w:rPr>
        <w:t xml:space="preserve">prévoir une </w:t>
      </w:r>
      <w:r w:rsidR="00AF4D3F" w:rsidRPr="00AE12D8">
        <w:rPr>
          <w:lang w:eastAsia="ru-RU"/>
        </w:rPr>
        <w:t xml:space="preserve">marge de </w:t>
      </w:r>
      <w:r w:rsidR="00246123" w:rsidRPr="00AE12D8">
        <w:rPr>
          <w:lang w:eastAsia="ru-RU"/>
        </w:rPr>
        <w:t xml:space="preserve">sécurité supplémentaire. </w:t>
      </w:r>
      <w:r w:rsidR="00B825DC" w:rsidRPr="00AE12D8">
        <w:rPr>
          <w:lang w:eastAsia="ru-RU"/>
        </w:rPr>
        <w:t>Les analyses effectuées par le GT</w:t>
      </w:r>
      <w:r w:rsidR="004E12F1" w:rsidRPr="00AE12D8">
        <w:rPr>
          <w:lang w:eastAsia="ru-RU"/>
        </w:rPr>
        <w:t xml:space="preserve"> </w:t>
      </w:r>
      <w:r w:rsidR="00B825DC" w:rsidRPr="00AE12D8">
        <w:rPr>
          <w:lang w:eastAsia="ru-RU"/>
        </w:rPr>
        <w:t xml:space="preserve">4A montrent que les fluctuations journalières des systèmes déployés </w:t>
      </w:r>
      <w:r w:rsidR="006F49A3" w:rsidRPr="00AE12D8">
        <w:rPr>
          <w:lang w:eastAsia="ru-RU"/>
        </w:rPr>
        <w:t xml:space="preserve">sur des orbites circulaires et dans des bandes de fréquences assujetties à la Résolution </w:t>
      </w:r>
      <w:r w:rsidR="006F49A3" w:rsidRPr="00AE12D8">
        <w:rPr>
          <w:b/>
          <w:lang w:eastAsia="ru-RU"/>
        </w:rPr>
        <w:t>35 (CMR-19)</w:t>
      </w:r>
      <w:r w:rsidR="006F49A3" w:rsidRPr="00AE12D8">
        <w:rPr>
          <w:lang w:eastAsia="ru-RU"/>
        </w:rPr>
        <w:t xml:space="preserve"> sont de l'ordre de quelques kilomètres (</w:t>
      </w:r>
      <w:r w:rsidR="006018E6" w:rsidRPr="00AE12D8">
        <w:rPr>
          <w:lang w:eastAsia="ru-RU"/>
        </w:rPr>
        <w:t>moins de 20</w:t>
      </w:r>
      <w:r w:rsidR="004E12F1" w:rsidRPr="00AE12D8">
        <w:rPr>
          <w:lang w:eastAsia="ru-RU"/>
        </w:rPr>
        <w:t> </w:t>
      </w:r>
      <w:r w:rsidR="006018E6" w:rsidRPr="00AE12D8">
        <w:rPr>
          <w:lang w:eastAsia="ru-RU"/>
        </w:rPr>
        <w:t>km).</w:t>
      </w:r>
    </w:p>
    <w:p w14:paraId="340C40A4" w14:textId="1E49D59F" w:rsidR="00191C24" w:rsidRPr="00AE12D8" w:rsidRDefault="00406CD3" w:rsidP="007F42A9">
      <w:pPr>
        <w:pStyle w:val="FigureNo"/>
        <w:keepNext w:val="0"/>
        <w:keepLines w:val="0"/>
      </w:pPr>
      <w:r w:rsidRPr="00AE12D8">
        <w:t>FIGURE 1</w:t>
      </w:r>
    </w:p>
    <w:p w14:paraId="4D019469" w14:textId="2C6BC700" w:rsidR="00A44C6C" w:rsidRPr="00AE12D8" w:rsidRDefault="00A44C6C" w:rsidP="007F42A9">
      <w:pPr>
        <w:pStyle w:val="Figuretitle"/>
        <w:keepNext w:val="0"/>
        <w:keepLines w:val="0"/>
      </w:pPr>
      <w:r w:rsidRPr="00AE12D8">
        <w:t xml:space="preserve">Variation journalière de </w:t>
      </w:r>
      <w:r w:rsidR="00B85B0E" w:rsidRPr="00AE12D8">
        <w:t xml:space="preserve">différents </w:t>
      </w:r>
      <w:r w:rsidRPr="00AE12D8">
        <w:t xml:space="preserve">satellites dans deux </w:t>
      </w:r>
      <w:r w:rsidR="005B64E7" w:rsidRPr="00AE12D8">
        <w:t>nappes</w:t>
      </w:r>
    </w:p>
    <w:p w14:paraId="3AE334EA" w14:textId="43C0BFFB" w:rsidR="002F1AE9" w:rsidRPr="00AE12D8" w:rsidRDefault="002F1AE9" w:rsidP="007F42A9">
      <w:pPr>
        <w:pStyle w:val="Figure"/>
        <w:keepNext w:val="0"/>
        <w:keepLines w:val="0"/>
      </w:pPr>
      <w:r w:rsidRPr="00AE12D8">
        <w:rPr>
          <w:lang w:eastAsia="fr-CH"/>
        </w:rPr>
        <w:drawing>
          <wp:inline distT="0" distB="0" distL="0" distR="0" wp14:anchorId="5DF3CE2F" wp14:editId="6D39C9AC">
            <wp:extent cx="4350007" cy="3242536"/>
            <wp:effectExtent l="0" t="0" r="0" b="0"/>
            <wp:docPr id="1" name="Picture 1" descr="A graph of a wave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7727" cy="32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1E4A9" w14:textId="7BB8211E" w:rsidR="00B83DEB" w:rsidRPr="00AE12D8" w:rsidRDefault="00B83DEB" w:rsidP="00AE12D8">
      <w:pPr>
        <w:pStyle w:val="Figurelegend"/>
        <w:keepNext w:val="0"/>
        <w:keepLines w:val="0"/>
        <w:spacing w:before="120" w:after="120"/>
      </w:pPr>
      <w:r w:rsidRPr="00AE12D8">
        <w:rPr>
          <w:b/>
          <w:bCs/>
        </w:rPr>
        <w:t>Légende</w:t>
      </w:r>
      <w:r w:rsidRPr="00AE12D8">
        <w:t>:</w:t>
      </w:r>
    </w:p>
    <w:p w14:paraId="3949F7B9" w14:textId="0DE4EA3D" w:rsidR="00B83DEB" w:rsidRPr="00AE12D8" w:rsidRDefault="00B83DEB" w:rsidP="007F42A9">
      <w:pPr>
        <w:pStyle w:val="Figurelegend"/>
        <w:keepNext w:val="0"/>
        <w:keepLines w:val="0"/>
      </w:pPr>
      <w:r w:rsidRPr="00AE12D8">
        <w:t>Altitude (km): Altitude (km)</w:t>
      </w:r>
    </w:p>
    <w:p w14:paraId="457BD371" w14:textId="1CB24973" w:rsidR="002F1AE9" w:rsidRPr="00AE12D8" w:rsidRDefault="00B83DEB" w:rsidP="007F42A9">
      <w:pPr>
        <w:pStyle w:val="Figurelegend"/>
        <w:keepNext w:val="0"/>
        <w:keepLines w:val="0"/>
      </w:pPr>
      <w:r w:rsidRPr="00AE12D8">
        <w:t>Time: Durée</w:t>
      </w:r>
    </w:p>
    <w:p w14:paraId="2A9D1A45" w14:textId="740467B2" w:rsidR="00191C24" w:rsidRPr="00AE12D8" w:rsidRDefault="00191C24" w:rsidP="007F42A9">
      <w:pPr>
        <w:pStyle w:val="Heading1"/>
      </w:pPr>
      <w:r w:rsidRPr="00AE12D8">
        <w:t>3</w:t>
      </w:r>
      <w:r w:rsidRPr="00AE12D8">
        <w:tab/>
      </w:r>
      <w:r w:rsidR="006E3A93" w:rsidRPr="00AE12D8">
        <w:t>Écart</w:t>
      </w:r>
      <w:r w:rsidR="00A02ECF" w:rsidRPr="00AE12D8">
        <w:t xml:space="preserve"> admissible pour</w:t>
      </w:r>
      <w:r w:rsidR="00B85B0E" w:rsidRPr="00AE12D8">
        <w:t xml:space="preserve"> tenir compte de</w:t>
      </w:r>
      <w:r w:rsidR="00A02ECF" w:rsidRPr="00AE12D8">
        <w:t xml:space="preserve"> l'optimisation des paramètres orbitaux</w:t>
      </w:r>
    </w:p>
    <w:p w14:paraId="4091626E" w14:textId="2ED642E6" w:rsidR="00191C24" w:rsidRPr="00AE12D8" w:rsidRDefault="00C13B5F" w:rsidP="007F42A9">
      <w:pPr>
        <w:keepNext/>
        <w:keepLines/>
      </w:pPr>
      <w:r w:rsidRPr="00AE12D8">
        <w:t xml:space="preserve">Même si les organisations régionales ne proposent pas </w:t>
      </w:r>
      <w:r w:rsidR="00B85B0E" w:rsidRPr="00AE12D8">
        <w:t xml:space="preserve">toutes </w:t>
      </w:r>
      <w:r w:rsidRPr="00AE12D8">
        <w:t xml:space="preserve">des valeurs de tolérance orbitale analogues, </w:t>
      </w:r>
      <w:r w:rsidR="001F6654" w:rsidRPr="00AE12D8">
        <w:t xml:space="preserve">les </w:t>
      </w:r>
      <w:r w:rsidR="00F51B06" w:rsidRPr="00AE12D8">
        <w:t>participants au</w:t>
      </w:r>
      <w:r w:rsidR="001F6654" w:rsidRPr="00AE12D8">
        <w:t xml:space="preserve"> 3ème atelier </w:t>
      </w:r>
      <w:r w:rsidR="00494CFE" w:rsidRPr="00AE12D8">
        <w:t xml:space="preserve">interrégional de l'UIT </w:t>
      </w:r>
      <w:r w:rsidR="00F51B06" w:rsidRPr="00AE12D8">
        <w:t xml:space="preserve">ont souscrit à l'idée d'autoriser un </w:t>
      </w:r>
      <w:r w:rsidR="00F51B06" w:rsidRPr="00AE12D8">
        <w:lastRenderedPageBreak/>
        <w:t xml:space="preserve">écart entre l'altitude </w:t>
      </w:r>
      <w:r w:rsidR="00375108" w:rsidRPr="00AE12D8">
        <w:t>déployée et l'altitude notifiée</w:t>
      </w:r>
      <w:r w:rsidR="00B85B0E" w:rsidRPr="00AE12D8">
        <w:t xml:space="preserve">, </w:t>
      </w:r>
      <w:r w:rsidR="001B7150" w:rsidRPr="00AE12D8">
        <w:t>compris entre 50 et 100 km, lorsque l'altitude notifiée est inférieure à 2</w:t>
      </w:r>
      <w:r w:rsidR="004E12F1" w:rsidRPr="00AE12D8">
        <w:t xml:space="preserve"> </w:t>
      </w:r>
      <w:r w:rsidR="001B7150" w:rsidRPr="00AE12D8">
        <w:t xml:space="preserve">000 km. </w:t>
      </w:r>
      <w:r w:rsidR="00837D75" w:rsidRPr="00AE12D8">
        <w:t xml:space="preserve">Il </w:t>
      </w:r>
      <w:r w:rsidR="00B85B0E" w:rsidRPr="00AE12D8">
        <w:t>faudra</w:t>
      </w:r>
      <w:r w:rsidR="00837D75" w:rsidRPr="00AE12D8">
        <w:t xml:space="preserve"> poursuivre les travaux à la CMR-23 pour </w:t>
      </w:r>
      <w:r w:rsidR="00B85B0E" w:rsidRPr="00AE12D8">
        <w:t xml:space="preserve">s'entendre </w:t>
      </w:r>
      <w:r w:rsidR="00275FD8" w:rsidRPr="00AE12D8">
        <w:t xml:space="preserve">sur une ou plusieurs valeurs, mais </w:t>
      </w:r>
      <w:r w:rsidR="00B85B0E" w:rsidRPr="00AE12D8">
        <w:t xml:space="preserve">chaque organisation </w:t>
      </w:r>
      <w:r w:rsidR="00275FD8" w:rsidRPr="00AE12D8">
        <w:t>régionales</w:t>
      </w:r>
      <w:r w:rsidR="00B85B0E" w:rsidRPr="00AE12D8">
        <w:t xml:space="preserve"> est convenue </w:t>
      </w:r>
      <w:r w:rsidR="001E024D" w:rsidRPr="00AE12D8">
        <w:t xml:space="preserve">de la nécessité </w:t>
      </w:r>
      <w:r w:rsidR="001E3BDC" w:rsidRPr="00AE12D8">
        <w:t>d'optimiser les</w:t>
      </w:r>
      <w:r w:rsidR="005F0BB1" w:rsidRPr="00AE12D8">
        <w:t xml:space="preserve"> </w:t>
      </w:r>
      <w:r w:rsidR="00AA3C82" w:rsidRPr="00AE12D8">
        <w:t>paramètres orbitaux.</w:t>
      </w:r>
    </w:p>
    <w:p w14:paraId="2BC0DA14" w14:textId="32914706" w:rsidR="00191C24" w:rsidRPr="00AE12D8" w:rsidRDefault="00A83993" w:rsidP="004E12F1">
      <w:r w:rsidRPr="00AE12D8">
        <w:t xml:space="preserve">La </w:t>
      </w:r>
      <w:r w:rsidR="0041011D" w:rsidRPr="00AE12D8">
        <w:t>principale différence</w:t>
      </w:r>
      <w:r w:rsidRPr="00AE12D8">
        <w:t xml:space="preserve"> entre les propositions des organisations régionales concerne le mécanisme réglementaire associé à </w:t>
      </w:r>
      <w:r w:rsidR="006E3A93" w:rsidRPr="00AE12D8">
        <w:t>cet écart admissible</w:t>
      </w:r>
      <w:r w:rsidR="005E662A" w:rsidRPr="00AE12D8">
        <w:t xml:space="preserve"> pour</w:t>
      </w:r>
      <w:r w:rsidR="00B85B0E" w:rsidRPr="00AE12D8">
        <w:t xml:space="preserve"> tenir compte de </w:t>
      </w:r>
      <w:r w:rsidR="005E662A" w:rsidRPr="00AE12D8">
        <w:t>l'optimisation des paramètres orbitaux</w:t>
      </w:r>
      <w:r w:rsidR="00191C24" w:rsidRPr="00AE12D8">
        <w:t>:</w:t>
      </w:r>
    </w:p>
    <w:p w14:paraId="7A38A628" w14:textId="0A8FD9D9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4E12F1" w:rsidRPr="00AE12D8">
        <w:t>c</w:t>
      </w:r>
      <w:r w:rsidR="000C4F4B" w:rsidRPr="00AE12D8">
        <w:t xml:space="preserve">ertains estiment que chaque système pourrait fonctionner pendant toute sa durée de vie utile dans un rayon de ±X km par rapport à ses paramètres orbitaux notifiés (actuellement, la </w:t>
      </w:r>
      <w:r w:rsidR="00BD356F" w:rsidRPr="00AE12D8">
        <w:t xml:space="preserve">plage proposée est comprise entre 50 et 100 km), sans qu'il soit nécessaire </w:t>
      </w:r>
      <w:r w:rsidR="00691723" w:rsidRPr="00AE12D8">
        <w:t>de mettre à jour ses</w:t>
      </w:r>
      <w:r w:rsidR="00B85B0E" w:rsidRPr="00AE12D8">
        <w:t xml:space="preserve"> </w:t>
      </w:r>
      <w:r w:rsidR="00691723" w:rsidRPr="00AE12D8">
        <w:t>paramètres orbitaux notifiés (</w:t>
      </w:r>
      <w:r w:rsidR="002D1469" w:rsidRPr="00AE12D8">
        <w:t>approche en une étape)</w:t>
      </w:r>
      <w:r w:rsidR="004E12F1" w:rsidRPr="00AE12D8">
        <w:t>;</w:t>
      </w:r>
    </w:p>
    <w:p w14:paraId="6752BEFA" w14:textId="105038C2" w:rsidR="00191C24" w:rsidRPr="00AE12D8" w:rsidRDefault="002D1469" w:rsidP="004E12F1">
      <w:pPr>
        <w:pStyle w:val="enumlev1"/>
      </w:pPr>
      <w:r w:rsidRPr="00AE12D8">
        <w:t>–</w:t>
      </w:r>
      <w:r w:rsidRPr="00AE12D8">
        <w:tab/>
      </w:r>
      <w:r w:rsidR="004E12F1" w:rsidRPr="00AE12D8">
        <w:t>d</w:t>
      </w:r>
      <w:r w:rsidRPr="00AE12D8">
        <w:t xml:space="preserve">'autres considèrent que </w:t>
      </w:r>
      <w:r w:rsidR="00A62983" w:rsidRPr="00AE12D8">
        <w:t xml:space="preserve">chaque système doit sélectionner, </w:t>
      </w:r>
      <w:r w:rsidR="00226D00" w:rsidRPr="00AE12D8">
        <w:t>au stade</w:t>
      </w:r>
      <w:r w:rsidR="00A62983" w:rsidRPr="00AE12D8">
        <w:t xml:space="preserve"> de la notification, </w:t>
      </w:r>
      <w:r w:rsidR="00921981" w:rsidRPr="00AE12D8">
        <w:t xml:space="preserve">ses paramètres orbitaux </w:t>
      </w:r>
      <w:r w:rsidR="00F426E1" w:rsidRPr="00AE12D8">
        <w:t xml:space="preserve">finals </w:t>
      </w:r>
      <w:r w:rsidR="00F04424" w:rsidRPr="00AE12D8">
        <w:t>dans un rayon de</w:t>
      </w:r>
      <w:r w:rsidR="00921981" w:rsidRPr="00AE12D8">
        <w:t xml:space="preserve"> </w:t>
      </w:r>
      <w:r w:rsidR="00F04424" w:rsidRPr="00AE12D8">
        <w:t>±X km par rapport à ses paramètres orbitaux</w:t>
      </w:r>
      <w:r w:rsidR="00B85B0E" w:rsidRPr="00AE12D8">
        <w:t xml:space="preserve"> figurant</w:t>
      </w:r>
      <w:r w:rsidR="00F04424" w:rsidRPr="00AE12D8">
        <w:t xml:space="preserve"> dans la </w:t>
      </w:r>
      <w:r w:rsidR="00B85B0E" w:rsidRPr="00AE12D8">
        <w:t xml:space="preserve">demande </w:t>
      </w:r>
      <w:r w:rsidR="00F04424" w:rsidRPr="00AE12D8">
        <w:t>CR/C (</w:t>
      </w:r>
      <w:r w:rsidR="0052279C" w:rsidRPr="00AE12D8">
        <w:t>actuellement, la plage proposée est comprise entre</w:t>
      </w:r>
      <w:r w:rsidR="0028629C" w:rsidRPr="00AE12D8">
        <w:t> </w:t>
      </w:r>
      <w:r w:rsidR="0052279C" w:rsidRPr="00AE12D8">
        <w:t>50</w:t>
      </w:r>
      <w:r w:rsidR="0028629C" w:rsidRPr="00AE12D8">
        <w:t> </w:t>
      </w:r>
      <w:r w:rsidR="0052279C" w:rsidRPr="00AE12D8">
        <w:t>et</w:t>
      </w:r>
      <w:r w:rsidR="0028629C" w:rsidRPr="00AE12D8">
        <w:t> </w:t>
      </w:r>
      <w:r w:rsidR="0052279C" w:rsidRPr="00AE12D8">
        <w:t xml:space="preserve">100 km) </w:t>
      </w:r>
      <w:r w:rsidR="00E30AAC" w:rsidRPr="00AE12D8">
        <w:t xml:space="preserve">et fonctionner à l'intérieur d'une plage réduite, </w:t>
      </w:r>
      <w:r w:rsidR="00E83388" w:rsidRPr="00AE12D8">
        <w:t>pour tenir compte des fluctuations journalières (approche en deux étapes).</w:t>
      </w:r>
    </w:p>
    <w:p w14:paraId="1CE4F627" w14:textId="2190391C" w:rsidR="00191C24" w:rsidRPr="00AE12D8" w:rsidRDefault="00191C24" w:rsidP="004E12F1">
      <w:pPr>
        <w:pStyle w:val="Heading1"/>
      </w:pPr>
      <w:r w:rsidRPr="00AE12D8">
        <w:t>4</w:t>
      </w:r>
      <w:r w:rsidRPr="00AE12D8">
        <w:tab/>
      </w:r>
      <w:r w:rsidR="00B85B0E" w:rsidRPr="00AE12D8">
        <w:t xml:space="preserve">Approche </w:t>
      </w:r>
      <w:r w:rsidR="00E120BF" w:rsidRPr="00AE12D8">
        <w:t>en une étape</w:t>
      </w:r>
      <w:r w:rsidR="00B85B0E" w:rsidRPr="00AE12D8">
        <w:t>/</w:t>
      </w:r>
      <w:r w:rsidR="00E120BF" w:rsidRPr="00AE12D8">
        <w:t>approche en</w:t>
      </w:r>
      <w:r w:rsidR="000A7070" w:rsidRPr="00AE12D8">
        <w:t xml:space="preserve"> deux étapes</w:t>
      </w:r>
    </w:p>
    <w:p w14:paraId="058589EE" w14:textId="70D6B8BF" w:rsidR="00191C24" w:rsidRPr="00AE12D8" w:rsidRDefault="006D02FF" w:rsidP="004E12F1">
      <w:r w:rsidRPr="00AE12D8">
        <w:t xml:space="preserve">Pour comparer les avantages et les inconvénients des deux approches, </w:t>
      </w:r>
      <w:r w:rsidR="00F96DF2" w:rsidRPr="00AE12D8">
        <w:t xml:space="preserve">nous proposons d'utiliser </w:t>
      </w:r>
      <w:r w:rsidR="00FC415A" w:rsidRPr="00AE12D8">
        <w:t>une analogie</w:t>
      </w:r>
      <w:r w:rsidR="00B85B0E" w:rsidRPr="00AE12D8">
        <w:t>, en prenant l'exemple</w:t>
      </w:r>
      <w:r w:rsidR="00BB098C" w:rsidRPr="00AE12D8">
        <w:t xml:space="preserve"> </w:t>
      </w:r>
      <w:r w:rsidR="00B85B0E" w:rsidRPr="00AE12D8">
        <w:t xml:space="preserve">de </w:t>
      </w:r>
      <w:r w:rsidR="00BB098C" w:rsidRPr="00AE12D8">
        <w:t xml:space="preserve">voitures </w:t>
      </w:r>
      <w:r w:rsidR="00B85B0E" w:rsidRPr="00AE12D8">
        <w:t xml:space="preserve">qui </w:t>
      </w:r>
      <w:r w:rsidR="00BB098C" w:rsidRPr="00AE12D8">
        <w:t>se déplacent</w:t>
      </w:r>
      <w:r w:rsidR="00FC415A" w:rsidRPr="00AE12D8">
        <w:t xml:space="preserve"> sur une </w:t>
      </w:r>
      <w:r w:rsidR="00A95871" w:rsidRPr="00AE12D8">
        <w:t>autoroute</w:t>
      </w:r>
      <w:r w:rsidR="00FC415A" w:rsidRPr="00AE12D8">
        <w:t>.</w:t>
      </w:r>
    </w:p>
    <w:p w14:paraId="14E5275D" w14:textId="73D5B1BE" w:rsidR="00191C24" w:rsidRPr="00AE12D8" w:rsidRDefault="009E6BA0" w:rsidP="004E12F1">
      <w:r w:rsidRPr="00AE12D8">
        <w:t>Hypothèses</w:t>
      </w:r>
      <w:r w:rsidR="00191C24" w:rsidRPr="00AE12D8">
        <w:t>:</w:t>
      </w:r>
    </w:p>
    <w:p w14:paraId="4692C0E5" w14:textId="09065EC0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a</w:t>
      </w:r>
      <w:r w:rsidR="00A95871" w:rsidRPr="00AE12D8">
        <w:t>utoroute</w:t>
      </w:r>
      <w:r w:rsidR="00731461" w:rsidRPr="00AE12D8">
        <w:t xml:space="preserve"> à cinq voies reliant un point A et un point B;</w:t>
      </w:r>
    </w:p>
    <w:p w14:paraId="78409D11" w14:textId="0C76C643" w:rsidR="00731461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p</w:t>
      </w:r>
      <w:r w:rsidR="00B85B0E" w:rsidRPr="00AE12D8">
        <w:t xml:space="preserve">as de </w:t>
      </w:r>
      <w:r w:rsidR="00731461" w:rsidRPr="00AE12D8">
        <w:t>limitation de vitesse;</w:t>
      </w:r>
    </w:p>
    <w:p w14:paraId="07D19A00" w14:textId="085366ED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u</w:t>
      </w:r>
      <w:r w:rsidR="00230C35" w:rsidRPr="00AE12D8">
        <w:t xml:space="preserve">ne voie est suffisamment large pour </w:t>
      </w:r>
      <w:r w:rsidR="007E6BC8" w:rsidRPr="00AE12D8">
        <w:t>qu'une voiture puisse circuler;</w:t>
      </w:r>
    </w:p>
    <w:p w14:paraId="6A5E87C1" w14:textId="659C3E10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l</w:t>
      </w:r>
      <w:r w:rsidR="007E6BC8" w:rsidRPr="00AE12D8">
        <w:t>e premier conducteur est au volant d'une Volkswagen Coccinelle (</w:t>
      </w:r>
      <w:r w:rsidR="00BA31E7" w:rsidRPr="00AE12D8">
        <w:t>puissance de</w:t>
      </w:r>
      <w:r w:rsidR="0028629C" w:rsidRPr="00AE12D8">
        <w:t> </w:t>
      </w:r>
      <w:r w:rsidR="007E6BC8" w:rsidRPr="00AE12D8">
        <w:t>50</w:t>
      </w:r>
      <w:r w:rsidR="0028629C" w:rsidRPr="00AE12D8">
        <w:t> </w:t>
      </w:r>
      <w:r w:rsidR="007E6BC8" w:rsidRPr="00AE12D8">
        <w:t xml:space="preserve">chevaux et vitesse maximale de 157 km/h) et </w:t>
      </w:r>
      <w:r w:rsidR="00B85B0E" w:rsidRPr="00AE12D8">
        <w:t xml:space="preserve">est </w:t>
      </w:r>
      <w:r w:rsidR="007E6BC8" w:rsidRPr="00AE12D8">
        <w:t xml:space="preserve">un </w:t>
      </w:r>
      <w:r w:rsidR="007E6BC8" w:rsidRPr="00AE12D8">
        <w:rPr>
          <w:b/>
        </w:rPr>
        <w:t>conducteur non coopératif</w:t>
      </w:r>
      <w:r w:rsidR="007E6BC8" w:rsidRPr="00AE12D8">
        <w:t>;</w:t>
      </w:r>
    </w:p>
    <w:p w14:paraId="6081B95F" w14:textId="43A0E410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l</w:t>
      </w:r>
      <w:r w:rsidR="007E6BC8" w:rsidRPr="00AE12D8">
        <w:t xml:space="preserve">e deuxième conducteur a pris </w:t>
      </w:r>
      <w:r w:rsidR="00A95871" w:rsidRPr="00AE12D8">
        <w:t>l'autoroute</w:t>
      </w:r>
      <w:r w:rsidR="007E6BC8" w:rsidRPr="00AE12D8">
        <w:t xml:space="preserve"> 15 minutes après le premier conducteur, et est au volant d'une Ford Mustang (</w:t>
      </w:r>
      <w:r w:rsidR="00BA31E7" w:rsidRPr="00AE12D8">
        <w:t xml:space="preserve">puissance de </w:t>
      </w:r>
      <w:r w:rsidR="0081255D" w:rsidRPr="00AE12D8">
        <w:t>450</w:t>
      </w:r>
      <w:r w:rsidR="007E6BC8" w:rsidRPr="00AE12D8">
        <w:t xml:space="preserve"> chevaux et vitesse maximale de</w:t>
      </w:r>
      <w:r w:rsidR="0028629C" w:rsidRPr="00AE12D8">
        <w:t> </w:t>
      </w:r>
      <w:r w:rsidR="0081255D" w:rsidRPr="00AE12D8">
        <w:t>249</w:t>
      </w:r>
      <w:r w:rsidR="0028629C" w:rsidRPr="00AE12D8">
        <w:t> </w:t>
      </w:r>
      <w:r w:rsidR="007E6BC8" w:rsidRPr="00AE12D8">
        <w:t>km/h);</w:t>
      </w:r>
    </w:p>
    <w:p w14:paraId="455CC67F" w14:textId="7974EF87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l</w:t>
      </w:r>
      <w:r w:rsidR="007E6BC8" w:rsidRPr="00AE12D8">
        <w:t xml:space="preserve">e troisième conducteur a pris </w:t>
      </w:r>
      <w:r w:rsidR="00A95871" w:rsidRPr="00AE12D8">
        <w:t>l'autoroute</w:t>
      </w:r>
      <w:r w:rsidR="007E6BC8" w:rsidRPr="00AE12D8">
        <w:t xml:space="preserve"> 25 minutes après le premier conducteur, et est au volant d'une Bugatti Veyron</w:t>
      </w:r>
      <w:r w:rsidR="00433896" w:rsidRPr="00AE12D8">
        <w:t xml:space="preserve"> (</w:t>
      </w:r>
      <w:r w:rsidR="00BA31E7" w:rsidRPr="00AE12D8">
        <w:t xml:space="preserve">puissance de </w:t>
      </w:r>
      <w:r w:rsidR="002F0E9C" w:rsidRPr="00AE12D8">
        <w:t>1</w:t>
      </w:r>
      <w:r w:rsidR="0028629C" w:rsidRPr="00AE12D8">
        <w:t xml:space="preserve"> </w:t>
      </w:r>
      <w:r w:rsidR="00433896" w:rsidRPr="00AE12D8">
        <w:t>200 chevaux et vitesse maximale de</w:t>
      </w:r>
      <w:r w:rsidR="0028629C" w:rsidRPr="00AE12D8">
        <w:t> </w:t>
      </w:r>
      <w:r w:rsidR="00433896" w:rsidRPr="00AE12D8">
        <w:t>431</w:t>
      </w:r>
      <w:r w:rsidR="0028629C" w:rsidRPr="00AE12D8">
        <w:t> </w:t>
      </w:r>
      <w:r w:rsidR="00433896" w:rsidRPr="00AE12D8">
        <w:t>km/h);</w:t>
      </w:r>
    </w:p>
    <w:p w14:paraId="37A48743" w14:textId="6484175B" w:rsidR="00191C24" w:rsidRPr="00AE12D8" w:rsidRDefault="00191C24" w:rsidP="004E12F1">
      <w:pPr>
        <w:pStyle w:val="enumlev1"/>
      </w:pPr>
      <w:r w:rsidRPr="00AE12D8">
        <w:t>–</w:t>
      </w:r>
      <w:r w:rsidRPr="00AE12D8">
        <w:tab/>
      </w:r>
      <w:r w:rsidR="0028629C" w:rsidRPr="00AE12D8">
        <w:t>l</w:t>
      </w:r>
      <w:r w:rsidR="008B7141" w:rsidRPr="00AE12D8">
        <w:t xml:space="preserve">es trois conducteurs </w:t>
      </w:r>
      <w:r w:rsidR="000201F9" w:rsidRPr="00AE12D8">
        <w:t>se trouvent</w:t>
      </w:r>
      <w:r w:rsidR="008B7141" w:rsidRPr="00AE12D8">
        <w:t xml:space="preserve"> au point A et </w:t>
      </w:r>
      <w:r w:rsidR="00B85B0E" w:rsidRPr="00AE12D8">
        <w:t>veulent se rendre</w:t>
      </w:r>
      <w:r w:rsidR="008B7141" w:rsidRPr="00AE12D8">
        <w:t xml:space="preserve"> au point B en empruntant </w:t>
      </w:r>
      <w:r w:rsidR="00A95871" w:rsidRPr="00AE12D8">
        <w:t>l'autoroute</w:t>
      </w:r>
      <w:r w:rsidR="008B7141" w:rsidRPr="00AE12D8">
        <w:t xml:space="preserve"> à cinq voies.</w:t>
      </w:r>
    </w:p>
    <w:p w14:paraId="024A2EA4" w14:textId="04D1AE99" w:rsidR="00E0214C" w:rsidRPr="00AE12D8" w:rsidRDefault="00B44716" w:rsidP="004E12F1">
      <w:r w:rsidRPr="00AE12D8">
        <w:t xml:space="preserve">Dans cette analogie, les cinq voies représentent </w:t>
      </w:r>
      <w:r w:rsidR="008F7AFB" w:rsidRPr="00AE12D8">
        <w:t>la plage spatiale disponible pour l'</w:t>
      </w:r>
      <w:r w:rsidR="008F7AFB" w:rsidRPr="00AE12D8">
        <w:rPr>
          <w:b/>
        </w:rPr>
        <w:t>optimisation des paramètres orbitaux</w:t>
      </w:r>
      <w:r w:rsidR="008F7AFB" w:rsidRPr="00AE12D8">
        <w:t xml:space="preserve">, une voie représente la plage spatiale disponible pour la </w:t>
      </w:r>
      <w:r w:rsidR="008F7AFB" w:rsidRPr="00AE12D8">
        <w:rPr>
          <w:b/>
        </w:rPr>
        <w:t>fluctuation journalière</w:t>
      </w:r>
      <w:r w:rsidR="008F7AFB" w:rsidRPr="00AE12D8">
        <w:t xml:space="preserve"> et la distance entre les points A et B représente la </w:t>
      </w:r>
      <w:r w:rsidR="00250A6A" w:rsidRPr="00AE12D8">
        <w:rPr>
          <w:b/>
        </w:rPr>
        <w:t>durée</w:t>
      </w:r>
      <w:r w:rsidR="008F7AFB" w:rsidRPr="00AE12D8">
        <w:rPr>
          <w:b/>
        </w:rPr>
        <w:t xml:space="preserve"> de validité</w:t>
      </w:r>
      <w:r w:rsidR="008F7AFB" w:rsidRPr="00AE12D8">
        <w:t xml:space="preserve"> de la fiche de notification du système non OSG.</w:t>
      </w:r>
    </w:p>
    <w:p w14:paraId="3A7220BA" w14:textId="57CEF8D5" w:rsidR="00E0214C" w:rsidRPr="00AE12D8" w:rsidRDefault="00F60932" w:rsidP="004E12F1">
      <w:pPr>
        <w:pStyle w:val="Headingb"/>
      </w:pPr>
      <w:r w:rsidRPr="00AE12D8">
        <w:t>Approche en une étape</w:t>
      </w:r>
    </w:p>
    <w:p w14:paraId="54B36812" w14:textId="757343EF" w:rsidR="00E0214C" w:rsidRPr="00AE12D8" w:rsidRDefault="00E538BE" w:rsidP="004E12F1">
      <w:r w:rsidRPr="00AE12D8">
        <w:t xml:space="preserve">Selon cette approche, chaque voiture </w:t>
      </w:r>
      <w:r w:rsidR="000B0E2F" w:rsidRPr="00AE12D8">
        <w:t xml:space="preserve">a la possibilité </w:t>
      </w:r>
      <w:r w:rsidR="00B85B0E" w:rsidRPr="00AE12D8">
        <w:t>d'emprunter</w:t>
      </w:r>
      <w:r w:rsidR="000B0E2F" w:rsidRPr="00AE12D8">
        <w:t xml:space="preserve"> n'importe quelle voie, à tout moment. La Coccinelle </w:t>
      </w:r>
      <w:r w:rsidR="00871B9B" w:rsidRPr="00AE12D8">
        <w:t xml:space="preserve">étant la première voiture sur </w:t>
      </w:r>
      <w:r w:rsidR="00A95871" w:rsidRPr="00AE12D8">
        <w:t>l'autoroute</w:t>
      </w:r>
      <w:r w:rsidR="00871B9B" w:rsidRPr="00AE12D8">
        <w:t xml:space="preserve">, le premier conducteur peut choisir n'importe quelle voie au </w:t>
      </w:r>
      <w:r w:rsidR="00DF7400" w:rsidRPr="00AE12D8">
        <w:t xml:space="preserve">Point </w:t>
      </w:r>
      <w:r w:rsidR="00871B9B" w:rsidRPr="00AE12D8">
        <w:t xml:space="preserve">A et choisir une autre voie ultérieurement pour optimiser son </w:t>
      </w:r>
      <w:r w:rsidR="00B11BF6" w:rsidRPr="00AE12D8">
        <w:t>trajet</w:t>
      </w:r>
      <w:r w:rsidR="00871B9B" w:rsidRPr="00AE12D8">
        <w:t>, comme le montre la F</w:t>
      </w:r>
      <w:r w:rsidR="00A65D85" w:rsidRPr="00AE12D8">
        <w:t>igure 2 ci-dessous.</w:t>
      </w:r>
      <w:r w:rsidR="00881138" w:rsidRPr="00AE12D8">
        <w:t xml:space="preserve"> </w:t>
      </w:r>
      <w:r w:rsidR="00D77C2A" w:rsidRPr="00AE12D8">
        <w:t xml:space="preserve">En tant que conducteur non coopératif, </w:t>
      </w:r>
      <w:r w:rsidR="000A213E" w:rsidRPr="00AE12D8">
        <w:t xml:space="preserve">il </w:t>
      </w:r>
      <w:r w:rsidR="00DF7400" w:rsidRPr="00AE12D8">
        <w:t>est hostile aux</w:t>
      </w:r>
      <w:r w:rsidR="000A213E" w:rsidRPr="00AE12D8">
        <w:t xml:space="preserve"> restrictions et désire </w:t>
      </w:r>
      <w:r w:rsidR="003B5E0F" w:rsidRPr="00AE12D8">
        <w:t>conserver</w:t>
      </w:r>
      <w:r w:rsidR="000A213E" w:rsidRPr="00AE12D8">
        <w:t xml:space="preserve"> toute la souplesse nécessaire pour </w:t>
      </w:r>
      <w:r w:rsidR="00C1249F" w:rsidRPr="00AE12D8">
        <w:t xml:space="preserve">se déplacer sur l'intégralité de </w:t>
      </w:r>
      <w:r w:rsidR="00A95871" w:rsidRPr="00AE12D8">
        <w:t>l'autoroute</w:t>
      </w:r>
      <w:r w:rsidR="00C1249F" w:rsidRPr="00AE12D8">
        <w:t xml:space="preserve">. </w:t>
      </w:r>
      <w:r w:rsidR="00DE0148" w:rsidRPr="00AE12D8">
        <w:t xml:space="preserve">Par conséquent, un feu de </w:t>
      </w:r>
      <w:r w:rsidR="004D42D9" w:rsidRPr="00AE12D8">
        <w:t>signalisation</w:t>
      </w:r>
      <w:r w:rsidR="00DE0148" w:rsidRPr="00AE12D8">
        <w:t xml:space="preserve"> orange est affiché sur cha</w:t>
      </w:r>
      <w:r w:rsidR="0015132C" w:rsidRPr="00AE12D8">
        <w:t xml:space="preserve">cune des voies, étant donné que le deuxième et le troisième conducteur </w:t>
      </w:r>
      <w:r w:rsidR="00DF4FFF" w:rsidRPr="00AE12D8">
        <w:t xml:space="preserve">ne pourraient pas utiliser </w:t>
      </w:r>
      <w:r w:rsidR="00DF7400" w:rsidRPr="00AE12D8">
        <w:t>l'une des</w:t>
      </w:r>
      <w:r w:rsidR="00DF4FFF" w:rsidRPr="00AE12D8">
        <w:t xml:space="preserve"> voie</w:t>
      </w:r>
      <w:r w:rsidR="00DF7400" w:rsidRPr="00AE12D8">
        <w:t>s</w:t>
      </w:r>
      <w:r w:rsidR="00DF4FFF" w:rsidRPr="00AE12D8">
        <w:t xml:space="preserve"> en toute sécurité, ne sachant pas quelle voie sera occupée par la Coccinelle. La situation est </w:t>
      </w:r>
      <w:r w:rsidR="007C3FAC" w:rsidRPr="00AE12D8">
        <w:t xml:space="preserve">encore plus </w:t>
      </w:r>
      <w:r w:rsidR="00DF7400" w:rsidRPr="00AE12D8">
        <w:t xml:space="preserve">compliquée </w:t>
      </w:r>
      <w:r w:rsidR="00B60C58" w:rsidRPr="00AE12D8">
        <w:t xml:space="preserve">pour le troisième conducteur, dans la mesure où il n'a aucune information sur les deux autres voitures devant lui. </w:t>
      </w:r>
      <w:r w:rsidR="00DF7400" w:rsidRPr="00AE12D8">
        <w:t>Dans un souci de</w:t>
      </w:r>
      <w:r w:rsidR="00034E96" w:rsidRPr="00AE12D8">
        <w:t xml:space="preserve"> sécurité</w:t>
      </w:r>
      <w:r w:rsidR="00DF7400" w:rsidRPr="00AE12D8">
        <w:t xml:space="preserve"> maximale</w:t>
      </w:r>
      <w:r w:rsidR="00034E96" w:rsidRPr="00AE12D8">
        <w:t>, les conducteurs de la Mustang et de la</w:t>
      </w:r>
      <w:r w:rsidR="0028629C" w:rsidRPr="00AE12D8">
        <w:t> </w:t>
      </w:r>
      <w:r w:rsidR="00034E96" w:rsidRPr="00AE12D8">
        <w:t xml:space="preserve">Bugatti doivent emprunter une autre </w:t>
      </w:r>
      <w:r w:rsidR="00A95871" w:rsidRPr="00AE12D8">
        <w:t>route</w:t>
      </w:r>
      <w:r w:rsidR="00034E96" w:rsidRPr="00AE12D8">
        <w:t xml:space="preserve"> pour se rendre au </w:t>
      </w:r>
      <w:r w:rsidR="00DF7400" w:rsidRPr="00AE12D8">
        <w:t xml:space="preserve">Point </w:t>
      </w:r>
      <w:r w:rsidR="00034E96" w:rsidRPr="00AE12D8">
        <w:t xml:space="preserve">B et </w:t>
      </w:r>
      <w:r w:rsidR="00DF7400" w:rsidRPr="00AE12D8">
        <w:t xml:space="preserve">quitter </w:t>
      </w:r>
      <w:r w:rsidR="00A95871" w:rsidRPr="00AE12D8">
        <w:t>l'autoroute</w:t>
      </w:r>
      <w:r w:rsidR="00060DFE" w:rsidRPr="00AE12D8">
        <w:t xml:space="preserve"> à cinq</w:t>
      </w:r>
      <w:r w:rsidR="00AE12D8">
        <w:t> </w:t>
      </w:r>
      <w:r w:rsidR="00060DFE" w:rsidRPr="00AE12D8">
        <w:t xml:space="preserve">voies </w:t>
      </w:r>
      <w:r w:rsidR="00DF7400" w:rsidRPr="00AE12D8">
        <w:t xml:space="preserve">au seul profit de </w:t>
      </w:r>
      <w:r w:rsidR="00060DFE" w:rsidRPr="00AE12D8">
        <w:t>la C</w:t>
      </w:r>
      <w:r w:rsidR="005F4C65" w:rsidRPr="00AE12D8">
        <w:t>occinelle.</w:t>
      </w:r>
    </w:p>
    <w:p w14:paraId="0A747103" w14:textId="4328E6D0" w:rsidR="00E0214C" w:rsidRPr="00AE12D8" w:rsidRDefault="00406CD3" w:rsidP="004E12F1">
      <w:pPr>
        <w:pStyle w:val="FigureNo"/>
      </w:pPr>
      <w:r w:rsidRPr="00AE12D8">
        <w:t>FIGURE 2</w:t>
      </w:r>
    </w:p>
    <w:p w14:paraId="14A27A82" w14:textId="1310B1F4" w:rsidR="00406CD3" w:rsidRPr="00AE12D8" w:rsidRDefault="001221BD" w:rsidP="004E12F1">
      <w:pPr>
        <w:pStyle w:val="Figuretitle"/>
      </w:pPr>
      <w:r w:rsidRPr="00AE12D8">
        <w:t>A</w:t>
      </w:r>
      <w:r w:rsidR="003B46A2" w:rsidRPr="00AE12D8">
        <w:t>pproche en</w:t>
      </w:r>
      <w:r w:rsidRPr="00AE12D8">
        <w:t xml:space="preserve"> une étape</w:t>
      </w:r>
    </w:p>
    <w:p w14:paraId="23684B5B" w14:textId="731FA711" w:rsidR="002F1AE9" w:rsidRPr="00AE12D8" w:rsidRDefault="002F1AE9" w:rsidP="0028629C">
      <w:pPr>
        <w:pStyle w:val="Figure"/>
      </w:pPr>
      <w:r w:rsidRPr="00AE12D8">
        <w:rPr>
          <w:lang w:eastAsia="fr-CH"/>
        </w:rPr>
        <w:drawing>
          <wp:inline distT="0" distB="0" distL="0" distR="0" wp14:anchorId="20591C2E" wp14:editId="3510F242">
            <wp:extent cx="6120765" cy="2904427"/>
            <wp:effectExtent l="0" t="0" r="0" b="0"/>
            <wp:docPr id="3" name="Picture 3" descr="A car driving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0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16429" w14:textId="6E962EE1" w:rsidR="00E0214C" w:rsidRPr="00AE12D8" w:rsidRDefault="00657DDD" w:rsidP="004E12F1">
      <w:pPr>
        <w:pStyle w:val="Headingb"/>
      </w:pPr>
      <w:r w:rsidRPr="00AE12D8">
        <w:t xml:space="preserve">Approche </w:t>
      </w:r>
      <w:r w:rsidR="00C67D11" w:rsidRPr="00AE12D8">
        <w:t>en</w:t>
      </w:r>
      <w:r w:rsidRPr="00AE12D8">
        <w:t xml:space="preserve"> deux étapes</w:t>
      </w:r>
    </w:p>
    <w:p w14:paraId="10DA2535" w14:textId="63B74FDF" w:rsidR="00AE12D8" w:rsidRPr="00AE12D8" w:rsidRDefault="00711D02" w:rsidP="00AE12D8">
      <w:r w:rsidRPr="00AE12D8">
        <w:t xml:space="preserve">Selon cette approche, chaque conducteur doit choisir une voie au </w:t>
      </w:r>
      <w:r w:rsidR="00DF7400" w:rsidRPr="00AE12D8">
        <w:t xml:space="preserve">Point </w:t>
      </w:r>
      <w:r w:rsidRPr="00AE12D8">
        <w:t xml:space="preserve">A et rester sur cette voie jusqu'à </w:t>
      </w:r>
      <w:r w:rsidR="00DF7400" w:rsidRPr="00AE12D8">
        <w:t xml:space="preserve">ce qu'il </w:t>
      </w:r>
      <w:r w:rsidRPr="00AE12D8">
        <w:t>attei</w:t>
      </w:r>
      <w:r w:rsidR="00DF7400" w:rsidRPr="00AE12D8">
        <w:t xml:space="preserve">gne </w:t>
      </w:r>
      <w:r w:rsidRPr="00AE12D8">
        <w:t xml:space="preserve">le </w:t>
      </w:r>
      <w:r w:rsidR="00DF7400" w:rsidRPr="00AE12D8">
        <w:t xml:space="preserve">Point </w:t>
      </w:r>
      <w:r w:rsidRPr="00AE12D8">
        <w:t xml:space="preserve">B. La Coccinelle étant la première voiture </w:t>
      </w:r>
      <w:r w:rsidR="00A95871" w:rsidRPr="00AE12D8">
        <w:t>sur l'autoroute</w:t>
      </w:r>
      <w:r w:rsidRPr="00AE12D8">
        <w:t xml:space="preserve">, son conducteur peut choisir n'importe quelle voie au </w:t>
      </w:r>
      <w:r w:rsidR="00DF7400" w:rsidRPr="00AE12D8">
        <w:t xml:space="preserve">Point </w:t>
      </w:r>
      <w:r w:rsidRPr="00AE12D8">
        <w:t>A (première étape) mais, une fois qu'il a fait son choix, il doit rester sur cette voie (</w:t>
      </w:r>
      <w:r w:rsidR="00234B12" w:rsidRPr="00AE12D8">
        <w:t xml:space="preserve">deuxième étape). Même </w:t>
      </w:r>
      <w:r w:rsidR="005C4D32" w:rsidRPr="00AE12D8">
        <w:t xml:space="preserve">si ce conducteur n'est pas coopératif, il doit rester sur la voie qu'il a choisie initialement jusqu'à </w:t>
      </w:r>
      <w:r w:rsidR="00DF7400" w:rsidRPr="00AE12D8">
        <w:t xml:space="preserve">ce qu'il atteigne </w:t>
      </w:r>
      <w:r w:rsidR="005C4D32" w:rsidRPr="00AE12D8">
        <w:t xml:space="preserve">le </w:t>
      </w:r>
      <w:r w:rsidR="00DF7400" w:rsidRPr="00AE12D8">
        <w:t xml:space="preserve">Point </w:t>
      </w:r>
      <w:r w:rsidR="005C4D32" w:rsidRPr="00AE12D8">
        <w:t xml:space="preserve">B. </w:t>
      </w:r>
      <w:r w:rsidR="00CC20F2" w:rsidRPr="00AE12D8">
        <w:t xml:space="preserve">Comme le montre la Figure 3 ci-dessous, lorsque la Mustang arrive sur </w:t>
      </w:r>
      <w:r w:rsidR="00A95871" w:rsidRPr="00AE12D8">
        <w:t>l'autoroute</w:t>
      </w:r>
      <w:r w:rsidR="00CC20F2" w:rsidRPr="00AE12D8">
        <w:t xml:space="preserve">, </w:t>
      </w:r>
      <w:r w:rsidR="004D42D9" w:rsidRPr="00AE12D8">
        <w:t xml:space="preserve">un feu de signalisation rouge est affiché sur la voie choisie par le conducteur de la Coccinelle et un feu vert apparaît sur les quatre autres voies. </w:t>
      </w:r>
      <w:r w:rsidR="001919AD" w:rsidRPr="00AE12D8">
        <w:t>Le conducteur de la Mustang</w:t>
      </w:r>
      <w:r w:rsidR="0028629C" w:rsidRPr="00AE12D8">
        <w:t xml:space="preserve"> </w:t>
      </w:r>
      <w:r w:rsidR="00DF7400" w:rsidRPr="00AE12D8">
        <w:t xml:space="preserve">aura </w:t>
      </w:r>
      <w:r w:rsidR="00A20B91" w:rsidRPr="00AE12D8">
        <w:t xml:space="preserve">la possibilité de choisir sa propre voie parmi les quatre voies disponibles (première étape) et </w:t>
      </w:r>
      <w:r w:rsidR="00DF7400" w:rsidRPr="00AE12D8">
        <w:t xml:space="preserve">devra </w:t>
      </w:r>
      <w:r w:rsidR="00A20B91" w:rsidRPr="00AE12D8">
        <w:t xml:space="preserve">ensuite </w:t>
      </w:r>
      <w:r w:rsidR="00E505E4" w:rsidRPr="00AE12D8">
        <w:t xml:space="preserve">rester sur cette voie jusqu'à </w:t>
      </w:r>
      <w:r w:rsidR="00DF7400" w:rsidRPr="00AE12D8">
        <w:t>ce qu'il atteigne</w:t>
      </w:r>
      <w:r w:rsidR="00E505E4" w:rsidRPr="00AE12D8">
        <w:t xml:space="preserve"> le </w:t>
      </w:r>
      <w:r w:rsidR="00DF7400" w:rsidRPr="00AE12D8">
        <w:t xml:space="preserve">Point </w:t>
      </w:r>
      <w:r w:rsidR="00E505E4" w:rsidRPr="00AE12D8">
        <w:t xml:space="preserve">B (deuxième étape). </w:t>
      </w:r>
      <w:r w:rsidR="007859E1" w:rsidRPr="00AE12D8">
        <w:t>Le conducteur de la Coccinelle est légèrement désavantagé</w:t>
      </w:r>
      <w:r w:rsidR="00DF7400" w:rsidRPr="00AE12D8">
        <w:t xml:space="preserve">, </w:t>
      </w:r>
      <w:r w:rsidR="00585EFC" w:rsidRPr="00AE12D8">
        <w:t>en ce sens qu'il n'a pas la pos</w:t>
      </w:r>
      <w:r w:rsidR="00663BDA" w:rsidRPr="00AE12D8">
        <w:t xml:space="preserve">sibilité d'optimiser son </w:t>
      </w:r>
      <w:r w:rsidR="00B11BF6" w:rsidRPr="00AE12D8">
        <w:t>trajet</w:t>
      </w:r>
      <w:r w:rsidR="00DF7400" w:rsidRPr="00AE12D8">
        <w:t xml:space="preserve">, </w:t>
      </w:r>
      <w:r w:rsidR="007662F4" w:rsidRPr="00AE12D8">
        <w:t>mais</w:t>
      </w:r>
      <w:r w:rsidR="00DF7400" w:rsidRPr="00AE12D8">
        <w:t xml:space="preserve"> </w:t>
      </w:r>
      <w:r w:rsidR="007662F4" w:rsidRPr="00AE12D8">
        <w:t>en contrepartie, la Mustang</w:t>
      </w:r>
      <w:r w:rsidR="00DF7400" w:rsidRPr="00AE12D8">
        <w:t xml:space="preserve"> pourra</w:t>
      </w:r>
      <w:r w:rsidR="00AE12D8" w:rsidRPr="00AE12D8">
        <w:t xml:space="preserve"> </w:t>
      </w:r>
      <w:r w:rsidR="00AE12D8" w:rsidRPr="00AE12D8">
        <w:br w:type="page"/>
      </w:r>
    </w:p>
    <w:p w14:paraId="32F9AC76" w14:textId="0A801646" w:rsidR="00711D02" w:rsidRPr="00AE12D8" w:rsidRDefault="007662F4" w:rsidP="004E12F1">
      <w:r w:rsidRPr="00AE12D8">
        <w:t xml:space="preserve">emprunter les quatre autres voies en toute sécurité. </w:t>
      </w:r>
      <w:r w:rsidR="00DF7400" w:rsidRPr="00AE12D8">
        <w:t xml:space="preserve">Par la suite, lorsque </w:t>
      </w:r>
      <w:r w:rsidR="00461201" w:rsidRPr="00AE12D8">
        <w:t xml:space="preserve">la Bugatti arrive à son tour, des feux de signalisation rouges s'affichent sur deux voies et des feux verts apparaissent sur trois voies. </w:t>
      </w:r>
      <w:r w:rsidR="00DF7400" w:rsidRPr="00AE12D8">
        <w:t>Le conducteur aur</w:t>
      </w:r>
      <w:r w:rsidR="00DE0C46" w:rsidRPr="00AE12D8">
        <w:t xml:space="preserve">a la possibilité de choisir n'importe quelle voie avec un feu vert (première étape) et </w:t>
      </w:r>
      <w:r w:rsidR="00DF7400" w:rsidRPr="00AE12D8">
        <w:t xml:space="preserve">devra </w:t>
      </w:r>
      <w:r w:rsidR="00DE0C46" w:rsidRPr="00AE12D8">
        <w:t xml:space="preserve">ensuite rester sur cette voie jusqu'à </w:t>
      </w:r>
      <w:r w:rsidR="00DF7400" w:rsidRPr="00AE12D8">
        <w:t xml:space="preserve">ce qu'il atteigne </w:t>
      </w:r>
      <w:r w:rsidR="00DE0C46" w:rsidRPr="00AE12D8">
        <w:t xml:space="preserve">le </w:t>
      </w:r>
      <w:r w:rsidR="00DF7400" w:rsidRPr="00AE12D8">
        <w:t xml:space="preserve">Point </w:t>
      </w:r>
      <w:r w:rsidR="00DE0C46" w:rsidRPr="00AE12D8">
        <w:t>B (deuxième étape).</w:t>
      </w:r>
    </w:p>
    <w:p w14:paraId="411955CC" w14:textId="221E9636" w:rsidR="00E0214C" w:rsidRPr="00AE12D8" w:rsidRDefault="00406CD3" w:rsidP="004E12F1">
      <w:pPr>
        <w:pStyle w:val="FigureNo"/>
      </w:pPr>
      <w:r w:rsidRPr="00AE12D8">
        <w:t>FIGURE 3</w:t>
      </w:r>
    </w:p>
    <w:p w14:paraId="005C5223" w14:textId="52D2001A" w:rsidR="00406CD3" w:rsidRPr="00AE12D8" w:rsidRDefault="003A2F18" w:rsidP="004E12F1">
      <w:pPr>
        <w:pStyle w:val="Figuretitle"/>
      </w:pPr>
      <w:r w:rsidRPr="00AE12D8">
        <w:t>Approche en deux étapes</w:t>
      </w:r>
    </w:p>
    <w:p w14:paraId="5B6C989D" w14:textId="7027B3EC" w:rsidR="002F1AE9" w:rsidRPr="00AE12D8" w:rsidRDefault="002F1AE9" w:rsidP="0028629C">
      <w:pPr>
        <w:pStyle w:val="Figure"/>
      </w:pPr>
      <w:r w:rsidRPr="00AE12D8">
        <w:rPr>
          <w:lang w:eastAsia="fr-CH"/>
        </w:rPr>
        <w:drawing>
          <wp:inline distT="0" distB="0" distL="0" distR="0" wp14:anchorId="3E2E4C5C" wp14:editId="1134475B">
            <wp:extent cx="6120000" cy="3334595"/>
            <wp:effectExtent l="0" t="0" r="0" b="0"/>
            <wp:docPr id="5" name="Picture 5" descr="A diagram of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1C68" w14:textId="19218C7D" w:rsidR="00E0214C" w:rsidRPr="00AE12D8" w:rsidRDefault="00F477DC" w:rsidP="00AE12D8">
      <w:pPr>
        <w:pStyle w:val="Figurelegend"/>
        <w:spacing w:before="120" w:after="120"/>
      </w:pPr>
      <w:r w:rsidRPr="00AE12D8">
        <w:rPr>
          <w:b/>
          <w:bCs/>
        </w:rPr>
        <w:t>Légende de la figure</w:t>
      </w:r>
      <w:r w:rsidRPr="00AE12D8">
        <w:t>:</w:t>
      </w:r>
    </w:p>
    <w:p w14:paraId="37175381" w14:textId="40257FF3" w:rsidR="00F477DC" w:rsidRPr="00AE12D8" w:rsidRDefault="00F477DC" w:rsidP="0028629C">
      <w:pPr>
        <w:pStyle w:val="Figurelegend"/>
      </w:pPr>
      <w:r w:rsidRPr="00AE12D8">
        <w:t>1st Step: 1</w:t>
      </w:r>
      <w:r w:rsidR="0028629C" w:rsidRPr="00AE12D8">
        <w:t>è</w:t>
      </w:r>
      <w:r w:rsidRPr="00AE12D8">
        <w:t>re étape</w:t>
      </w:r>
    </w:p>
    <w:p w14:paraId="66CAB351" w14:textId="199F10B6" w:rsidR="00F477DC" w:rsidRPr="00AE12D8" w:rsidRDefault="00F477DC" w:rsidP="0028629C">
      <w:pPr>
        <w:pStyle w:val="Figurelegend"/>
      </w:pPr>
      <w:r w:rsidRPr="00AE12D8">
        <w:t>2nd Step: 2ème étape</w:t>
      </w:r>
    </w:p>
    <w:p w14:paraId="60F52903" w14:textId="0C5A6E51" w:rsidR="00AE5359" w:rsidRPr="00AE12D8" w:rsidRDefault="00AE5359" w:rsidP="00AE12D8">
      <w:pPr>
        <w:pStyle w:val="Normalaftertitle"/>
        <w:spacing w:before="240" w:after="240"/>
      </w:pPr>
      <w:r w:rsidRPr="00AE12D8">
        <w:t>Le tableau ci-dessous récapitule les avantages et les inconvénients de chaque approche.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247"/>
      </w:tblGrid>
      <w:tr w:rsidR="00E0214C" w:rsidRPr="00AE12D8" w14:paraId="4B772422" w14:textId="77777777" w:rsidTr="00AE12D8">
        <w:tc>
          <w:tcPr>
            <w:tcW w:w="1555" w:type="dxa"/>
          </w:tcPr>
          <w:p w14:paraId="5E1A996F" w14:textId="77777777" w:rsidR="00E0214C" w:rsidRPr="00AE12D8" w:rsidRDefault="00E0214C" w:rsidP="005B40AA">
            <w:pPr>
              <w:pStyle w:val="Tablehead"/>
            </w:pPr>
          </w:p>
        </w:tc>
        <w:tc>
          <w:tcPr>
            <w:tcW w:w="3827" w:type="dxa"/>
          </w:tcPr>
          <w:p w14:paraId="3D7D2240" w14:textId="1A5E40B3" w:rsidR="00E0214C" w:rsidRPr="00AE12D8" w:rsidRDefault="002D7D25" w:rsidP="004E12F1">
            <w:pPr>
              <w:pStyle w:val="Tablehead"/>
            </w:pPr>
            <w:r w:rsidRPr="00AE12D8">
              <w:t>Avantages</w:t>
            </w:r>
          </w:p>
        </w:tc>
        <w:tc>
          <w:tcPr>
            <w:tcW w:w="4247" w:type="dxa"/>
          </w:tcPr>
          <w:p w14:paraId="0497B7E9" w14:textId="4DCF3D7E" w:rsidR="00E0214C" w:rsidRPr="00AE12D8" w:rsidRDefault="002D7D25" w:rsidP="004E12F1">
            <w:pPr>
              <w:pStyle w:val="Tablehead"/>
            </w:pPr>
            <w:r w:rsidRPr="00AE12D8">
              <w:t>Inconvénients</w:t>
            </w:r>
          </w:p>
        </w:tc>
      </w:tr>
      <w:tr w:rsidR="00E0214C" w:rsidRPr="00AE12D8" w14:paraId="1166F540" w14:textId="77777777" w:rsidTr="00AE12D8">
        <w:tc>
          <w:tcPr>
            <w:tcW w:w="1555" w:type="dxa"/>
            <w:vAlign w:val="center"/>
          </w:tcPr>
          <w:p w14:paraId="34B218EC" w14:textId="652D0253" w:rsidR="00E0214C" w:rsidRPr="00AE12D8" w:rsidRDefault="003B46A2" w:rsidP="00AE12D8">
            <w:pPr>
              <w:pStyle w:val="Tabletext"/>
            </w:pPr>
            <w:r w:rsidRPr="00AE12D8">
              <w:t>Approche en une étape</w:t>
            </w:r>
          </w:p>
        </w:tc>
        <w:tc>
          <w:tcPr>
            <w:tcW w:w="3827" w:type="dxa"/>
          </w:tcPr>
          <w:p w14:paraId="2F72F724" w14:textId="4E710E99" w:rsidR="00E0214C" w:rsidRPr="00AE12D8" w:rsidRDefault="00E0214C" w:rsidP="00AE12D8">
            <w:pPr>
              <w:pStyle w:val="Tabletext"/>
              <w:tabs>
                <w:tab w:val="clear" w:pos="284"/>
              </w:tabs>
              <w:ind w:left="284" w:hanging="284"/>
            </w:pPr>
            <w:r w:rsidRPr="00AE12D8">
              <w:t>–</w:t>
            </w:r>
            <w:r w:rsidRPr="00AE12D8">
              <w:tab/>
            </w:r>
            <w:r w:rsidR="00421F60" w:rsidRPr="00AE12D8">
              <w:t xml:space="preserve">Le conducteur de la Coccinelle bénéficie </w:t>
            </w:r>
            <w:r w:rsidR="00DA719C" w:rsidRPr="00AE12D8">
              <w:t>de toute la</w:t>
            </w:r>
            <w:r w:rsidR="00421F60" w:rsidRPr="00AE12D8">
              <w:t xml:space="preserve"> souplesse</w:t>
            </w:r>
            <w:r w:rsidR="00DA719C" w:rsidRPr="00AE12D8">
              <w:t xml:space="preserve"> nécessaire</w:t>
            </w:r>
            <w:r w:rsidR="00421F60" w:rsidRPr="00AE12D8">
              <w:t xml:space="preserve"> pour optimiser son </w:t>
            </w:r>
            <w:r w:rsidR="00B11BF6" w:rsidRPr="00AE12D8">
              <w:t>trajet</w:t>
            </w:r>
            <w:r w:rsidR="0028629C" w:rsidRPr="00AE12D8">
              <w:t>.</w:t>
            </w:r>
          </w:p>
        </w:tc>
        <w:tc>
          <w:tcPr>
            <w:tcW w:w="4247" w:type="dxa"/>
          </w:tcPr>
          <w:p w14:paraId="021B611B" w14:textId="544650B0" w:rsidR="00E0214C" w:rsidRPr="00AE12D8" w:rsidRDefault="00E0214C" w:rsidP="0028629C">
            <w:pPr>
              <w:pStyle w:val="Tabletext"/>
              <w:ind w:left="284" w:hanging="284"/>
            </w:pPr>
            <w:r w:rsidRPr="00AE12D8">
              <w:t>–</w:t>
            </w:r>
            <w:r w:rsidRPr="00AE12D8">
              <w:tab/>
            </w:r>
            <w:r w:rsidR="00DF7400" w:rsidRPr="00AE12D8">
              <w:t xml:space="preserve">Nombreuses </w:t>
            </w:r>
            <w:r w:rsidR="00DB0D12" w:rsidRPr="00AE12D8">
              <w:t>incertitude</w:t>
            </w:r>
            <w:r w:rsidR="00DF7400" w:rsidRPr="00AE12D8">
              <w:t>s</w:t>
            </w:r>
            <w:r w:rsidR="00DB0D12" w:rsidRPr="00AE12D8">
              <w:t xml:space="preserve"> pour les conducteurs de la Mustang et de la</w:t>
            </w:r>
            <w:r w:rsidR="0028629C" w:rsidRPr="00AE12D8">
              <w:t> </w:t>
            </w:r>
            <w:r w:rsidR="00DB0D12" w:rsidRPr="00AE12D8">
              <w:t>Bugatti</w:t>
            </w:r>
            <w:r w:rsidR="00DF7400" w:rsidRPr="00AE12D8">
              <w:t>, en raison du risque de</w:t>
            </w:r>
            <w:r w:rsidR="00A3476D" w:rsidRPr="00AE12D8">
              <w:t xml:space="preserve"> </w:t>
            </w:r>
            <w:r w:rsidR="00DF7400" w:rsidRPr="00AE12D8">
              <w:t xml:space="preserve">collision </w:t>
            </w:r>
            <w:r w:rsidR="00DB0D12" w:rsidRPr="00AE12D8">
              <w:t>avec d'autres voitures</w:t>
            </w:r>
            <w:r w:rsidR="0028629C" w:rsidRPr="00AE12D8">
              <w:t>.</w:t>
            </w:r>
          </w:p>
          <w:p w14:paraId="687FFF03" w14:textId="28925671" w:rsidR="00E0214C" w:rsidRPr="00AE12D8" w:rsidRDefault="00E0214C" w:rsidP="0028629C">
            <w:pPr>
              <w:pStyle w:val="Tabletext"/>
              <w:ind w:left="284" w:hanging="284"/>
            </w:pPr>
            <w:r w:rsidRPr="00AE12D8">
              <w:t>–</w:t>
            </w:r>
            <w:r w:rsidRPr="00AE12D8">
              <w:tab/>
            </w:r>
            <w:r w:rsidR="00CD7F96" w:rsidRPr="00AE12D8">
              <w:t>L'autoroute est entièrement occupée par la Coccinelle et le partage avec d'autres voitures n'est pas possible</w:t>
            </w:r>
            <w:r w:rsidR="0028629C" w:rsidRPr="00AE12D8">
              <w:t>.</w:t>
            </w:r>
          </w:p>
        </w:tc>
      </w:tr>
      <w:tr w:rsidR="00E0214C" w:rsidRPr="00AE12D8" w14:paraId="5B42AD33" w14:textId="77777777" w:rsidTr="00AE12D8">
        <w:tc>
          <w:tcPr>
            <w:tcW w:w="1555" w:type="dxa"/>
            <w:vAlign w:val="center"/>
          </w:tcPr>
          <w:p w14:paraId="35DB65F4" w14:textId="48869FD9" w:rsidR="00E0214C" w:rsidRPr="00AE12D8" w:rsidRDefault="003B46A2" w:rsidP="00AE12D8">
            <w:pPr>
              <w:pStyle w:val="Tabletext"/>
            </w:pPr>
            <w:r w:rsidRPr="00AE12D8">
              <w:t>Approche en deux étapes</w:t>
            </w:r>
          </w:p>
        </w:tc>
        <w:tc>
          <w:tcPr>
            <w:tcW w:w="3827" w:type="dxa"/>
          </w:tcPr>
          <w:p w14:paraId="73B92186" w14:textId="2CCB6507" w:rsidR="00E0214C" w:rsidRPr="00AE12D8" w:rsidRDefault="00E0214C" w:rsidP="00AE12D8">
            <w:pPr>
              <w:pStyle w:val="Tabletext"/>
              <w:tabs>
                <w:tab w:val="clear" w:pos="284"/>
              </w:tabs>
              <w:ind w:left="284" w:hanging="284"/>
            </w:pPr>
            <w:r w:rsidRPr="00AE12D8">
              <w:t>–</w:t>
            </w:r>
            <w:r w:rsidRPr="00AE12D8">
              <w:tab/>
            </w:r>
            <w:r w:rsidR="00421F60" w:rsidRPr="00AE12D8">
              <w:t xml:space="preserve">Le conducteur de la Coccinelle </w:t>
            </w:r>
            <w:r w:rsidR="00DA719C" w:rsidRPr="00AE12D8">
              <w:t>bénéficie de toute la souplesse nécessaire pour</w:t>
            </w:r>
            <w:r w:rsidR="00421F60" w:rsidRPr="00AE12D8">
              <w:t xml:space="preserve"> </w:t>
            </w:r>
            <w:r w:rsidR="00DA719C" w:rsidRPr="00AE12D8">
              <w:t xml:space="preserve">choisir sa voie au </w:t>
            </w:r>
            <w:r w:rsidR="00DF7400" w:rsidRPr="00AE12D8">
              <w:t>Point</w:t>
            </w:r>
            <w:r w:rsidR="0028629C" w:rsidRPr="00AE12D8">
              <w:t> </w:t>
            </w:r>
            <w:r w:rsidR="00DA719C" w:rsidRPr="00AE12D8">
              <w:t>A</w:t>
            </w:r>
            <w:r w:rsidR="0028629C" w:rsidRPr="00AE12D8">
              <w:t>.</w:t>
            </w:r>
          </w:p>
          <w:p w14:paraId="718F5E3D" w14:textId="11EF87CD" w:rsidR="00E0214C" w:rsidRPr="00AE12D8" w:rsidRDefault="00E0214C" w:rsidP="00AE12D8">
            <w:pPr>
              <w:pStyle w:val="Tabletext"/>
              <w:tabs>
                <w:tab w:val="clear" w:pos="284"/>
              </w:tabs>
              <w:ind w:left="284" w:hanging="284"/>
            </w:pPr>
            <w:r w:rsidRPr="00AE12D8">
              <w:t>–</w:t>
            </w:r>
            <w:r w:rsidRPr="00AE12D8">
              <w:tab/>
            </w:r>
            <w:r w:rsidR="00433103" w:rsidRPr="00AE12D8">
              <w:t>Aucu</w:t>
            </w:r>
            <w:r w:rsidR="00103BE2" w:rsidRPr="00AE12D8">
              <w:t xml:space="preserve">n risque de collision pour les </w:t>
            </w:r>
            <w:r w:rsidR="00433103" w:rsidRPr="00AE12D8">
              <w:t>trois voitures</w:t>
            </w:r>
            <w:r w:rsidR="0028629C" w:rsidRPr="00AE12D8">
              <w:t>.</w:t>
            </w:r>
          </w:p>
          <w:p w14:paraId="3CE302FB" w14:textId="2D39772D" w:rsidR="00E0214C" w:rsidRPr="00AE12D8" w:rsidRDefault="00E0214C" w:rsidP="00AE12D8">
            <w:pPr>
              <w:pStyle w:val="Tabletext"/>
              <w:tabs>
                <w:tab w:val="clear" w:pos="284"/>
              </w:tabs>
              <w:ind w:left="284" w:hanging="284"/>
            </w:pPr>
            <w:r w:rsidRPr="00AE12D8">
              <w:t>–</w:t>
            </w:r>
            <w:r w:rsidRPr="00AE12D8">
              <w:tab/>
            </w:r>
            <w:r w:rsidR="008040DD" w:rsidRPr="00AE12D8">
              <w:t>Partage entier de l'autoroute</w:t>
            </w:r>
            <w:r w:rsidR="0028629C" w:rsidRPr="00AE12D8">
              <w:t>.</w:t>
            </w:r>
          </w:p>
        </w:tc>
        <w:tc>
          <w:tcPr>
            <w:tcW w:w="4247" w:type="dxa"/>
          </w:tcPr>
          <w:p w14:paraId="6BF619A5" w14:textId="156A30AD" w:rsidR="00E0214C" w:rsidRPr="00AE12D8" w:rsidRDefault="00E0214C" w:rsidP="00AE12D8">
            <w:pPr>
              <w:pStyle w:val="Tabletext"/>
              <w:ind w:left="284" w:hanging="284"/>
            </w:pPr>
            <w:r w:rsidRPr="00AE12D8">
              <w:t>–</w:t>
            </w:r>
            <w:r w:rsidRPr="00AE12D8">
              <w:tab/>
            </w:r>
            <w:r w:rsidR="00FE5F1C" w:rsidRPr="00AE12D8">
              <w:t>Le conducteur de la Coccinelle est légèrement désavantagé</w:t>
            </w:r>
            <w:r w:rsidR="00DF7400" w:rsidRPr="00AE12D8">
              <w:t xml:space="preserve">, </w:t>
            </w:r>
            <w:r w:rsidR="00C52712" w:rsidRPr="00AE12D8">
              <w:t>en ce sens qu'il n'a pas la possibilité d'optimiser</w:t>
            </w:r>
            <w:r w:rsidR="009A7E34" w:rsidRPr="00AE12D8">
              <w:t xml:space="preserve"> son </w:t>
            </w:r>
            <w:r w:rsidR="00B11BF6" w:rsidRPr="00AE12D8">
              <w:t>trajet</w:t>
            </w:r>
            <w:r w:rsidR="00DF7400" w:rsidRPr="00AE12D8">
              <w:t xml:space="preserve"> </w:t>
            </w:r>
            <w:r w:rsidR="009A7E34" w:rsidRPr="00AE12D8">
              <w:t xml:space="preserve">entre les </w:t>
            </w:r>
            <w:r w:rsidR="00DF7400" w:rsidRPr="00AE12D8">
              <w:t>Points</w:t>
            </w:r>
            <w:r w:rsidR="0028629C" w:rsidRPr="00AE12D8">
              <w:t> </w:t>
            </w:r>
            <w:r w:rsidR="009A7E34" w:rsidRPr="00AE12D8">
              <w:t>A et B</w:t>
            </w:r>
            <w:r w:rsidR="0028629C" w:rsidRPr="00AE12D8">
              <w:t>.</w:t>
            </w:r>
          </w:p>
        </w:tc>
      </w:tr>
    </w:tbl>
    <w:p w14:paraId="43FFDDCF" w14:textId="09B3AEA0" w:rsidR="00312DE9" w:rsidRPr="00AE12D8" w:rsidRDefault="00312DE9" w:rsidP="004E12F1">
      <w:pPr>
        <w:pStyle w:val="Heading1"/>
      </w:pPr>
      <w:r w:rsidRPr="00AE12D8">
        <w:t>5</w:t>
      </w:r>
      <w:r w:rsidRPr="00AE12D8">
        <w:tab/>
        <w:t>Conclusion</w:t>
      </w:r>
    </w:p>
    <w:p w14:paraId="592676C3" w14:textId="2B5C1F37" w:rsidR="007B281A" w:rsidRPr="00AE12D8" w:rsidRDefault="00B11BF6" w:rsidP="004E12F1">
      <w:r w:rsidRPr="00AE12D8">
        <w:t xml:space="preserve">Compte tenu de </w:t>
      </w:r>
      <w:r w:rsidR="007B281A" w:rsidRPr="00AE12D8">
        <w:t xml:space="preserve">l'analogie </w:t>
      </w:r>
      <w:r w:rsidRPr="00AE12D8">
        <w:t xml:space="preserve">décrite au § </w:t>
      </w:r>
      <w:r w:rsidR="00C67D11" w:rsidRPr="00AE12D8">
        <w:t>4</w:t>
      </w:r>
      <w:r w:rsidRPr="00AE12D8">
        <w:t xml:space="preserve">, le même principe s'applique </w:t>
      </w:r>
      <w:r w:rsidR="00DB7714" w:rsidRPr="00AE12D8">
        <w:t>aux systèmes non</w:t>
      </w:r>
      <w:r w:rsidR="005B40AA" w:rsidRPr="00AE12D8">
        <w:t> </w:t>
      </w:r>
      <w:r w:rsidR="00DB7714" w:rsidRPr="00AE12D8">
        <w:t xml:space="preserve">OSG. </w:t>
      </w:r>
      <w:r w:rsidR="00584B70" w:rsidRPr="00AE12D8">
        <w:t>L'approche</w:t>
      </w:r>
      <w:r w:rsidR="009A7BD4" w:rsidRPr="00AE12D8">
        <w:t xml:space="preserve"> en une étape n'est pas adaptée, dans la mesure où elle ne permettra pas un traitement juste et équitable </w:t>
      </w:r>
      <w:r w:rsidR="00B86F97" w:rsidRPr="00AE12D8">
        <w:t>des systèmes notifiés</w:t>
      </w:r>
      <w:r w:rsidRPr="00AE12D8">
        <w:t xml:space="preserve"> initialement</w:t>
      </w:r>
      <w:r w:rsidR="00B86F97" w:rsidRPr="00AE12D8">
        <w:t xml:space="preserve"> </w:t>
      </w:r>
      <w:r w:rsidR="00181466" w:rsidRPr="00AE12D8">
        <w:t xml:space="preserve">à une </w:t>
      </w:r>
      <w:r w:rsidR="00916C4A" w:rsidRPr="00AE12D8">
        <w:t>altitude</w:t>
      </w:r>
      <w:r w:rsidR="00E62C20" w:rsidRPr="00AE12D8">
        <w:t xml:space="preserve"> analogue.</w:t>
      </w:r>
      <w:r w:rsidR="00F9554B" w:rsidRPr="00AE12D8">
        <w:t xml:space="preserve"> Un système non coopératif </w:t>
      </w:r>
      <w:r w:rsidR="00A5422A" w:rsidRPr="00AE12D8">
        <w:t>monopolisera une grande plage d'altitude</w:t>
      </w:r>
      <w:r w:rsidR="00FA7DF7" w:rsidRPr="00AE12D8">
        <w:t xml:space="preserve">s </w:t>
      </w:r>
      <w:r w:rsidR="0048053E" w:rsidRPr="00AE12D8">
        <w:t>dans son propre intérêt</w:t>
      </w:r>
      <w:r w:rsidR="00FA7DF7" w:rsidRPr="00AE12D8">
        <w:t xml:space="preserve"> et ne permettra pas à des systèmes</w:t>
      </w:r>
      <w:r w:rsidRPr="00AE12D8">
        <w:t xml:space="preserve"> ultérieurs </w:t>
      </w:r>
      <w:r w:rsidR="00FA7DF7" w:rsidRPr="00AE12D8">
        <w:t>de fonctionner à l'intérieur de cette plage d'altitudes.</w:t>
      </w:r>
    </w:p>
    <w:p w14:paraId="51E3C217" w14:textId="222592C7" w:rsidR="00582E15" w:rsidRPr="00AE12D8" w:rsidRDefault="00090951" w:rsidP="004E12F1">
      <w:r w:rsidRPr="00AE12D8">
        <w:t xml:space="preserve">L'approche en deux étapes permettra </w:t>
      </w:r>
      <w:r w:rsidR="00B11BF6" w:rsidRPr="00AE12D8">
        <w:t xml:space="preserve">d'améliorer le partage de </w:t>
      </w:r>
      <w:r w:rsidR="00A00505" w:rsidRPr="00AE12D8">
        <w:t>la plage d'altitudes</w:t>
      </w:r>
      <w:r w:rsidR="00B11BF6" w:rsidRPr="00AE12D8">
        <w:t xml:space="preserve"> </w:t>
      </w:r>
      <w:r w:rsidR="00B34D8F" w:rsidRPr="00AE12D8">
        <w:t xml:space="preserve">en toute sécurité, </w:t>
      </w:r>
      <w:r w:rsidR="00454B02" w:rsidRPr="00AE12D8">
        <w:t xml:space="preserve">même avec des systèmes non coopératifs. </w:t>
      </w:r>
      <w:r w:rsidR="001A4A79" w:rsidRPr="00AE12D8">
        <w:t xml:space="preserve">Elle permettra </w:t>
      </w:r>
      <w:r w:rsidR="00B11BF6" w:rsidRPr="00AE12D8">
        <w:t>un traitement juste et équitable des</w:t>
      </w:r>
      <w:r w:rsidR="001A4A79" w:rsidRPr="00AE12D8">
        <w:t xml:space="preserve"> systèmes non OSG notifiés </w:t>
      </w:r>
      <w:r w:rsidR="00B11BF6" w:rsidRPr="00AE12D8">
        <w:t xml:space="preserve">initialement </w:t>
      </w:r>
      <w:r w:rsidR="001A4A79" w:rsidRPr="00AE12D8">
        <w:t>à la même altitude</w:t>
      </w:r>
      <w:r w:rsidR="006E767D" w:rsidRPr="00AE12D8">
        <w:t>,</w:t>
      </w:r>
      <w:r w:rsidR="001A4A79" w:rsidRPr="00AE12D8">
        <w:t xml:space="preserve"> et</w:t>
      </w:r>
      <w:r w:rsidR="00B11BF6" w:rsidRPr="00AE12D8">
        <w:t xml:space="preserve"> </w:t>
      </w:r>
      <w:r w:rsidR="001A4A79" w:rsidRPr="00AE12D8">
        <w:t>favoriser</w:t>
      </w:r>
      <w:r w:rsidR="00B11BF6" w:rsidRPr="00AE12D8">
        <w:t>a</w:t>
      </w:r>
      <w:r w:rsidR="001A4A79" w:rsidRPr="00AE12D8">
        <w:t xml:space="preserve"> la viabilité à long terme </w:t>
      </w:r>
      <w:r w:rsidR="00E20F65" w:rsidRPr="00AE12D8">
        <w:t xml:space="preserve">et l'utilisation rationnelle des </w:t>
      </w:r>
      <w:r w:rsidR="00944489" w:rsidRPr="00AE12D8">
        <w:t>ressources que constituent les orbites de satellites non géostationnaires/le spectre</w:t>
      </w:r>
      <w:r w:rsidR="00E20F65" w:rsidRPr="00AE12D8">
        <w:t>.</w:t>
      </w:r>
    </w:p>
    <w:p w14:paraId="374884CA" w14:textId="75F457BC" w:rsidR="00312DE9" w:rsidRPr="00AE12D8" w:rsidRDefault="00312DE9" w:rsidP="004E12F1">
      <w:pPr>
        <w:jc w:val="center"/>
      </w:pPr>
      <w:r w:rsidRPr="00AE12D8">
        <w:t>______________</w:t>
      </w:r>
    </w:p>
    <w:sectPr w:rsidR="00312DE9" w:rsidRPr="00AE12D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C51A" w14:textId="77777777" w:rsidR="009B771C" w:rsidRDefault="009B771C">
      <w:r>
        <w:separator/>
      </w:r>
    </w:p>
  </w:endnote>
  <w:endnote w:type="continuationSeparator" w:id="0">
    <w:p w14:paraId="7AE3EF58" w14:textId="77777777" w:rsidR="009B771C" w:rsidRDefault="009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DBBA" w14:textId="3C34C4E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771C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42A9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71C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8513" w14:textId="3291F09C" w:rsidR="00936D25" w:rsidRPr="004E12F1" w:rsidRDefault="00936D25" w:rsidP="003E5E3D">
    <w:pPr>
      <w:pStyle w:val="Footer"/>
      <w:rPr>
        <w:lang w:val="es-ES_tradnl"/>
      </w:rPr>
    </w:pPr>
    <w:r>
      <w:fldChar w:fldCharType="begin"/>
    </w:r>
    <w:r w:rsidRPr="004E12F1">
      <w:rPr>
        <w:lang w:val="es-ES_tradnl"/>
      </w:rPr>
      <w:instrText xml:space="preserve"> FILENAME \p  \* MERGEFORMAT </w:instrText>
    </w:r>
    <w:r>
      <w:fldChar w:fldCharType="separate"/>
    </w:r>
    <w:r w:rsidR="004E12F1" w:rsidRPr="004E12F1">
      <w:rPr>
        <w:lang w:val="es-ES_tradnl"/>
      </w:rPr>
      <w:t>P:\FRA\ITU-R\CONF-R\CMR23\100\129F.docx</w:t>
    </w:r>
    <w:r>
      <w:fldChar w:fldCharType="end"/>
    </w:r>
    <w:r w:rsidR="00191C24" w:rsidRPr="004E12F1">
      <w:rPr>
        <w:lang w:val="es-ES_tradnl"/>
      </w:rPr>
      <w:t>(530300)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B5CD" w14:textId="068EAEAA" w:rsidR="00936D25" w:rsidRPr="004E12F1" w:rsidRDefault="00936D25" w:rsidP="003E5E3D">
    <w:pPr>
      <w:pStyle w:val="Footer"/>
      <w:rPr>
        <w:lang w:val="es-ES_tradnl"/>
      </w:rPr>
    </w:pPr>
    <w:r>
      <w:fldChar w:fldCharType="begin"/>
    </w:r>
    <w:r w:rsidRPr="004E12F1">
      <w:rPr>
        <w:lang w:val="es-ES_tradnl"/>
      </w:rPr>
      <w:instrText xml:space="preserve"> FILENAME \p  \* MERGEFORMAT </w:instrText>
    </w:r>
    <w:r>
      <w:fldChar w:fldCharType="separate"/>
    </w:r>
    <w:r w:rsidR="004E12F1" w:rsidRPr="004E12F1">
      <w:rPr>
        <w:lang w:val="es-ES_tradnl"/>
      </w:rPr>
      <w:t>P:\FRA\ITU-R\CONF-R\CMR23\100\129F.docx</w:t>
    </w:r>
    <w:r>
      <w:fldChar w:fldCharType="end"/>
    </w:r>
    <w:r w:rsidR="00191C24" w:rsidRPr="004E12F1">
      <w:rPr>
        <w:lang w:val="es-ES_tradnl"/>
      </w:rPr>
      <w:t>(530300)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34F8" w14:textId="77777777" w:rsidR="009B771C" w:rsidRDefault="009B771C">
      <w:r>
        <w:rPr>
          <w:b/>
        </w:rPr>
        <w:t>_______________</w:t>
      </w:r>
    </w:p>
  </w:footnote>
  <w:footnote w:type="continuationSeparator" w:id="0">
    <w:p w14:paraId="40DEE4B4" w14:textId="77777777" w:rsidR="009B771C" w:rsidRDefault="009B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D5A9" w14:textId="433886E8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E767D">
      <w:rPr>
        <w:noProof/>
      </w:rPr>
      <w:t>5</w:t>
    </w:r>
    <w:r>
      <w:fldChar w:fldCharType="end"/>
    </w:r>
  </w:p>
  <w:p w14:paraId="5355AF20" w14:textId="11819FD1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7060C7">
      <w:t>129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1738927">
    <w:abstractNumId w:val="0"/>
  </w:num>
  <w:num w:numId="2" w16cid:durableId="15899220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1C"/>
    <w:rsid w:val="00013D26"/>
    <w:rsid w:val="00016648"/>
    <w:rsid w:val="000201F9"/>
    <w:rsid w:val="000261C7"/>
    <w:rsid w:val="00034E96"/>
    <w:rsid w:val="0003522F"/>
    <w:rsid w:val="00060DFE"/>
    <w:rsid w:val="00067AB1"/>
    <w:rsid w:val="00080E2C"/>
    <w:rsid w:val="00090279"/>
    <w:rsid w:val="00090951"/>
    <w:rsid w:val="000A03BF"/>
    <w:rsid w:val="000A1F07"/>
    <w:rsid w:val="000A213E"/>
    <w:rsid w:val="000A4755"/>
    <w:rsid w:val="000A7070"/>
    <w:rsid w:val="000B0E2F"/>
    <w:rsid w:val="000B2E0C"/>
    <w:rsid w:val="000B3D0C"/>
    <w:rsid w:val="000C4F4B"/>
    <w:rsid w:val="00103BE2"/>
    <w:rsid w:val="00104BE8"/>
    <w:rsid w:val="00115FDE"/>
    <w:rsid w:val="001167B9"/>
    <w:rsid w:val="001221BD"/>
    <w:rsid w:val="001267A0"/>
    <w:rsid w:val="00134655"/>
    <w:rsid w:val="0015132C"/>
    <w:rsid w:val="00160C64"/>
    <w:rsid w:val="001702BA"/>
    <w:rsid w:val="00181466"/>
    <w:rsid w:val="0018315D"/>
    <w:rsid w:val="001919AD"/>
    <w:rsid w:val="00191C24"/>
    <w:rsid w:val="0019352B"/>
    <w:rsid w:val="001960D0"/>
    <w:rsid w:val="001A0FCE"/>
    <w:rsid w:val="001A4A79"/>
    <w:rsid w:val="001B25F7"/>
    <w:rsid w:val="001B7150"/>
    <w:rsid w:val="001E024D"/>
    <w:rsid w:val="001E3BDC"/>
    <w:rsid w:val="001F6654"/>
    <w:rsid w:val="00226D00"/>
    <w:rsid w:val="00230C35"/>
    <w:rsid w:val="00232ED2"/>
    <w:rsid w:val="00232FD2"/>
    <w:rsid w:val="00234B12"/>
    <w:rsid w:val="00246123"/>
    <w:rsid w:val="00250A6A"/>
    <w:rsid w:val="0026338B"/>
    <w:rsid w:val="00270763"/>
    <w:rsid w:val="00272591"/>
    <w:rsid w:val="00275FD8"/>
    <w:rsid w:val="0028629C"/>
    <w:rsid w:val="002A1ABE"/>
    <w:rsid w:val="002A4622"/>
    <w:rsid w:val="002A7569"/>
    <w:rsid w:val="002B17E5"/>
    <w:rsid w:val="002B2D2D"/>
    <w:rsid w:val="002B5C81"/>
    <w:rsid w:val="002C0EBF"/>
    <w:rsid w:val="002C5FCD"/>
    <w:rsid w:val="002D1469"/>
    <w:rsid w:val="002D7D25"/>
    <w:rsid w:val="002F0E9C"/>
    <w:rsid w:val="002F1AE9"/>
    <w:rsid w:val="002F595F"/>
    <w:rsid w:val="003121FA"/>
    <w:rsid w:val="00312DE9"/>
    <w:rsid w:val="00315AFE"/>
    <w:rsid w:val="00323E83"/>
    <w:rsid w:val="003453C6"/>
    <w:rsid w:val="0034544C"/>
    <w:rsid w:val="003606A6"/>
    <w:rsid w:val="0036650C"/>
    <w:rsid w:val="00375108"/>
    <w:rsid w:val="0039169C"/>
    <w:rsid w:val="003A2F18"/>
    <w:rsid w:val="003A583E"/>
    <w:rsid w:val="003B46A2"/>
    <w:rsid w:val="003B5E0F"/>
    <w:rsid w:val="003E112B"/>
    <w:rsid w:val="003E5E3D"/>
    <w:rsid w:val="003F572C"/>
    <w:rsid w:val="003F7119"/>
    <w:rsid w:val="00400E12"/>
    <w:rsid w:val="00406CD3"/>
    <w:rsid w:val="0041011D"/>
    <w:rsid w:val="00416F68"/>
    <w:rsid w:val="00421F60"/>
    <w:rsid w:val="00433103"/>
    <w:rsid w:val="00433896"/>
    <w:rsid w:val="0043759E"/>
    <w:rsid w:val="00454B02"/>
    <w:rsid w:val="00457428"/>
    <w:rsid w:val="00461201"/>
    <w:rsid w:val="00466211"/>
    <w:rsid w:val="0048053E"/>
    <w:rsid w:val="00494C28"/>
    <w:rsid w:val="00494CFE"/>
    <w:rsid w:val="004957CC"/>
    <w:rsid w:val="004C437F"/>
    <w:rsid w:val="004C7DD6"/>
    <w:rsid w:val="004D01FC"/>
    <w:rsid w:val="004D42D9"/>
    <w:rsid w:val="004E12F1"/>
    <w:rsid w:val="004E28C3"/>
    <w:rsid w:val="004F1F8E"/>
    <w:rsid w:val="004F251B"/>
    <w:rsid w:val="0052279C"/>
    <w:rsid w:val="00556FC5"/>
    <w:rsid w:val="00582E15"/>
    <w:rsid w:val="00584B70"/>
    <w:rsid w:val="00584FF8"/>
    <w:rsid w:val="00585EFC"/>
    <w:rsid w:val="00586CF2"/>
    <w:rsid w:val="00587A4E"/>
    <w:rsid w:val="005947A2"/>
    <w:rsid w:val="005A247A"/>
    <w:rsid w:val="005A35AF"/>
    <w:rsid w:val="005A6B57"/>
    <w:rsid w:val="005B40AA"/>
    <w:rsid w:val="005B64E7"/>
    <w:rsid w:val="005C3768"/>
    <w:rsid w:val="005C4D32"/>
    <w:rsid w:val="005C6C3F"/>
    <w:rsid w:val="005E662A"/>
    <w:rsid w:val="005F0BB1"/>
    <w:rsid w:val="005F4C65"/>
    <w:rsid w:val="005F7000"/>
    <w:rsid w:val="00601475"/>
    <w:rsid w:val="006018E6"/>
    <w:rsid w:val="006029E3"/>
    <w:rsid w:val="00613635"/>
    <w:rsid w:val="0062093D"/>
    <w:rsid w:val="00637ECF"/>
    <w:rsid w:val="00647B59"/>
    <w:rsid w:val="00654E39"/>
    <w:rsid w:val="00657DDD"/>
    <w:rsid w:val="00663BDA"/>
    <w:rsid w:val="00675AB8"/>
    <w:rsid w:val="0068341A"/>
    <w:rsid w:val="00691723"/>
    <w:rsid w:val="00696F53"/>
    <w:rsid w:val="006B117D"/>
    <w:rsid w:val="006B2B77"/>
    <w:rsid w:val="006C031D"/>
    <w:rsid w:val="006C6A50"/>
    <w:rsid w:val="006C7852"/>
    <w:rsid w:val="006D02FF"/>
    <w:rsid w:val="006E32F5"/>
    <w:rsid w:val="006E3A93"/>
    <w:rsid w:val="006E767D"/>
    <w:rsid w:val="006F49A3"/>
    <w:rsid w:val="006F7F9D"/>
    <w:rsid w:val="00701BAE"/>
    <w:rsid w:val="007060C7"/>
    <w:rsid w:val="00711D02"/>
    <w:rsid w:val="0073083F"/>
    <w:rsid w:val="00730E95"/>
    <w:rsid w:val="00731461"/>
    <w:rsid w:val="00744DC6"/>
    <w:rsid w:val="007662F4"/>
    <w:rsid w:val="00770F4A"/>
    <w:rsid w:val="00774362"/>
    <w:rsid w:val="007859E1"/>
    <w:rsid w:val="007A04E8"/>
    <w:rsid w:val="007A0561"/>
    <w:rsid w:val="007B281A"/>
    <w:rsid w:val="007C3FAC"/>
    <w:rsid w:val="007C52BC"/>
    <w:rsid w:val="007D5415"/>
    <w:rsid w:val="007E6BC8"/>
    <w:rsid w:val="007F38DE"/>
    <w:rsid w:val="007F42A9"/>
    <w:rsid w:val="008040DD"/>
    <w:rsid w:val="0081255D"/>
    <w:rsid w:val="00837D75"/>
    <w:rsid w:val="0084553F"/>
    <w:rsid w:val="00871B9B"/>
    <w:rsid w:val="00881138"/>
    <w:rsid w:val="008A3120"/>
    <w:rsid w:val="008B7141"/>
    <w:rsid w:val="008C000E"/>
    <w:rsid w:val="008D37C8"/>
    <w:rsid w:val="008D41BE"/>
    <w:rsid w:val="008D58D3"/>
    <w:rsid w:val="008D6821"/>
    <w:rsid w:val="008F7AFB"/>
    <w:rsid w:val="00916C4A"/>
    <w:rsid w:val="00921981"/>
    <w:rsid w:val="00923064"/>
    <w:rsid w:val="00934E39"/>
    <w:rsid w:val="00936D25"/>
    <w:rsid w:val="00937013"/>
    <w:rsid w:val="00941EA5"/>
    <w:rsid w:val="00944489"/>
    <w:rsid w:val="009640BB"/>
    <w:rsid w:val="00966C16"/>
    <w:rsid w:val="009765A8"/>
    <w:rsid w:val="0098732F"/>
    <w:rsid w:val="00995310"/>
    <w:rsid w:val="009A61FB"/>
    <w:rsid w:val="009A7BD4"/>
    <w:rsid w:val="009A7E34"/>
    <w:rsid w:val="009B0E06"/>
    <w:rsid w:val="009B3F6A"/>
    <w:rsid w:val="009B771C"/>
    <w:rsid w:val="009C2924"/>
    <w:rsid w:val="009C718F"/>
    <w:rsid w:val="009C7E7C"/>
    <w:rsid w:val="009E1188"/>
    <w:rsid w:val="009E6BA0"/>
    <w:rsid w:val="009F0B0C"/>
    <w:rsid w:val="00A00473"/>
    <w:rsid w:val="00A004A2"/>
    <w:rsid w:val="00A00505"/>
    <w:rsid w:val="00A02ECF"/>
    <w:rsid w:val="00A03C9B"/>
    <w:rsid w:val="00A13BA2"/>
    <w:rsid w:val="00A13BC4"/>
    <w:rsid w:val="00A20B91"/>
    <w:rsid w:val="00A31476"/>
    <w:rsid w:val="00A3476D"/>
    <w:rsid w:val="00A44C6C"/>
    <w:rsid w:val="00A5422A"/>
    <w:rsid w:val="00A566BC"/>
    <w:rsid w:val="00A606C3"/>
    <w:rsid w:val="00A62983"/>
    <w:rsid w:val="00A65D85"/>
    <w:rsid w:val="00A83993"/>
    <w:rsid w:val="00A83B09"/>
    <w:rsid w:val="00A84541"/>
    <w:rsid w:val="00A86E3A"/>
    <w:rsid w:val="00A95871"/>
    <w:rsid w:val="00A97FE0"/>
    <w:rsid w:val="00AA3C82"/>
    <w:rsid w:val="00AB54EA"/>
    <w:rsid w:val="00AD0BDB"/>
    <w:rsid w:val="00AE12D8"/>
    <w:rsid w:val="00AE36A0"/>
    <w:rsid w:val="00AE5359"/>
    <w:rsid w:val="00AF4D3F"/>
    <w:rsid w:val="00B00294"/>
    <w:rsid w:val="00B02E97"/>
    <w:rsid w:val="00B11BF6"/>
    <w:rsid w:val="00B21932"/>
    <w:rsid w:val="00B22862"/>
    <w:rsid w:val="00B23EDF"/>
    <w:rsid w:val="00B34D8F"/>
    <w:rsid w:val="00B44716"/>
    <w:rsid w:val="00B546C3"/>
    <w:rsid w:val="00B56E45"/>
    <w:rsid w:val="00B60C58"/>
    <w:rsid w:val="00B64FD0"/>
    <w:rsid w:val="00B825DC"/>
    <w:rsid w:val="00B83DEB"/>
    <w:rsid w:val="00B85B0E"/>
    <w:rsid w:val="00B86F97"/>
    <w:rsid w:val="00BA31E7"/>
    <w:rsid w:val="00BB098C"/>
    <w:rsid w:val="00BC7097"/>
    <w:rsid w:val="00BD356F"/>
    <w:rsid w:val="00BF26E7"/>
    <w:rsid w:val="00C01C69"/>
    <w:rsid w:val="00C1249F"/>
    <w:rsid w:val="00C130F8"/>
    <w:rsid w:val="00C13B5F"/>
    <w:rsid w:val="00C1478B"/>
    <w:rsid w:val="00C17A2D"/>
    <w:rsid w:val="00C52712"/>
    <w:rsid w:val="00C55700"/>
    <w:rsid w:val="00C67D11"/>
    <w:rsid w:val="00C814B9"/>
    <w:rsid w:val="00C82D28"/>
    <w:rsid w:val="00CB7738"/>
    <w:rsid w:val="00CC20F2"/>
    <w:rsid w:val="00CC2311"/>
    <w:rsid w:val="00CC58EF"/>
    <w:rsid w:val="00CC71E4"/>
    <w:rsid w:val="00CD3928"/>
    <w:rsid w:val="00CD516F"/>
    <w:rsid w:val="00CD7F96"/>
    <w:rsid w:val="00CE2C8D"/>
    <w:rsid w:val="00CE2F0D"/>
    <w:rsid w:val="00CE6A1C"/>
    <w:rsid w:val="00D00189"/>
    <w:rsid w:val="00D00A17"/>
    <w:rsid w:val="00D10B07"/>
    <w:rsid w:val="00D119A7"/>
    <w:rsid w:val="00D23350"/>
    <w:rsid w:val="00D253F0"/>
    <w:rsid w:val="00D25FBA"/>
    <w:rsid w:val="00D2795F"/>
    <w:rsid w:val="00D305CD"/>
    <w:rsid w:val="00D36F36"/>
    <w:rsid w:val="00D42ADB"/>
    <w:rsid w:val="00D6577C"/>
    <w:rsid w:val="00D66EAC"/>
    <w:rsid w:val="00D730DF"/>
    <w:rsid w:val="00D772F0"/>
    <w:rsid w:val="00D77BDC"/>
    <w:rsid w:val="00D77C2A"/>
    <w:rsid w:val="00D8241C"/>
    <w:rsid w:val="00DA719C"/>
    <w:rsid w:val="00DB0D12"/>
    <w:rsid w:val="00DB7714"/>
    <w:rsid w:val="00DC402B"/>
    <w:rsid w:val="00DD49FF"/>
    <w:rsid w:val="00DE0148"/>
    <w:rsid w:val="00DE0932"/>
    <w:rsid w:val="00DE0C46"/>
    <w:rsid w:val="00DF4FFF"/>
    <w:rsid w:val="00DF7400"/>
    <w:rsid w:val="00E0214C"/>
    <w:rsid w:val="00E049F1"/>
    <w:rsid w:val="00E120BF"/>
    <w:rsid w:val="00E20F65"/>
    <w:rsid w:val="00E30AAC"/>
    <w:rsid w:val="00E34663"/>
    <w:rsid w:val="00E34A97"/>
    <w:rsid w:val="00E37A25"/>
    <w:rsid w:val="00E505E4"/>
    <w:rsid w:val="00E538BE"/>
    <w:rsid w:val="00E62C20"/>
    <w:rsid w:val="00E67591"/>
    <w:rsid w:val="00E70A31"/>
    <w:rsid w:val="00E81D5C"/>
    <w:rsid w:val="00E81EC9"/>
    <w:rsid w:val="00E83388"/>
    <w:rsid w:val="00E90576"/>
    <w:rsid w:val="00E91069"/>
    <w:rsid w:val="00E977A2"/>
    <w:rsid w:val="00EA3F38"/>
    <w:rsid w:val="00EA5AB6"/>
    <w:rsid w:val="00EB3208"/>
    <w:rsid w:val="00EC0AF8"/>
    <w:rsid w:val="00EC7188"/>
    <w:rsid w:val="00EC7615"/>
    <w:rsid w:val="00ED16AA"/>
    <w:rsid w:val="00EF662E"/>
    <w:rsid w:val="00F022F7"/>
    <w:rsid w:val="00F04424"/>
    <w:rsid w:val="00F11F00"/>
    <w:rsid w:val="00F148F1"/>
    <w:rsid w:val="00F372DE"/>
    <w:rsid w:val="00F400F4"/>
    <w:rsid w:val="00F426E1"/>
    <w:rsid w:val="00F477DC"/>
    <w:rsid w:val="00F51B06"/>
    <w:rsid w:val="00F60932"/>
    <w:rsid w:val="00F63012"/>
    <w:rsid w:val="00F645E8"/>
    <w:rsid w:val="00F82896"/>
    <w:rsid w:val="00F84912"/>
    <w:rsid w:val="00F9554B"/>
    <w:rsid w:val="00F96DF2"/>
    <w:rsid w:val="00F9722E"/>
    <w:rsid w:val="00FA3BBF"/>
    <w:rsid w:val="00FA4207"/>
    <w:rsid w:val="00FA7DF7"/>
    <w:rsid w:val="00FC0101"/>
    <w:rsid w:val="00FC415A"/>
    <w:rsid w:val="00FC41F8"/>
    <w:rsid w:val="00FC4ADC"/>
    <w:rsid w:val="00FE1AD1"/>
    <w:rsid w:val="00FE5F1C"/>
    <w:rsid w:val="00FF1C40"/>
    <w:rsid w:val="00FF4E0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5B768"/>
  <w15:docId w15:val="{7D3D4EC7-DAB6-4584-B43F-6EAAA77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CommentReference">
    <w:name w:val="annotation reference"/>
    <w:basedOn w:val="DefaultParagraphFont"/>
    <w:semiHidden/>
    <w:unhideWhenUsed/>
    <w:rsid w:val="00D001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01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18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0189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001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0189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A13BA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38</TotalTime>
  <Pages>6</Pages>
  <Words>1757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Bendotti, Coraline</dc:creator>
  <cp:keywords>WRC-23</cp:keywords>
  <cp:lastModifiedBy>French</cp:lastModifiedBy>
  <cp:revision>4</cp:revision>
  <cp:lastPrinted>2003-06-05T19:34:00Z</cp:lastPrinted>
  <dcterms:created xsi:type="dcterms:W3CDTF">2023-11-14T05:08:00Z</dcterms:created>
  <dcterms:modified xsi:type="dcterms:W3CDTF">2023-11-14T09:48:00Z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