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4413EE7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F089254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68BDFC95" wp14:editId="5B8FCAA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6E2771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8FE4C6D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EC69A2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65F4AEE" wp14:editId="00CA5E8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910E45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BAFCBC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2288F5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2BBF64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8149340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862008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B1F55AD" w14:textId="77777777" w:rsidTr="00752552">
        <w:trPr>
          <w:cantSplit/>
        </w:trPr>
        <w:tc>
          <w:tcPr>
            <w:tcW w:w="6696" w:type="dxa"/>
            <w:gridSpan w:val="2"/>
          </w:tcPr>
          <w:p w14:paraId="2FE36EC3" w14:textId="77777777" w:rsidR="000D1EE4" w:rsidRPr="008F28A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F28AE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31D0395" w14:textId="10820FB4" w:rsidR="000D1EE4" w:rsidRPr="008F28A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F28AE">
              <w:rPr>
                <w:rFonts w:eastAsia="SimSun"/>
                <w:b/>
                <w:bCs/>
                <w:rtl/>
                <w:lang w:bidi="ar-EG"/>
              </w:rPr>
              <w:t>الإضافة21</w:t>
            </w:r>
            <w:r w:rsidRPr="008F28AE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8F28AE">
              <w:rPr>
                <w:rFonts w:eastAsia="SimSun"/>
                <w:b/>
                <w:bCs/>
              </w:rPr>
              <w:t>142-A</w:t>
            </w:r>
          </w:p>
        </w:tc>
      </w:tr>
      <w:tr w:rsidR="000D1EE4" w:rsidRPr="000D1EE4" w14:paraId="138D31AA" w14:textId="77777777" w:rsidTr="00752552">
        <w:trPr>
          <w:cantSplit/>
        </w:trPr>
        <w:tc>
          <w:tcPr>
            <w:tcW w:w="6696" w:type="dxa"/>
            <w:gridSpan w:val="2"/>
          </w:tcPr>
          <w:p w14:paraId="0C26B2EE" w14:textId="77777777" w:rsidR="000D1EE4" w:rsidRPr="008F28AE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3AB0936" w14:textId="77777777" w:rsidR="000D1EE4" w:rsidRPr="008F28AE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F28AE">
              <w:rPr>
                <w:rFonts w:eastAsia="SimSun"/>
                <w:b/>
                <w:bCs/>
              </w:rPr>
              <w:t>29</w:t>
            </w:r>
            <w:r w:rsidRPr="008F28AE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F28A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5D5A6E9" w14:textId="77777777" w:rsidTr="00752552">
        <w:trPr>
          <w:cantSplit/>
        </w:trPr>
        <w:tc>
          <w:tcPr>
            <w:tcW w:w="6696" w:type="dxa"/>
            <w:gridSpan w:val="2"/>
          </w:tcPr>
          <w:p w14:paraId="2AB70074" w14:textId="77777777" w:rsidR="000D1EE4" w:rsidRPr="008F28AE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99936BC" w14:textId="77777777" w:rsidR="000D1EE4" w:rsidRPr="008F28AE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8F28AE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A0A914F" w14:textId="77777777" w:rsidTr="00752552">
        <w:trPr>
          <w:cantSplit/>
        </w:trPr>
        <w:tc>
          <w:tcPr>
            <w:tcW w:w="9666" w:type="dxa"/>
            <w:gridSpan w:val="4"/>
          </w:tcPr>
          <w:p w14:paraId="4070FF9A" w14:textId="77777777" w:rsidR="000D1EE4" w:rsidRPr="008F28AE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BE884ED" w14:textId="77777777" w:rsidTr="00752552">
        <w:trPr>
          <w:cantSplit/>
        </w:trPr>
        <w:tc>
          <w:tcPr>
            <w:tcW w:w="9666" w:type="dxa"/>
            <w:gridSpan w:val="4"/>
          </w:tcPr>
          <w:p w14:paraId="12755FCA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573B4561" w14:textId="77777777" w:rsidTr="00752552">
        <w:trPr>
          <w:cantSplit/>
        </w:trPr>
        <w:tc>
          <w:tcPr>
            <w:tcW w:w="9666" w:type="dxa"/>
            <w:gridSpan w:val="4"/>
          </w:tcPr>
          <w:p w14:paraId="624048F2" w14:textId="506EDF80" w:rsidR="000D1EE4" w:rsidRPr="000D1EE4" w:rsidRDefault="008F28AE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3E7CBCF5" w14:textId="77777777" w:rsidTr="00752552">
        <w:trPr>
          <w:cantSplit/>
        </w:trPr>
        <w:tc>
          <w:tcPr>
            <w:tcW w:w="9666" w:type="dxa"/>
            <w:gridSpan w:val="4"/>
          </w:tcPr>
          <w:p w14:paraId="17E16F6F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044B36B" w14:textId="77777777" w:rsidTr="00752552">
        <w:trPr>
          <w:cantSplit/>
        </w:trPr>
        <w:tc>
          <w:tcPr>
            <w:tcW w:w="9666" w:type="dxa"/>
            <w:gridSpan w:val="4"/>
          </w:tcPr>
          <w:p w14:paraId="5269CF5B" w14:textId="2D568CD9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8F28AE">
              <w:rPr>
                <w:rFonts w:hint="cs"/>
                <w:rtl/>
              </w:rPr>
              <w:t xml:space="preserve"> </w:t>
            </w:r>
            <w:r w:rsidR="008F28AE">
              <w:rPr>
                <w:rtl/>
              </w:rPr>
              <w:t>4</w:t>
            </w:r>
          </w:p>
        </w:tc>
      </w:tr>
    </w:tbl>
    <w:p w14:paraId="7274FDE3" w14:textId="6DE0467D" w:rsidR="00C45930" w:rsidRDefault="004F69A8" w:rsidP="00B4572A">
      <w:pPr>
        <w:pStyle w:val="Normalaftertitle"/>
      </w:pPr>
      <w:r w:rsidRPr="00875FC5">
        <w:t>4</w:t>
      </w:r>
      <w:r w:rsidRPr="00875FC5">
        <w:rPr>
          <w:rFonts w:hint="cs"/>
          <w:rtl/>
        </w:rPr>
        <w:tab/>
      </w:r>
      <w:r w:rsidRPr="00306A26">
        <w:rPr>
          <w:rFonts w:hint="cs"/>
          <w:rtl/>
        </w:rPr>
        <w:t xml:space="preserve">استعراض القرارات والتوصيات الصادرة عن المؤتمرات السابقة، وفقاً للقرار </w:t>
      </w:r>
      <w:r w:rsidRPr="00306A26">
        <w:rPr>
          <w:b/>
          <w:bCs/>
        </w:rPr>
        <w:t>95 (Rev.WRC</w:t>
      </w:r>
      <w:r w:rsidRPr="00306A26">
        <w:rPr>
          <w:b/>
          <w:bCs/>
          <w:lang w:val="en-GB"/>
        </w:rPr>
        <w:noBreakHyphen/>
        <w:t>19</w:t>
      </w:r>
      <w:r w:rsidRPr="00306A26">
        <w:rPr>
          <w:b/>
          <w:bCs/>
        </w:rPr>
        <w:t>)</w:t>
      </w:r>
      <w:r w:rsidRPr="00306A26">
        <w:rPr>
          <w:rFonts w:hint="cs"/>
          <w:rtl/>
        </w:rPr>
        <w:t>، للنظر في إمكانية مراجعتها أو استبدالها أو إلغائها؛</w:t>
      </w:r>
    </w:p>
    <w:p w14:paraId="10F91E91" w14:textId="0E06D796" w:rsidR="008F28AE" w:rsidRDefault="00832588" w:rsidP="00912697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14:paraId="73C42FD2" w14:textId="3FDC846A" w:rsidR="008F28AE" w:rsidRDefault="00832588" w:rsidP="00832588">
      <w:pPr>
        <w:rPr>
          <w:lang w:bidi="ar-SY"/>
        </w:rPr>
      </w:pPr>
      <w:r w:rsidRPr="00832588">
        <w:rPr>
          <w:rtl/>
          <w:lang w:bidi="ar-SY"/>
        </w:rPr>
        <w:t xml:space="preserve">تقدم الولايات المتحدة في هذه المساهمة مقترحين في إطار البند 4 من جدول أعمال المؤتمر </w:t>
      </w:r>
      <w:r w:rsidRPr="00832588">
        <w:rPr>
          <w:lang w:bidi="ar-SY"/>
        </w:rPr>
        <w:t>WRC-23</w:t>
      </w:r>
      <w:r w:rsidRPr="00832588">
        <w:rPr>
          <w:rtl/>
          <w:lang w:bidi="ar-SY"/>
        </w:rPr>
        <w:t xml:space="preserve"> لإلغاء قرارين لم يع</w:t>
      </w:r>
      <w:r>
        <w:rPr>
          <w:rFonts w:hint="cs"/>
          <w:rtl/>
          <w:lang w:bidi="ar-SY"/>
        </w:rPr>
        <w:t>و</w:t>
      </w:r>
      <w:r w:rsidRPr="00832588">
        <w:rPr>
          <w:rtl/>
          <w:lang w:bidi="ar-SY"/>
        </w:rPr>
        <w:t>دا ضروريين.</w:t>
      </w:r>
      <w:r>
        <w:rPr>
          <w:rFonts w:hint="cs"/>
          <w:rtl/>
          <w:lang w:bidi="ar-SY"/>
        </w:rPr>
        <w:t xml:space="preserve"> </w:t>
      </w:r>
      <w:r w:rsidRPr="00832588">
        <w:rPr>
          <w:rtl/>
          <w:lang w:bidi="ar-SY"/>
        </w:rPr>
        <w:t xml:space="preserve">وتقترح الولايات المتحدة إلغاء القرار </w:t>
      </w:r>
      <w:r w:rsidRPr="0017442C">
        <w:rPr>
          <w:b/>
          <w:bCs/>
        </w:rPr>
        <w:t>75 (Rev.WRC-12)</w:t>
      </w:r>
      <w:r>
        <w:rPr>
          <w:rFonts w:hint="cs"/>
          <w:b/>
          <w:bCs/>
          <w:rtl/>
        </w:rPr>
        <w:t xml:space="preserve"> </w:t>
      </w:r>
      <w:r w:rsidRPr="00832588">
        <w:rPr>
          <w:rtl/>
          <w:lang w:bidi="ar-SY"/>
        </w:rPr>
        <w:t>نظرا</w:t>
      </w:r>
      <w:r w:rsidR="00B4572A">
        <w:rPr>
          <w:rFonts w:hint="cs"/>
          <w:rtl/>
          <w:lang w:bidi="ar-SY"/>
        </w:rPr>
        <w:t>ً</w:t>
      </w:r>
      <w:r w:rsidRPr="00832588">
        <w:rPr>
          <w:rtl/>
          <w:lang w:bidi="ar-SY"/>
        </w:rPr>
        <w:t xml:space="preserve"> إلى أن الدراسات أسفرت عن توصيات لقطاع الاتصالات الراديوية ولا ضرورة لمزيد من العمل.</w:t>
      </w:r>
      <w:r w:rsidRPr="00832588">
        <w:rPr>
          <w:rtl/>
        </w:rPr>
        <w:t xml:space="preserve"> </w:t>
      </w:r>
      <w:r w:rsidRPr="00832588">
        <w:rPr>
          <w:rtl/>
          <w:lang w:bidi="ar-SY"/>
        </w:rPr>
        <w:t xml:space="preserve">وبالمثل، تقترح الولايات المتحدة إلغاء </w:t>
      </w:r>
      <w:r>
        <w:rPr>
          <w:rFonts w:hint="cs"/>
          <w:rtl/>
          <w:lang w:bidi="ar-SY"/>
        </w:rPr>
        <w:t>القرار</w:t>
      </w:r>
      <w:r w:rsidR="00B4572A">
        <w:rPr>
          <w:rFonts w:hint="cs"/>
          <w:rtl/>
          <w:lang w:bidi="ar-SY"/>
        </w:rPr>
        <w:t xml:space="preserve"> </w:t>
      </w:r>
      <w:r w:rsidRPr="00C26AA7">
        <w:rPr>
          <w:b/>
          <w:bCs/>
        </w:rPr>
        <w:t>160 (</w:t>
      </w:r>
      <w:r w:rsidRPr="00E12B95">
        <w:rPr>
          <w:b/>
          <w:bCs/>
        </w:rPr>
        <w:t>WRC-15</w:t>
      </w:r>
      <w:r w:rsidRPr="00E12B95">
        <w:t>)</w:t>
      </w:r>
      <w:r w:rsidR="00B4572A">
        <w:rPr>
          <w:rFonts w:hint="cs"/>
          <w:rtl/>
        </w:rPr>
        <w:t xml:space="preserve"> </w:t>
      </w:r>
      <w:r w:rsidRPr="00832588">
        <w:rPr>
          <w:rtl/>
          <w:lang w:bidi="ar-SY"/>
        </w:rPr>
        <w:t>نظرا</w:t>
      </w:r>
      <w:r w:rsidR="00B4572A">
        <w:rPr>
          <w:rFonts w:hint="cs"/>
          <w:rtl/>
          <w:lang w:bidi="ar-SY"/>
        </w:rPr>
        <w:t>ً</w:t>
      </w:r>
      <w:r w:rsidRPr="00832588">
        <w:rPr>
          <w:rtl/>
          <w:lang w:bidi="ar-SY"/>
        </w:rPr>
        <w:t xml:space="preserve"> إلى أن هذا العمل است</w:t>
      </w:r>
      <w:r>
        <w:rPr>
          <w:rFonts w:hint="cs"/>
          <w:rtl/>
          <w:lang w:bidi="ar-SY"/>
        </w:rPr>
        <w:t>ُ</w:t>
      </w:r>
      <w:r w:rsidRPr="00832588">
        <w:rPr>
          <w:rtl/>
          <w:lang w:bidi="ar-SY"/>
        </w:rPr>
        <w:t xml:space="preserve">كمل </w:t>
      </w:r>
      <w:r>
        <w:rPr>
          <w:rFonts w:hint="cs"/>
          <w:rtl/>
          <w:lang w:bidi="ar-SY"/>
        </w:rPr>
        <w:t>خلال</w:t>
      </w:r>
      <w:r w:rsidRPr="00832588">
        <w:rPr>
          <w:rtl/>
          <w:lang w:bidi="ar-SY"/>
        </w:rPr>
        <w:t xml:space="preserve"> المؤتمر </w:t>
      </w:r>
      <w:r w:rsidRPr="00832588">
        <w:rPr>
          <w:lang w:bidi="ar-SY"/>
        </w:rPr>
        <w:t>WRC-19</w:t>
      </w:r>
      <w:r w:rsidRPr="00832588">
        <w:rPr>
          <w:rtl/>
          <w:lang w:bidi="ar-SY"/>
        </w:rPr>
        <w:t>، غير أن المؤت</w:t>
      </w:r>
      <w:r>
        <w:rPr>
          <w:rtl/>
          <w:lang w:bidi="ar-SY"/>
        </w:rPr>
        <w:t>مر لم يلغ هذا القرار عن غير قصد</w:t>
      </w:r>
      <w:r>
        <w:rPr>
          <w:rFonts w:hint="cs"/>
          <w:rtl/>
          <w:lang w:bidi="ar-SY"/>
        </w:rPr>
        <w:t>.</w:t>
      </w:r>
    </w:p>
    <w:p w14:paraId="3B127615" w14:textId="5AEC8735" w:rsidR="00B80E43" w:rsidRDefault="00B80E43" w:rsidP="00B80E43">
      <w:pPr>
        <w:pStyle w:val="Headingb"/>
        <w:rPr>
          <w:rtl/>
          <w:lang w:bidi="ar-SY"/>
        </w:rPr>
      </w:pPr>
      <w:r>
        <w:rPr>
          <w:rFonts w:hint="cs"/>
          <w:rtl/>
        </w:rPr>
        <w:t>المقترحات</w:t>
      </w:r>
    </w:p>
    <w:p w14:paraId="2AD94FDF" w14:textId="474C21AF" w:rsidR="00FD7BB8" w:rsidRPr="008F28AE" w:rsidRDefault="004C67F1" w:rsidP="00B4572A">
      <w:pPr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6DD9F560" w14:textId="77777777" w:rsidR="00906936" w:rsidRDefault="004F69A8">
      <w:pPr>
        <w:pStyle w:val="Proposal"/>
      </w:pPr>
      <w:r>
        <w:lastRenderedPageBreak/>
        <w:t>SUP</w:t>
      </w:r>
      <w:r>
        <w:tab/>
        <w:t>USA/142A21/1</w:t>
      </w:r>
    </w:p>
    <w:p w14:paraId="5DA75C22" w14:textId="77777777" w:rsidR="004F69A8" w:rsidRPr="00DF5AF0" w:rsidRDefault="004F69A8" w:rsidP="0078577E">
      <w:pPr>
        <w:pStyle w:val="ResNo"/>
        <w:keepLines/>
        <w:rPr>
          <w:rFonts w:ascii="Times" w:hAnsi="Times"/>
          <w:rtl/>
          <w:lang w:bidi="ar-SA"/>
        </w:rPr>
      </w:pPr>
      <w:bookmarkStart w:id="1" w:name="_Toc327956563"/>
      <w:bookmarkStart w:id="2" w:name="_Toc40075696"/>
      <w:r w:rsidRPr="00DF5AF0">
        <w:rPr>
          <w:rtl/>
        </w:rPr>
        <w:t>الق</w:t>
      </w:r>
      <w:r w:rsidRPr="00DF5AF0">
        <w:rPr>
          <w:rFonts w:hint="eastAsia"/>
          <w:rtl/>
        </w:rPr>
        <w:t>ـ</w:t>
      </w:r>
      <w:r w:rsidRPr="00DF5AF0">
        <w:rPr>
          <w:rtl/>
        </w:rPr>
        <w:t xml:space="preserve">رار </w:t>
      </w:r>
      <w:r w:rsidRPr="00E04190">
        <w:rPr>
          <w:rStyle w:val="href"/>
        </w:rPr>
        <w:t>75</w:t>
      </w:r>
      <w:r w:rsidRPr="00DF5AF0">
        <w:t xml:space="preserve"> (</w:t>
      </w:r>
      <w:r>
        <w:t>REV.</w:t>
      </w:r>
      <w:r w:rsidRPr="00DF5AF0">
        <w:t>WRC</w:t>
      </w:r>
      <w:r w:rsidRPr="00DF5AF0">
        <w:noBreakHyphen/>
      </w:r>
      <w:r>
        <w:t>12</w:t>
      </w:r>
      <w:r w:rsidRPr="00DF5AF0">
        <w:t>)</w:t>
      </w:r>
      <w:bookmarkEnd w:id="1"/>
      <w:bookmarkEnd w:id="2"/>
    </w:p>
    <w:p w14:paraId="788672B8" w14:textId="4430EFC0" w:rsidR="004F69A8" w:rsidRPr="00DF5AF0" w:rsidRDefault="004F69A8" w:rsidP="0078577E">
      <w:pPr>
        <w:pStyle w:val="Restitle"/>
        <w:rPr>
          <w:sz w:val="22"/>
          <w:rtl/>
        </w:rPr>
      </w:pPr>
      <w:bookmarkStart w:id="3" w:name="_Toc327956564"/>
      <w:bookmarkStart w:id="4" w:name="_Toc40075697"/>
      <w:r w:rsidRPr="00DF5AF0">
        <w:rPr>
          <w:rFonts w:hint="eastAsia"/>
          <w:rtl/>
        </w:rPr>
        <w:t>صياغة</w:t>
      </w:r>
      <w:r w:rsidRPr="00DF5AF0">
        <w:rPr>
          <w:rtl/>
        </w:rPr>
        <w:t xml:space="preserve"> الأساس التقني لتحديد منطقة التنسيق بغرض التنسيق</w:t>
      </w:r>
      <w:r w:rsidRPr="00DF5AF0">
        <w:rPr>
          <w:rtl/>
        </w:rPr>
        <w:br/>
      </w:r>
      <w:r w:rsidRPr="00DF5AF0">
        <w:rPr>
          <w:rFonts w:hint="eastAsia"/>
          <w:rtl/>
        </w:rPr>
        <w:t>بين</w:t>
      </w:r>
      <w:r w:rsidRPr="00DF5AF0">
        <w:rPr>
          <w:rtl/>
        </w:rPr>
        <w:t xml:space="preserve"> محطة استقبال أرضية لخدمة الأبحاث الفضائية (الفضاء السحيق)</w:t>
      </w:r>
      <w:r w:rsidRPr="00DF5AF0">
        <w:rPr>
          <w:rtl/>
        </w:rPr>
        <w:br/>
      </w:r>
      <w:r w:rsidRPr="00DF5AF0">
        <w:rPr>
          <w:rFonts w:hint="eastAsia"/>
          <w:rtl/>
        </w:rPr>
        <w:t>ومحطات</w:t>
      </w:r>
      <w:r w:rsidRPr="00DF5AF0">
        <w:rPr>
          <w:rtl/>
        </w:rPr>
        <w:t xml:space="preserve"> </w:t>
      </w:r>
      <w:r>
        <w:rPr>
          <w:rFonts w:hint="cs"/>
          <w:rtl/>
        </w:rPr>
        <w:t>الإرسال</w:t>
      </w:r>
      <w:r w:rsidRPr="00DF5AF0">
        <w:rPr>
          <w:rtl/>
        </w:rPr>
        <w:t xml:space="preserve"> </w:t>
      </w:r>
      <w:r>
        <w:rPr>
          <w:rFonts w:hint="cs"/>
          <w:rtl/>
          <w:lang w:bidi="ar-EG"/>
        </w:rPr>
        <w:t>لتطبيقات</w:t>
      </w:r>
      <w:r w:rsidRPr="00DF5AF0">
        <w:rPr>
          <w:rtl/>
        </w:rPr>
        <w:t xml:space="preserve"> </w:t>
      </w:r>
      <w:r w:rsidRPr="00DF5AF0">
        <w:rPr>
          <w:rFonts w:hint="eastAsia"/>
          <w:rtl/>
        </w:rPr>
        <w:t>الكثافة</w:t>
      </w:r>
      <w:r w:rsidRPr="00DF5AF0">
        <w:rPr>
          <w:rtl/>
        </w:rPr>
        <w:t xml:space="preserve"> العالية</w:t>
      </w:r>
      <w:r>
        <w:rPr>
          <w:rtl/>
        </w:rPr>
        <w:t xml:space="preserve"> في </w:t>
      </w:r>
      <w:r w:rsidRPr="00DF5AF0">
        <w:rPr>
          <w:rtl/>
        </w:rPr>
        <w:t>الخدمة الثابتة</w:t>
      </w:r>
      <w:r w:rsidRPr="00DF5AF0">
        <w:rPr>
          <w:rtl/>
        </w:rPr>
        <w:br/>
      </w:r>
      <w:r w:rsidRPr="00DF5AF0">
        <w:rPr>
          <w:rFonts w:hint="eastAsia"/>
          <w:rtl/>
        </w:rPr>
        <w:t>في</w:t>
      </w:r>
      <w:r w:rsidRPr="00DF5AF0">
        <w:rPr>
          <w:rtl/>
        </w:rPr>
        <w:t xml:space="preserve"> النطاقين </w:t>
      </w:r>
      <w:r w:rsidRPr="00DF5AF0">
        <w:t>GHz</w:t>
      </w:r>
      <w:r w:rsidRPr="00DF5AF0">
        <w:rPr>
          <w:rFonts w:hint="eastAsia"/>
        </w:rPr>
        <w:t> </w:t>
      </w:r>
      <w:r w:rsidRPr="00DF5AF0">
        <w:t>32,3</w:t>
      </w:r>
      <w:r w:rsidRPr="00DF5AF0">
        <w:noBreakHyphen/>
        <w:t>31,8</w:t>
      </w:r>
      <w:r w:rsidRPr="00DF5AF0">
        <w:rPr>
          <w:rtl/>
        </w:rPr>
        <w:t xml:space="preserve"> و</w:t>
      </w:r>
      <w:r w:rsidRPr="00DF5AF0">
        <w:t>GHz</w:t>
      </w:r>
      <w:r w:rsidRPr="00DF5AF0">
        <w:rPr>
          <w:rFonts w:hint="eastAsia"/>
        </w:rPr>
        <w:t> </w:t>
      </w:r>
      <w:r w:rsidRPr="00DF5AF0">
        <w:t>38</w:t>
      </w:r>
      <w:r w:rsidRPr="00DF5AF0">
        <w:noBreakHyphen/>
        <w:t>37</w:t>
      </w:r>
      <w:bookmarkEnd w:id="3"/>
      <w:bookmarkEnd w:id="4"/>
    </w:p>
    <w:p w14:paraId="6DCB0463" w14:textId="68523E2A" w:rsidR="00906936" w:rsidRDefault="004F69A8" w:rsidP="00952E2C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832588" w:rsidRPr="00832588">
        <w:rPr>
          <w:rFonts w:hint="cs"/>
          <w:b w:val="0"/>
          <w:bCs w:val="0"/>
          <w:rtl/>
        </w:rPr>
        <w:t>يتناول</w:t>
      </w:r>
      <w:r w:rsidR="00832588">
        <w:rPr>
          <w:rFonts w:hint="cs"/>
          <w:rtl/>
        </w:rPr>
        <w:t xml:space="preserve"> </w:t>
      </w:r>
      <w:r w:rsidR="002C069E" w:rsidRPr="002C069E">
        <w:rPr>
          <w:b w:val="0"/>
          <w:bCs w:val="0"/>
          <w:rtl/>
          <w:lang w:bidi="ar-EG"/>
        </w:rPr>
        <w:t>الق</w:t>
      </w:r>
      <w:r w:rsidR="002C069E" w:rsidRPr="002C069E">
        <w:rPr>
          <w:rFonts w:hint="eastAsia"/>
          <w:b w:val="0"/>
          <w:bCs w:val="0"/>
          <w:rtl/>
          <w:lang w:bidi="ar-EG"/>
        </w:rPr>
        <w:t>ـ</w:t>
      </w:r>
      <w:r w:rsidR="002C069E" w:rsidRPr="002C069E">
        <w:rPr>
          <w:b w:val="0"/>
          <w:bCs w:val="0"/>
          <w:rtl/>
          <w:lang w:bidi="ar-EG"/>
        </w:rPr>
        <w:t xml:space="preserve">رار </w:t>
      </w:r>
      <w:r w:rsidR="002C069E" w:rsidRPr="003A3D48">
        <w:t>75 (REV.WRC</w:t>
      </w:r>
      <w:r w:rsidR="002C069E" w:rsidRPr="003A3D48">
        <w:noBreakHyphen/>
        <w:t>12)</w:t>
      </w:r>
      <w:r w:rsidR="003A3D48">
        <w:rPr>
          <w:rFonts w:hint="cs"/>
          <w:b w:val="0"/>
          <w:bCs w:val="0"/>
          <w:rtl/>
          <w:lang w:bidi="ar-EG"/>
        </w:rPr>
        <w:t xml:space="preserve"> </w:t>
      </w:r>
      <w:r w:rsidR="002C069E" w:rsidRPr="002C069E">
        <w:rPr>
          <w:rFonts w:hint="eastAsia"/>
          <w:b w:val="0"/>
          <w:bCs w:val="0"/>
          <w:rtl/>
        </w:rPr>
        <w:t>صياغة</w:t>
      </w:r>
      <w:r w:rsidR="002C069E" w:rsidRPr="002C069E">
        <w:rPr>
          <w:b w:val="0"/>
          <w:bCs w:val="0"/>
          <w:rtl/>
        </w:rPr>
        <w:t xml:space="preserve"> الأساس التقني لتحديد منطقة التنسيق بغرض التنسيق </w:t>
      </w:r>
      <w:r w:rsidR="002C069E" w:rsidRPr="002C069E">
        <w:rPr>
          <w:rFonts w:hint="eastAsia"/>
          <w:b w:val="0"/>
          <w:bCs w:val="0"/>
          <w:rtl/>
        </w:rPr>
        <w:t>بين</w:t>
      </w:r>
      <w:r w:rsidR="002C069E" w:rsidRPr="002C069E">
        <w:rPr>
          <w:b w:val="0"/>
          <w:bCs w:val="0"/>
          <w:rtl/>
        </w:rPr>
        <w:t xml:space="preserve"> محطة استقبال أرضية لخدمة الأبحاث الفضائية (الفضاء السحيق) </w:t>
      </w:r>
      <w:r w:rsidR="002C069E" w:rsidRPr="002C069E">
        <w:rPr>
          <w:rFonts w:hint="eastAsia"/>
          <w:b w:val="0"/>
          <w:bCs w:val="0"/>
          <w:rtl/>
        </w:rPr>
        <w:t>ومحطات</w:t>
      </w:r>
      <w:r w:rsidR="002C069E" w:rsidRPr="002C069E">
        <w:rPr>
          <w:b w:val="0"/>
          <w:bCs w:val="0"/>
          <w:rtl/>
        </w:rPr>
        <w:t xml:space="preserve"> </w:t>
      </w:r>
      <w:r w:rsidR="002C069E" w:rsidRPr="002C069E">
        <w:rPr>
          <w:rFonts w:hint="cs"/>
          <w:b w:val="0"/>
          <w:bCs w:val="0"/>
          <w:rtl/>
        </w:rPr>
        <w:t>الإرسال</w:t>
      </w:r>
      <w:r w:rsidR="002C069E" w:rsidRPr="002C069E">
        <w:rPr>
          <w:b w:val="0"/>
          <w:bCs w:val="0"/>
          <w:rtl/>
        </w:rPr>
        <w:t xml:space="preserve"> </w:t>
      </w:r>
      <w:r w:rsidR="002C069E" w:rsidRPr="002C069E">
        <w:rPr>
          <w:rFonts w:hint="cs"/>
          <w:b w:val="0"/>
          <w:bCs w:val="0"/>
          <w:rtl/>
          <w:lang w:bidi="ar-EG"/>
        </w:rPr>
        <w:t>لتطبيقات</w:t>
      </w:r>
      <w:r w:rsidR="002C069E" w:rsidRPr="002C069E">
        <w:rPr>
          <w:b w:val="0"/>
          <w:bCs w:val="0"/>
          <w:rtl/>
        </w:rPr>
        <w:t xml:space="preserve"> </w:t>
      </w:r>
      <w:r w:rsidR="002C069E" w:rsidRPr="002C069E">
        <w:rPr>
          <w:rFonts w:hint="eastAsia"/>
          <w:b w:val="0"/>
          <w:bCs w:val="0"/>
          <w:rtl/>
        </w:rPr>
        <w:t>الكثافة</w:t>
      </w:r>
      <w:r w:rsidR="002C069E" w:rsidRPr="002C069E">
        <w:rPr>
          <w:b w:val="0"/>
          <w:bCs w:val="0"/>
          <w:rtl/>
        </w:rPr>
        <w:t xml:space="preserve"> العالية في الخدمة الثابتة </w:t>
      </w:r>
      <w:r w:rsidR="002C069E" w:rsidRPr="002C069E">
        <w:rPr>
          <w:rFonts w:hint="eastAsia"/>
          <w:b w:val="0"/>
          <w:bCs w:val="0"/>
          <w:rtl/>
        </w:rPr>
        <w:t>في</w:t>
      </w:r>
      <w:r w:rsidR="00B4572A">
        <w:rPr>
          <w:rFonts w:hint="cs"/>
          <w:b w:val="0"/>
          <w:bCs w:val="0"/>
          <w:rtl/>
        </w:rPr>
        <w:t> </w:t>
      </w:r>
      <w:r w:rsidR="002C069E" w:rsidRPr="002C069E">
        <w:rPr>
          <w:b w:val="0"/>
          <w:bCs w:val="0"/>
          <w:rtl/>
        </w:rPr>
        <w:t xml:space="preserve">النطاقين </w:t>
      </w:r>
      <w:r w:rsidR="002C069E" w:rsidRPr="002C069E">
        <w:rPr>
          <w:b w:val="0"/>
          <w:bCs w:val="0"/>
        </w:rPr>
        <w:t>GHz</w:t>
      </w:r>
      <w:r w:rsidR="002C069E" w:rsidRPr="002C069E">
        <w:rPr>
          <w:rFonts w:hint="eastAsia"/>
          <w:b w:val="0"/>
          <w:bCs w:val="0"/>
        </w:rPr>
        <w:t> </w:t>
      </w:r>
      <w:r w:rsidR="002C069E" w:rsidRPr="002C069E">
        <w:rPr>
          <w:b w:val="0"/>
          <w:bCs w:val="0"/>
        </w:rPr>
        <w:t>32,3</w:t>
      </w:r>
      <w:r w:rsidR="002C069E" w:rsidRPr="002C069E">
        <w:rPr>
          <w:b w:val="0"/>
          <w:bCs w:val="0"/>
        </w:rPr>
        <w:noBreakHyphen/>
        <w:t>31,8</w:t>
      </w:r>
      <w:r w:rsidR="002C069E" w:rsidRPr="002C069E">
        <w:rPr>
          <w:b w:val="0"/>
          <w:bCs w:val="0"/>
          <w:rtl/>
        </w:rPr>
        <w:t xml:space="preserve"> و</w:t>
      </w:r>
      <w:r w:rsidR="002C069E" w:rsidRPr="002C069E">
        <w:rPr>
          <w:b w:val="0"/>
          <w:bCs w:val="0"/>
        </w:rPr>
        <w:t>GHz</w:t>
      </w:r>
      <w:r w:rsidR="002C069E" w:rsidRPr="002C069E">
        <w:rPr>
          <w:rFonts w:hint="eastAsia"/>
          <w:b w:val="0"/>
          <w:bCs w:val="0"/>
        </w:rPr>
        <w:t> </w:t>
      </w:r>
      <w:r w:rsidR="002C069E" w:rsidRPr="002C069E">
        <w:rPr>
          <w:b w:val="0"/>
          <w:bCs w:val="0"/>
        </w:rPr>
        <w:t>38</w:t>
      </w:r>
      <w:r w:rsidR="002C069E" w:rsidRPr="002C069E">
        <w:rPr>
          <w:b w:val="0"/>
          <w:bCs w:val="0"/>
        </w:rPr>
        <w:noBreakHyphen/>
        <w:t>37</w:t>
      </w:r>
      <w:r w:rsidR="00952E2C">
        <w:rPr>
          <w:rFonts w:hint="cs"/>
          <w:b w:val="0"/>
          <w:bCs w:val="0"/>
          <w:rtl/>
          <w:lang w:bidi="ar-SY"/>
        </w:rPr>
        <w:t xml:space="preserve">. </w:t>
      </w:r>
      <w:r w:rsidR="00952E2C" w:rsidRPr="00952E2C">
        <w:rPr>
          <w:b w:val="0"/>
          <w:bCs w:val="0"/>
          <w:rtl/>
          <w:lang w:bidi="ar-SY"/>
        </w:rPr>
        <w:t xml:space="preserve">وأدرجت العناصر التقنية التي طلبها هذا القرار في التوصيتين </w:t>
      </w:r>
      <w:r w:rsidR="00952E2C" w:rsidRPr="00952E2C">
        <w:rPr>
          <w:b w:val="0"/>
          <w:bCs w:val="0"/>
          <w:lang w:bidi="ar-SY"/>
        </w:rPr>
        <w:t>ITU-R F.1760</w:t>
      </w:r>
      <w:r w:rsidR="00952E2C" w:rsidRPr="00952E2C">
        <w:rPr>
          <w:b w:val="0"/>
          <w:bCs w:val="0"/>
          <w:rtl/>
          <w:lang w:bidi="ar-SY"/>
        </w:rPr>
        <w:t xml:space="preserve"> و</w:t>
      </w:r>
      <w:r w:rsidR="00952E2C" w:rsidRPr="00952E2C">
        <w:rPr>
          <w:b w:val="0"/>
          <w:bCs w:val="0"/>
          <w:lang w:bidi="ar-SY"/>
        </w:rPr>
        <w:t>ITU-R F.1765</w:t>
      </w:r>
      <w:r w:rsidR="00A7153B">
        <w:rPr>
          <w:b w:val="0"/>
          <w:bCs w:val="0"/>
          <w:rtl/>
          <w:lang w:bidi="ar-SY"/>
        </w:rPr>
        <w:t xml:space="preserve"> (</w:t>
      </w:r>
      <w:r w:rsidR="00952E2C" w:rsidRPr="00952E2C">
        <w:rPr>
          <w:b w:val="0"/>
          <w:bCs w:val="0"/>
          <w:rtl/>
          <w:lang w:bidi="ar-SY"/>
        </w:rPr>
        <w:t>كلاهما نشر في عام 2006) ولم يُجرَ أي نشاط آخر منذ نشر هاتين التوصيتين.</w:t>
      </w:r>
      <w:r w:rsidR="00952E2C" w:rsidRPr="00952E2C">
        <w:rPr>
          <w:rtl/>
        </w:rPr>
        <w:t xml:space="preserve"> </w:t>
      </w:r>
      <w:r w:rsidR="00952E2C" w:rsidRPr="00952E2C">
        <w:rPr>
          <w:b w:val="0"/>
          <w:bCs w:val="0"/>
          <w:rtl/>
          <w:lang w:bidi="ar-SY"/>
        </w:rPr>
        <w:t>ولذلك، يمكن اع</w:t>
      </w:r>
      <w:r w:rsidR="00952E2C">
        <w:rPr>
          <w:b w:val="0"/>
          <w:bCs w:val="0"/>
          <w:rtl/>
          <w:lang w:bidi="ar-SY"/>
        </w:rPr>
        <w:t>تبار أن الدراسات التي دعا إل</w:t>
      </w:r>
      <w:r w:rsidR="00952E2C">
        <w:rPr>
          <w:rFonts w:hint="cs"/>
          <w:b w:val="0"/>
          <w:bCs w:val="0"/>
          <w:rtl/>
          <w:lang w:bidi="ar-SY"/>
        </w:rPr>
        <w:t xml:space="preserve">ى إجرائها </w:t>
      </w:r>
      <w:r w:rsidR="00952E2C" w:rsidRPr="00952E2C">
        <w:rPr>
          <w:b w:val="0"/>
          <w:bCs w:val="0"/>
          <w:rtl/>
          <w:lang w:bidi="ar-SY"/>
        </w:rPr>
        <w:t>ه</w:t>
      </w:r>
      <w:r w:rsidR="00952E2C">
        <w:rPr>
          <w:b w:val="0"/>
          <w:bCs w:val="0"/>
          <w:rtl/>
          <w:lang w:bidi="ar-SY"/>
        </w:rPr>
        <w:t>ذا القرار قد استكملت ويمكن إلغا</w:t>
      </w:r>
      <w:r w:rsidR="00952E2C">
        <w:rPr>
          <w:rFonts w:hint="cs"/>
          <w:b w:val="0"/>
          <w:bCs w:val="0"/>
          <w:rtl/>
          <w:lang w:bidi="ar-SY"/>
        </w:rPr>
        <w:t>ء القرار</w:t>
      </w:r>
      <w:r w:rsidR="00952E2C" w:rsidRPr="00952E2C">
        <w:rPr>
          <w:b w:val="0"/>
          <w:bCs w:val="0"/>
          <w:rtl/>
          <w:lang w:bidi="ar-SY"/>
        </w:rPr>
        <w:t>.</w:t>
      </w:r>
    </w:p>
    <w:p w14:paraId="2074321E" w14:textId="77777777" w:rsidR="00906936" w:rsidRDefault="004F69A8">
      <w:pPr>
        <w:pStyle w:val="Proposal"/>
      </w:pPr>
      <w:r>
        <w:t>SUP</w:t>
      </w:r>
      <w:r>
        <w:tab/>
        <w:t>USA/142A21/2</w:t>
      </w:r>
    </w:p>
    <w:p w14:paraId="24B36EF5" w14:textId="77777777" w:rsidR="004F69A8" w:rsidRPr="004763BC" w:rsidRDefault="004F69A8" w:rsidP="0078577E">
      <w:pPr>
        <w:pStyle w:val="ResNo"/>
        <w:keepLines/>
      </w:pPr>
      <w:bookmarkStart w:id="5" w:name="_Toc40075742"/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A09E2">
        <w:rPr>
          <w:rStyle w:val="href"/>
        </w:rPr>
        <w:t>160</w:t>
      </w:r>
      <w:r w:rsidRPr="004763BC">
        <w:t> (WRC</w:t>
      </w:r>
      <w:r w:rsidRPr="004763BC">
        <w:noBreakHyphen/>
        <w:t>15)</w:t>
      </w:r>
      <w:bookmarkEnd w:id="5"/>
    </w:p>
    <w:p w14:paraId="12B4807A" w14:textId="77777777" w:rsidR="004F69A8" w:rsidRPr="004763BC" w:rsidRDefault="004F69A8" w:rsidP="0078577E">
      <w:pPr>
        <w:pStyle w:val="Restitle"/>
        <w:rPr>
          <w:spacing w:val="-4"/>
        </w:rPr>
      </w:pPr>
      <w:bookmarkStart w:id="6" w:name="_Toc40075743"/>
      <w:r w:rsidRPr="004763BC">
        <w:rPr>
          <w:spacing w:val="-4"/>
          <w:rtl/>
        </w:rPr>
        <w:t>تسهيل النفاذ إلى تطبيقات النطاق العريض المقدَّمة</w:t>
      </w:r>
      <w:r w:rsidRPr="004763BC">
        <w:rPr>
          <w:rFonts w:hint="cs"/>
          <w:spacing w:val="-4"/>
          <w:rtl/>
        </w:rPr>
        <w:t xml:space="preserve"> بواسطة</w:t>
      </w:r>
      <w:r w:rsidRPr="004763BC">
        <w:rPr>
          <w:spacing w:val="-4"/>
          <w:rtl/>
        </w:rPr>
        <w:br/>
        <w:t>محط</w:t>
      </w:r>
      <w:r w:rsidRPr="004763BC">
        <w:rPr>
          <w:rFonts w:hint="cs"/>
          <w:spacing w:val="-4"/>
          <w:rtl/>
        </w:rPr>
        <w:t>ات</w:t>
      </w:r>
      <w:r w:rsidRPr="004763BC">
        <w:rPr>
          <w:spacing w:val="-4"/>
          <w:rtl/>
        </w:rPr>
        <w:t xml:space="preserve"> منص</w:t>
      </w:r>
      <w:r w:rsidRPr="004763BC">
        <w:rPr>
          <w:rFonts w:hint="cs"/>
          <w:spacing w:val="-4"/>
          <w:rtl/>
        </w:rPr>
        <w:t>ات</w:t>
      </w:r>
      <w:r w:rsidRPr="004763BC">
        <w:rPr>
          <w:spacing w:val="-4"/>
          <w:rtl/>
        </w:rPr>
        <w:t xml:space="preserve"> عالية الارتفاع</w:t>
      </w:r>
      <w:bookmarkEnd w:id="6"/>
    </w:p>
    <w:p w14:paraId="02E6BBC4" w14:textId="232AD73F" w:rsidR="00906936" w:rsidRDefault="004F69A8" w:rsidP="00952E2C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952E2C" w:rsidRPr="00952E2C">
        <w:rPr>
          <w:b w:val="0"/>
          <w:bCs w:val="0"/>
          <w:rtl/>
        </w:rPr>
        <w:t>دعا القرار</w:t>
      </w:r>
      <w:r w:rsidR="00D03CE9">
        <w:rPr>
          <w:rFonts w:hint="cs"/>
          <w:b w:val="0"/>
          <w:bCs w:val="0"/>
          <w:rtl/>
        </w:rPr>
        <w:t xml:space="preserve"> </w:t>
      </w:r>
      <w:r w:rsidR="00952E2C" w:rsidRPr="00E12B95">
        <w:rPr>
          <w:szCs w:val="24"/>
        </w:rPr>
        <w:t>160 (WRC-15)</w:t>
      </w:r>
      <w:r w:rsidR="00952E2C" w:rsidRPr="00952E2C">
        <w:rPr>
          <w:b w:val="0"/>
          <w:bCs w:val="0"/>
          <w:rtl/>
        </w:rPr>
        <w:t xml:space="preserve"> قطاع الاتصالات الراديوية إلى دراسة المتطلبات الإضافية من الطيف للبوابة ووصلات المطاريف الثابتة في محطات المنصات عالية الارتفاع (</w:t>
      </w:r>
      <w:r w:rsidR="00952E2C" w:rsidRPr="00952E2C">
        <w:rPr>
          <w:b w:val="0"/>
          <w:bCs w:val="0"/>
        </w:rPr>
        <w:t>HAPS</w:t>
      </w:r>
      <w:r w:rsidR="00952E2C" w:rsidRPr="00952E2C">
        <w:rPr>
          <w:b w:val="0"/>
          <w:bCs w:val="0"/>
          <w:rtl/>
        </w:rPr>
        <w:t xml:space="preserve">) من أجل توفير التوصيلية عريضة النطاق في الخدمة الثابتة بموجب البند 14.1 من جدول أعمال المؤتمر </w:t>
      </w:r>
      <w:r w:rsidR="00952E2C" w:rsidRPr="00952E2C">
        <w:rPr>
          <w:b w:val="0"/>
          <w:bCs w:val="0"/>
        </w:rPr>
        <w:t>WRC-19</w:t>
      </w:r>
      <w:r w:rsidR="00952E2C" w:rsidRPr="00952E2C">
        <w:rPr>
          <w:b w:val="0"/>
          <w:bCs w:val="0"/>
          <w:rtl/>
        </w:rPr>
        <w:t>.</w:t>
      </w:r>
      <w:r w:rsidR="00952E2C" w:rsidRPr="00952E2C">
        <w:rPr>
          <w:rtl/>
        </w:rPr>
        <w:t xml:space="preserve"> </w:t>
      </w:r>
      <w:r w:rsidR="00952E2C" w:rsidRPr="00952E2C">
        <w:rPr>
          <w:b w:val="0"/>
          <w:bCs w:val="0"/>
          <w:rtl/>
        </w:rPr>
        <w:t xml:space="preserve">وقرر المؤتمر </w:t>
      </w:r>
      <w:r w:rsidR="00952E2C" w:rsidRPr="00952E2C">
        <w:rPr>
          <w:b w:val="0"/>
          <w:bCs w:val="0"/>
        </w:rPr>
        <w:t>WRC-19</w:t>
      </w:r>
      <w:r w:rsidR="00952E2C" w:rsidRPr="00952E2C">
        <w:rPr>
          <w:b w:val="0"/>
          <w:bCs w:val="0"/>
          <w:rtl/>
        </w:rPr>
        <w:t xml:space="preserve"> تحديد عدة نطاقات للخدمة الثابتة (مع مراعاة الرقم</w:t>
      </w:r>
      <w:r w:rsidR="00D03CE9">
        <w:rPr>
          <w:rFonts w:hint="cs"/>
          <w:b w:val="0"/>
          <w:bCs w:val="0"/>
          <w:rtl/>
        </w:rPr>
        <w:t> </w:t>
      </w:r>
      <w:r w:rsidR="00952E2C" w:rsidRPr="00952E2C">
        <w:rPr>
          <w:rtl/>
        </w:rPr>
        <w:t>23.4</w:t>
      </w:r>
      <w:r w:rsidR="00952E2C" w:rsidRPr="00952E2C">
        <w:rPr>
          <w:b w:val="0"/>
          <w:bCs w:val="0"/>
          <w:rtl/>
        </w:rPr>
        <w:t xml:space="preserve"> من لوائح الراديو) لتشغيل محطات المنصات عالية الارتفاع، إلى جانب القرارات ذات الصلة التي توفر الحماية للخدمات القائمة.</w:t>
      </w:r>
      <w:r w:rsidR="00952E2C">
        <w:rPr>
          <w:rFonts w:hint="cs"/>
          <w:b w:val="0"/>
          <w:bCs w:val="0"/>
          <w:rtl/>
        </w:rPr>
        <w:t xml:space="preserve"> </w:t>
      </w:r>
      <w:r w:rsidR="00952E2C" w:rsidRPr="00952E2C">
        <w:rPr>
          <w:b w:val="0"/>
          <w:bCs w:val="0"/>
          <w:rtl/>
        </w:rPr>
        <w:t>واستكمل العمل بموجب القرار</w:t>
      </w:r>
      <w:r w:rsidR="00952E2C">
        <w:rPr>
          <w:rFonts w:hint="cs"/>
          <w:b w:val="0"/>
          <w:bCs w:val="0"/>
          <w:rtl/>
        </w:rPr>
        <w:t xml:space="preserve"> </w:t>
      </w:r>
      <w:r w:rsidR="00952E2C" w:rsidRPr="00E12B95">
        <w:rPr>
          <w:szCs w:val="24"/>
        </w:rPr>
        <w:t>160 (WRC-15)</w:t>
      </w:r>
      <w:r w:rsidR="00952E2C" w:rsidRPr="00952E2C">
        <w:rPr>
          <w:b w:val="0"/>
          <w:bCs w:val="0"/>
          <w:rtl/>
        </w:rPr>
        <w:t xml:space="preserve"> في المؤتمر </w:t>
      </w:r>
      <w:r w:rsidR="00952E2C" w:rsidRPr="00952E2C">
        <w:rPr>
          <w:b w:val="0"/>
          <w:bCs w:val="0"/>
        </w:rPr>
        <w:t>WRC-19</w:t>
      </w:r>
      <w:r w:rsidR="00952E2C" w:rsidRPr="00952E2C">
        <w:rPr>
          <w:b w:val="0"/>
          <w:bCs w:val="0"/>
          <w:rtl/>
        </w:rPr>
        <w:t>، غير أن المؤتمر لم يلغ هذا القرار عن غير قصد.</w:t>
      </w:r>
    </w:p>
    <w:p w14:paraId="426E8AEA" w14:textId="48C02969" w:rsidR="00B23021" w:rsidRPr="00E40603" w:rsidRDefault="00E40603" w:rsidP="00E40603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E40603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23021" w:rsidRPr="00E40603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46C5" w14:textId="77777777" w:rsidR="001A6F04" w:rsidRDefault="001A6F04" w:rsidP="002919E1">
      <w:r>
        <w:separator/>
      </w:r>
    </w:p>
    <w:p w14:paraId="1D1BE1DD" w14:textId="77777777" w:rsidR="001A6F04" w:rsidRDefault="001A6F04" w:rsidP="002919E1"/>
    <w:p w14:paraId="51B49D25" w14:textId="77777777" w:rsidR="001A6F04" w:rsidRDefault="001A6F04" w:rsidP="002919E1"/>
    <w:p w14:paraId="18FD87AF" w14:textId="77777777" w:rsidR="001A6F04" w:rsidRDefault="001A6F04"/>
    <w:p w14:paraId="514B05FC" w14:textId="77777777" w:rsidR="001A6F04" w:rsidRDefault="001A6F04"/>
  </w:endnote>
  <w:endnote w:type="continuationSeparator" w:id="0">
    <w:p w14:paraId="74AED7BE" w14:textId="77777777" w:rsidR="001A6F04" w:rsidRDefault="001A6F04" w:rsidP="002919E1">
      <w:r>
        <w:continuationSeparator/>
      </w:r>
    </w:p>
    <w:p w14:paraId="72978191" w14:textId="77777777" w:rsidR="001A6F04" w:rsidRDefault="001A6F04" w:rsidP="002919E1"/>
    <w:p w14:paraId="39528718" w14:textId="77777777" w:rsidR="001A6F04" w:rsidRDefault="001A6F04" w:rsidP="002919E1"/>
    <w:p w14:paraId="2E158175" w14:textId="77777777" w:rsidR="001A6F04" w:rsidRDefault="001A6F04"/>
    <w:p w14:paraId="0A1421E6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833E" w14:textId="5D70A055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320CB">
      <w:rPr>
        <w:noProof/>
        <w:sz w:val="16"/>
        <w:szCs w:val="16"/>
        <w:lang w:val="fr-FR"/>
      </w:rPr>
      <w:t>P:\ARA\ITU-R\CONF-R\CMR23\100\142ADD21A.docx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912697">
      <w:rPr>
        <w:sz w:val="16"/>
        <w:szCs w:val="16"/>
        <w:lang w:val="fr-FR"/>
      </w:rPr>
      <w:t>530356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C0A7" w14:textId="7A56B01F" w:rsidR="00B320CB" w:rsidRPr="00B320CB" w:rsidRDefault="00B320CB" w:rsidP="00B320C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P:\ARA\ITU-R\CONF-R\CMR23\100\142ADD21A.docx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530356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7718" w14:textId="77777777" w:rsidR="001A6F04" w:rsidRDefault="001A6F04" w:rsidP="00C45930">
      <w:r>
        <w:separator/>
      </w:r>
    </w:p>
  </w:footnote>
  <w:footnote w:type="continuationSeparator" w:id="0">
    <w:p w14:paraId="1083D9A2" w14:textId="77777777" w:rsidR="001A6F04" w:rsidRDefault="001A6F04" w:rsidP="002919E1">
      <w:r>
        <w:continuationSeparator/>
      </w:r>
    </w:p>
    <w:p w14:paraId="2D40DC24" w14:textId="77777777" w:rsidR="001A6F04" w:rsidRDefault="001A6F04" w:rsidP="002919E1"/>
    <w:p w14:paraId="2C4A2513" w14:textId="77777777" w:rsidR="001A6F04" w:rsidRDefault="001A6F04" w:rsidP="002919E1"/>
    <w:p w14:paraId="337D1522" w14:textId="77777777" w:rsidR="001A6F04" w:rsidRDefault="001A6F04"/>
    <w:p w14:paraId="60A07AEA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18A2" w14:textId="1A6CF151" w:rsidR="00D63A6F" w:rsidRPr="008F28AE" w:rsidRDefault="005E5F16" w:rsidP="008F28AE">
    <w:pPr>
      <w:bidi w:val="0"/>
      <w:spacing w:after="360" w:line="240" w:lineRule="auto"/>
      <w:jc w:val="center"/>
      <w:rPr>
        <w:sz w:val="20"/>
        <w:szCs w:val="20"/>
      </w:rPr>
    </w:pPr>
    <w:r w:rsidRPr="008F28AE">
      <w:rPr>
        <w:rStyle w:val="PageNumber"/>
        <w:rFonts w:ascii="Dubai" w:hAnsi="Dubai" w:cs="Dubai"/>
      </w:rPr>
      <w:fldChar w:fldCharType="begin"/>
    </w:r>
    <w:r w:rsidRPr="008F28AE">
      <w:rPr>
        <w:rStyle w:val="PageNumber"/>
        <w:rFonts w:ascii="Dubai" w:hAnsi="Dubai" w:cs="Dubai"/>
      </w:rPr>
      <w:instrText xml:space="preserve"> PAGE </w:instrText>
    </w:r>
    <w:r w:rsidRPr="008F28AE">
      <w:rPr>
        <w:rStyle w:val="PageNumber"/>
        <w:rFonts w:ascii="Dubai" w:hAnsi="Dubai" w:cs="Dubai"/>
      </w:rPr>
      <w:fldChar w:fldCharType="separate"/>
    </w:r>
    <w:r w:rsidR="00A7153B">
      <w:rPr>
        <w:rStyle w:val="PageNumber"/>
        <w:rFonts w:ascii="Dubai" w:hAnsi="Dubai" w:cs="Dubai"/>
        <w:noProof/>
      </w:rPr>
      <w:t>2</w:t>
    </w:r>
    <w:r w:rsidRPr="008F28AE">
      <w:rPr>
        <w:rStyle w:val="PageNumber"/>
        <w:rFonts w:ascii="Dubai" w:hAnsi="Dubai" w:cs="Dubai"/>
      </w:rPr>
      <w:fldChar w:fldCharType="end"/>
    </w:r>
    <w:r w:rsidRPr="008F28AE">
      <w:rPr>
        <w:rStyle w:val="PageNumber"/>
        <w:rFonts w:ascii="Dubai" w:hAnsi="Dubai" w:cs="Dubai"/>
        <w:rtl/>
      </w:rPr>
      <w:br/>
    </w:r>
    <w:r w:rsidR="004F5F29" w:rsidRPr="008F28AE">
      <w:rPr>
        <w:rStyle w:val="PageNumber"/>
        <w:rFonts w:ascii="Dubai" w:hAnsi="Dubai" w:cs="Dubai"/>
      </w:rPr>
      <w:t>WRC</w:t>
    </w:r>
    <w:r w:rsidRPr="008F28AE">
      <w:rPr>
        <w:rStyle w:val="PageNumber"/>
        <w:rFonts w:ascii="Dubai" w:hAnsi="Dubai" w:cs="Dubai"/>
      </w:rPr>
      <w:t>23/142(Add.21)-A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E6C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2E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0A2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5CD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689750">
    <w:abstractNumId w:val="9"/>
  </w:num>
  <w:num w:numId="2" w16cid:durableId="315963236">
    <w:abstractNumId w:val="13"/>
  </w:num>
  <w:num w:numId="3" w16cid:durableId="801002002">
    <w:abstractNumId w:val="11"/>
  </w:num>
  <w:num w:numId="4" w16cid:durableId="27415387">
    <w:abstractNumId w:val="14"/>
  </w:num>
  <w:num w:numId="5" w16cid:durableId="1799450761">
    <w:abstractNumId w:val="7"/>
  </w:num>
  <w:num w:numId="6" w16cid:durableId="4720561">
    <w:abstractNumId w:val="6"/>
  </w:num>
  <w:num w:numId="7" w16cid:durableId="186869313">
    <w:abstractNumId w:val="5"/>
  </w:num>
  <w:num w:numId="8" w16cid:durableId="1919905167">
    <w:abstractNumId w:val="4"/>
  </w:num>
  <w:num w:numId="9" w16cid:durableId="851606267">
    <w:abstractNumId w:val="8"/>
  </w:num>
  <w:num w:numId="10" w16cid:durableId="586304013">
    <w:abstractNumId w:val="3"/>
  </w:num>
  <w:num w:numId="11" w16cid:durableId="870529850">
    <w:abstractNumId w:val="2"/>
  </w:num>
  <w:num w:numId="12" w16cid:durableId="1827472402">
    <w:abstractNumId w:val="1"/>
  </w:num>
  <w:num w:numId="13" w16cid:durableId="2003585788">
    <w:abstractNumId w:val="0"/>
  </w:num>
  <w:num w:numId="14" w16cid:durableId="1271205281">
    <w:abstractNumId w:val="10"/>
  </w:num>
  <w:num w:numId="15" w16cid:durableId="1087381994">
    <w:abstractNumId w:val="15"/>
  </w:num>
  <w:num w:numId="16" w16cid:durableId="1581022285">
    <w:abstractNumId w:val="12"/>
  </w:num>
  <w:num w:numId="17" w16cid:durableId="1383091998">
    <w:abstractNumId w:val="6"/>
  </w:num>
  <w:num w:numId="18" w16cid:durableId="1187527690">
    <w:abstractNumId w:val="5"/>
  </w:num>
  <w:num w:numId="19" w16cid:durableId="948465587">
    <w:abstractNumId w:val="3"/>
  </w:num>
  <w:num w:numId="20" w16cid:durableId="1895389848">
    <w:abstractNumId w:val="2"/>
  </w:num>
  <w:num w:numId="21" w16cid:durableId="1681539437">
    <w:abstractNumId w:val="6"/>
  </w:num>
  <w:num w:numId="22" w16cid:durableId="1231580642">
    <w:abstractNumId w:val="5"/>
  </w:num>
  <w:num w:numId="23" w16cid:durableId="2066752226">
    <w:abstractNumId w:val="3"/>
  </w:num>
  <w:num w:numId="24" w16cid:durableId="176337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69E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3D48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3C36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4F69A8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86DE3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3176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2588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28AE"/>
    <w:rsid w:val="008F3368"/>
    <w:rsid w:val="008F4626"/>
    <w:rsid w:val="008F6F58"/>
    <w:rsid w:val="009004DF"/>
    <w:rsid w:val="0090079C"/>
    <w:rsid w:val="00903820"/>
    <w:rsid w:val="00904AA5"/>
    <w:rsid w:val="00906936"/>
    <w:rsid w:val="00906BA8"/>
    <w:rsid w:val="00907ECF"/>
    <w:rsid w:val="00912697"/>
    <w:rsid w:val="00921CBB"/>
    <w:rsid w:val="00932571"/>
    <w:rsid w:val="009344B2"/>
    <w:rsid w:val="0094097F"/>
    <w:rsid w:val="00951718"/>
    <w:rsid w:val="00951BEC"/>
    <w:rsid w:val="00952E2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153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021"/>
    <w:rsid w:val="00B23C68"/>
    <w:rsid w:val="00B24B17"/>
    <w:rsid w:val="00B26943"/>
    <w:rsid w:val="00B269D2"/>
    <w:rsid w:val="00B303E0"/>
    <w:rsid w:val="00B320CB"/>
    <w:rsid w:val="00B357D8"/>
    <w:rsid w:val="00B357E9"/>
    <w:rsid w:val="00B4164D"/>
    <w:rsid w:val="00B425C1"/>
    <w:rsid w:val="00B4572A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0E43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3CE9"/>
    <w:rsid w:val="00D05322"/>
    <w:rsid w:val="00D10CFC"/>
    <w:rsid w:val="00D1728C"/>
    <w:rsid w:val="00D21226"/>
    <w:rsid w:val="00D21235"/>
    <w:rsid w:val="00D25120"/>
    <w:rsid w:val="00D27F6E"/>
    <w:rsid w:val="00D36A40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060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675EF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89BF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c9f8a6b-f269-41d0-ba4c-e308295cfb25" targetNamespace="http://schemas.microsoft.com/office/2006/metadata/properties" ma:root="true" ma:fieldsID="d41af5c836d734370eb92e7ee5f83852" ns2:_="" ns3:_="">
    <xsd:import namespace="996b2e75-67fd-4955-a3b0-5ab9934cb50b"/>
    <xsd:import namespace="cc9f8a6b-f269-41d0-ba4c-e308295cfb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8a6b-f269-41d0-ba4c-e308295cfb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c9f8a6b-f269-41d0-ba4c-e308295cfb25">DPM</DPM_x0020_Author>
    <DPM_x0020_File_x0020_name xmlns="cc9f8a6b-f269-41d0-ba4c-e308295cfb25">R23-WRC23-C-0142!A21!MSW-A</DPM_x0020_File_x0020_name>
    <DPM_x0020_Version xmlns="cc9f8a6b-f269-41d0-ba4c-e308295cfb25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B3F41D-E677-4F2B-AC16-7851AD565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c9f8a6b-f269-41d0-ba4c-e308295c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8a6b-f269-41d0-ba4c-e308295c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R23-WRC23-C-0142!A21!MSW-A</vt:lpstr>
    </vt:vector>
  </TitlesOfParts>
  <Manager>General Secretariat - Pool</Manager>
  <Company>International Telecommunication Union (ITU)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R23-WRC23-C-0142!A21!MSW-A</dc:title>
  <dc:creator>Documents Proposals Manager (DPM)</dc:creator>
  <cp:keywords>DPM_v2023.8.1.1_prod</cp:keywords>
  <cp:lastModifiedBy>Arabic_HD</cp:lastModifiedBy>
  <cp:revision>5</cp:revision>
  <cp:lastPrinted>2020-08-11T14:28:00Z</cp:lastPrinted>
  <dcterms:created xsi:type="dcterms:W3CDTF">2023-11-17T06:53:00Z</dcterms:created>
  <dcterms:modified xsi:type="dcterms:W3CDTF">2023-11-17T19:57:00Z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