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38E73F3E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737C737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16D29C96" wp14:editId="28CDD387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31E284B0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5A092994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2C8D0435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B389BE2" wp14:editId="45C135FF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435CD779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1A720D22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46EA280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7B4D31E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5BC32807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68E38409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C43BC16" w14:textId="77777777" w:rsidTr="00752552">
        <w:trPr>
          <w:cantSplit/>
        </w:trPr>
        <w:tc>
          <w:tcPr>
            <w:tcW w:w="6696" w:type="dxa"/>
            <w:gridSpan w:val="2"/>
          </w:tcPr>
          <w:p w14:paraId="5B801C38" w14:textId="77777777" w:rsidR="000D1EE4" w:rsidRPr="00505B26" w:rsidRDefault="00E50850" w:rsidP="00A5456D">
            <w:pPr>
              <w:pStyle w:val="Committee"/>
              <w:bidi/>
              <w:rPr>
                <w:rtl/>
                <w:lang w:bidi="ar-EG"/>
              </w:rPr>
            </w:pPr>
            <w:r w:rsidRPr="0018721C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CC77E43" w14:textId="77777777" w:rsidR="000D1EE4" w:rsidRPr="00A5456D" w:rsidRDefault="00E50850" w:rsidP="00A5456D">
            <w:pPr>
              <w:jc w:val="left"/>
              <w:rPr>
                <w:b/>
                <w:bCs/>
                <w:rtl/>
                <w:lang w:bidi="ar-EG"/>
              </w:rPr>
            </w:pPr>
            <w:r w:rsidRPr="00A5456D">
              <w:rPr>
                <w:rFonts w:eastAsia="SimSun"/>
                <w:b/>
                <w:bCs/>
                <w:rtl/>
                <w:lang w:bidi="ar-EG"/>
              </w:rPr>
              <w:t>الإضافة 4</w:t>
            </w:r>
            <w:r w:rsidRPr="00A5456D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A5456D">
              <w:rPr>
                <w:rFonts w:eastAsia="SimSun"/>
                <w:b/>
                <w:bCs/>
              </w:rPr>
              <w:t>148-A</w:t>
            </w:r>
          </w:p>
        </w:tc>
      </w:tr>
      <w:tr w:rsidR="000D1EE4" w:rsidRPr="000D1EE4" w14:paraId="509F3EE8" w14:textId="77777777" w:rsidTr="00752552">
        <w:trPr>
          <w:cantSplit/>
        </w:trPr>
        <w:tc>
          <w:tcPr>
            <w:tcW w:w="6696" w:type="dxa"/>
            <w:gridSpan w:val="2"/>
          </w:tcPr>
          <w:p w14:paraId="7D937978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DA7FCF0" w14:textId="77777777" w:rsidR="000D1EE4" w:rsidRPr="00A5456D" w:rsidRDefault="00E50850" w:rsidP="00A5456D">
            <w:pPr>
              <w:jc w:val="left"/>
              <w:rPr>
                <w:b/>
                <w:bCs/>
                <w:rtl/>
                <w:lang w:bidi="ar-EG"/>
              </w:rPr>
            </w:pPr>
            <w:r w:rsidRPr="00A5456D">
              <w:rPr>
                <w:rFonts w:eastAsia="SimSun"/>
                <w:b/>
                <w:bCs/>
              </w:rPr>
              <w:t>25</w:t>
            </w:r>
            <w:r w:rsidRPr="00A5456D">
              <w:rPr>
                <w:rFonts w:eastAsia="SimSun"/>
                <w:b/>
                <w:bCs/>
                <w:rtl/>
              </w:rPr>
              <w:t xml:space="preserve"> أكتوبر </w:t>
            </w:r>
            <w:r w:rsidRPr="00A5456D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3CE6933A" w14:textId="77777777" w:rsidTr="00752552">
        <w:trPr>
          <w:cantSplit/>
        </w:trPr>
        <w:tc>
          <w:tcPr>
            <w:tcW w:w="6696" w:type="dxa"/>
            <w:gridSpan w:val="2"/>
          </w:tcPr>
          <w:p w14:paraId="083D1B35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B497A53" w14:textId="77777777" w:rsidR="000D1EE4" w:rsidRPr="00A5456D" w:rsidRDefault="00E50850" w:rsidP="00A5456D">
            <w:pPr>
              <w:jc w:val="left"/>
              <w:rPr>
                <w:b/>
                <w:bCs/>
                <w:lang w:bidi="ar-EG"/>
              </w:rPr>
            </w:pPr>
            <w:r w:rsidRPr="00A5456D">
              <w:rPr>
                <w:rFonts w:ascii="Verdana Bold" w:hAnsi="Verdana Bold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5A632818" w14:textId="77777777" w:rsidTr="00752552">
        <w:trPr>
          <w:cantSplit/>
        </w:trPr>
        <w:tc>
          <w:tcPr>
            <w:tcW w:w="9666" w:type="dxa"/>
            <w:gridSpan w:val="4"/>
          </w:tcPr>
          <w:p w14:paraId="74AAE013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89A6CE4" w14:textId="77777777" w:rsidTr="00752552">
        <w:trPr>
          <w:cantSplit/>
        </w:trPr>
        <w:tc>
          <w:tcPr>
            <w:tcW w:w="9666" w:type="dxa"/>
            <w:gridSpan w:val="4"/>
          </w:tcPr>
          <w:p w14:paraId="29060FD7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إيران الإسلامية</w:t>
            </w:r>
          </w:p>
        </w:tc>
      </w:tr>
      <w:tr w:rsidR="000D1EE4" w:rsidRPr="000D1EE4" w14:paraId="2F90D1FB" w14:textId="77777777" w:rsidTr="00752552">
        <w:trPr>
          <w:cantSplit/>
        </w:trPr>
        <w:tc>
          <w:tcPr>
            <w:tcW w:w="9666" w:type="dxa"/>
            <w:gridSpan w:val="4"/>
          </w:tcPr>
          <w:p w14:paraId="0750531A" w14:textId="48F5F33B" w:rsidR="000D1EE4" w:rsidRPr="000D1EE4" w:rsidRDefault="00A5456D" w:rsidP="000D1EE4">
            <w:pPr>
              <w:pStyle w:val="Title1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مقترحات بشأن أعمال المؤتمر</w:t>
            </w:r>
          </w:p>
        </w:tc>
      </w:tr>
      <w:tr w:rsidR="000D1EE4" w:rsidRPr="000D1EE4" w14:paraId="298A28D2" w14:textId="77777777" w:rsidTr="00752552">
        <w:trPr>
          <w:cantSplit/>
        </w:trPr>
        <w:tc>
          <w:tcPr>
            <w:tcW w:w="9666" w:type="dxa"/>
            <w:gridSpan w:val="4"/>
          </w:tcPr>
          <w:p w14:paraId="61D4533D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03A3B24D" w14:textId="77777777" w:rsidTr="00752552">
        <w:trPr>
          <w:cantSplit/>
        </w:trPr>
        <w:tc>
          <w:tcPr>
            <w:tcW w:w="9666" w:type="dxa"/>
            <w:gridSpan w:val="4"/>
          </w:tcPr>
          <w:p w14:paraId="344CDC14" w14:textId="2BA3C68E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A5456D">
              <w:rPr>
                <w:rFonts w:hint="cs"/>
                <w:rtl/>
              </w:rPr>
              <w:t xml:space="preserve"> </w:t>
            </w:r>
            <w:r w:rsidR="00A5456D">
              <w:rPr>
                <w:rtl/>
              </w:rPr>
              <w:t>4.1</w:t>
            </w:r>
          </w:p>
        </w:tc>
      </w:tr>
    </w:tbl>
    <w:p w14:paraId="39FBEEF1" w14:textId="77777777" w:rsidR="001D188A" w:rsidRPr="00AE7DB7" w:rsidRDefault="00234216" w:rsidP="00AE7DB7">
      <w:pPr>
        <w:rPr>
          <w:rtl/>
        </w:rPr>
      </w:pPr>
      <w:r w:rsidRPr="001D188A">
        <w:rPr>
          <w:bCs/>
        </w:rPr>
        <w:t>4.1</w:t>
      </w:r>
      <w:r w:rsidRPr="001D188A">
        <w:rPr>
          <w:b/>
        </w:rPr>
        <w:tab/>
      </w:r>
      <w:r w:rsidRPr="001D188A">
        <w:rPr>
          <w:rFonts w:hint="cs"/>
          <w:rtl/>
          <w:lang w:bidi="ar-EG"/>
        </w:rPr>
        <w:t>أن ينظر</w:t>
      </w:r>
      <w:r w:rsidRPr="001D188A">
        <w:rPr>
          <w:rFonts w:hint="cs"/>
          <w:b/>
          <w:rtl/>
          <w:lang w:bidi="ar-EG"/>
        </w:rPr>
        <w:t xml:space="preserve"> وفقاً للقرار </w:t>
      </w:r>
      <w:r w:rsidRPr="001D188A">
        <w:rPr>
          <w:b/>
          <w:bCs/>
        </w:rPr>
        <w:t>247 (WRC-19)</w:t>
      </w:r>
      <w:r w:rsidRPr="001D188A">
        <w:rPr>
          <w:rFonts w:hint="cs"/>
          <w:b/>
          <w:bCs/>
          <w:rtl/>
          <w:lang w:bidi="ar-EG"/>
        </w:rPr>
        <w:t xml:space="preserve"> </w:t>
      </w:r>
      <w:r w:rsidRPr="001D188A">
        <w:rPr>
          <w:rFonts w:hint="cs"/>
          <w:b/>
          <w:rtl/>
          <w:lang w:bidi="ar-EG"/>
        </w:rPr>
        <w:t xml:space="preserve">في استعمال محطات المنصات عالية الارتفاع كمحطات قاعدة </w:t>
      </w:r>
      <w:r w:rsidRPr="001D188A">
        <w:rPr>
          <w:rFonts w:hint="cs"/>
          <w:rtl/>
        </w:rPr>
        <w:t xml:space="preserve">للاتصالات المتنقلة الدولية </w:t>
      </w:r>
      <w:r w:rsidRPr="001D188A">
        <w:t>(HIBS)</w:t>
      </w:r>
      <w:r w:rsidRPr="001D188A">
        <w:rPr>
          <w:rFonts w:hint="cs"/>
          <w:rtl/>
        </w:rPr>
        <w:t xml:space="preserve"> في الخدمة المتنقلة في بعض نطاقات التردد دون </w:t>
      </w:r>
      <w:r w:rsidRPr="001D188A">
        <w:t>GHz 2,7</w:t>
      </w:r>
      <w:r w:rsidRPr="001D188A">
        <w:rPr>
          <w:rFonts w:hint="cs"/>
          <w:rtl/>
        </w:rPr>
        <w:t xml:space="preserve"> المحددة بالفعل للاتصالات المتنقلة الدولية، على الصعيد العالمي أو</w:t>
      </w:r>
      <w:r w:rsidRPr="001D188A">
        <w:rPr>
          <w:rFonts w:hint="eastAsia"/>
          <w:rtl/>
        </w:rPr>
        <w:t> </w:t>
      </w:r>
      <w:proofErr w:type="gramStart"/>
      <w:r w:rsidRPr="001D188A">
        <w:rPr>
          <w:rFonts w:hint="cs"/>
          <w:b/>
          <w:rtl/>
          <w:lang w:bidi="ar-EG"/>
        </w:rPr>
        <w:t>الإقليمي؛</w:t>
      </w:r>
      <w:proofErr w:type="gramEnd"/>
    </w:p>
    <w:p w14:paraId="110A6B85" w14:textId="74E1A62E" w:rsidR="00417E14" w:rsidRDefault="00A5456D" w:rsidP="00A5456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0FB13910" w14:textId="0E4AAA73" w:rsidR="00A5456D" w:rsidRDefault="00F20B22" w:rsidP="001A715D">
      <w:pPr>
        <w:rPr>
          <w:rtl/>
        </w:rPr>
      </w:pPr>
      <w:r w:rsidRPr="00F20B22">
        <w:rPr>
          <w:rtl/>
        </w:rPr>
        <w:t xml:space="preserve">من الواضح أن استخدام </w:t>
      </w:r>
      <w:r w:rsidR="005543B4" w:rsidRPr="005543B4">
        <w:rPr>
          <w:rtl/>
        </w:rPr>
        <w:t xml:space="preserve">محطات المنصات عالية الارتفاع </w:t>
      </w:r>
      <w:r w:rsidR="005543B4" w:rsidRPr="001D188A">
        <w:t>(HIBS)</w:t>
      </w:r>
      <w:r w:rsidR="005543B4" w:rsidRPr="001D188A">
        <w:rPr>
          <w:rFonts w:hint="cs"/>
          <w:rtl/>
        </w:rPr>
        <w:t xml:space="preserve"> </w:t>
      </w:r>
      <w:r w:rsidRPr="00F20B22">
        <w:rPr>
          <w:rtl/>
        </w:rPr>
        <w:t xml:space="preserve">في نطاقات التردد الأربعة بموجب البند </w:t>
      </w:r>
      <w:r w:rsidR="005543B4">
        <w:rPr>
          <w:rFonts w:hint="cs"/>
          <w:rtl/>
        </w:rPr>
        <w:t>4.1</w:t>
      </w:r>
      <w:r w:rsidRPr="00F20B22">
        <w:rPr>
          <w:rtl/>
        </w:rPr>
        <w:t xml:space="preserve"> من جدول أعمال المؤتمر </w:t>
      </w:r>
      <w:r w:rsidRPr="00F20B22">
        <w:t>WRC 23</w:t>
      </w:r>
      <w:r w:rsidRPr="00F20B22">
        <w:rPr>
          <w:rtl/>
        </w:rPr>
        <w:t xml:space="preserve"> لن يتسبب في تداخلات أو المطالبة بالحماية منها وفرض أي قيود إضافية على استخدام الأنظمة الحالية في نفس نطاقات الترددات المجاورة.</w:t>
      </w:r>
      <w:r w:rsidR="001A715D">
        <w:rPr>
          <w:rFonts w:hint="cs"/>
          <w:rtl/>
        </w:rPr>
        <w:t xml:space="preserve"> و</w:t>
      </w:r>
      <w:r w:rsidRPr="00F20B22">
        <w:rPr>
          <w:rtl/>
        </w:rPr>
        <w:t xml:space="preserve">لا تتضمن دراسات التقاسم والتوافق التي أجرتها فرقة العمل </w:t>
      </w:r>
      <w:r w:rsidRPr="00F20B22">
        <w:t>5D</w:t>
      </w:r>
      <w:r w:rsidRPr="00F20B22">
        <w:rPr>
          <w:rtl/>
        </w:rPr>
        <w:t xml:space="preserve"> ح</w:t>
      </w:r>
      <w:r w:rsidR="001A715D">
        <w:rPr>
          <w:rtl/>
        </w:rPr>
        <w:t xml:space="preserve">سابًا واضحًا لميزانية </w:t>
      </w:r>
      <w:r w:rsidR="001A715D">
        <w:rPr>
          <w:rFonts w:hint="cs"/>
          <w:rtl/>
        </w:rPr>
        <w:t xml:space="preserve">الوصلتين الهابطة والصاعدة في المحطات </w:t>
      </w:r>
      <w:r w:rsidR="001A715D" w:rsidRPr="001D188A">
        <w:t>HIBS</w:t>
      </w:r>
      <w:r w:rsidR="001A715D">
        <w:rPr>
          <w:rFonts w:hint="cs"/>
          <w:rtl/>
        </w:rPr>
        <w:t xml:space="preserve">، </w:t>
      </w:r>
      <w:r w:rsidR="00AD7D91">
        <w:rPr>
          <w:rtl/>
        </w:rPr>
        <w:t>في حين تسمح ميزانية الوصل</w:t>
      </w:r>
      <w:r w:rsidR="00AD7D91">
        <w:rPr>
          <w:rFonts w:hint="cs"/>
          <w:rtl/>
        </w:rPr>
        <w:t>تين</w:t>
      </w:r>
      <w:r w:rsidRPr="00F20B22">
        <w:rPr>
          <w:rtl/>
        </w:rPr>
        <w:t xml:space="preserve"> للإدارات بإجراء تقييم واضح للتداخل وحماية الخدمات الأخرى </w:t>
      </w:r>
      <w:r w:rsidR="001A715D">
        <w:rPr>
          <w:rFonts w:hint="cs"/>
          <w:rtl/>
        </w:rPr>
        <w:t>الحالية</w:t>
      </w:r>
      <w:r w:rsidRPr="00F20B22">
        <w:rPr>
          <w:rtl/>
        </w:rPr>
        <w:t xml:space="preserve"> العاملة في نفس نطاقات التردد. ولذلك، هناك حاجة إلى إجراء المزيد من الدراسات والمراجعات لخصائص</w:t>
      </w:r>
      <w:r w:rsidR="001A715D">
        <w:rPr>
          <w:rFonts w:hint="cs"/>
          <w:rtl/>
        </w:rPr>
        <w:t xml:space="preserve"> المحطات</w:t>
      </w:r>
      <w:r w:rsidRPr="00F20B22">
        <w:rPr>
          <w:rtl/>
        </w:rPr>
        <w:t xml:space="preserve"> </w:t>
      </w:r>
      <w:r w:rsidRPr="00F20B22">
        <w:t>HIBS</w:t>
      </w:r>
      <w:r w:rsidRPr="00F20B22">
        <w:rPr>
          <w:rtl/>
        </w:rPr>
        <w:t xml:space="preserve"> ودراسات التقاسم والتوافق ذات الصلة.</w:t>
      </w:r>
    </w:p>
    <w:p w14:paraId="4ED8E1D8" w14:textId="459C2DFB" w:rsidR="00A5456D" w:rsidRDefault="00A5456D" w:rsidP="00A5456D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14:paraId="57CB8A3B" w14:textId="307D6101" w:rsidR="00B24B17" w:rsidRDefault="00AD7D91" w:rsidP="00A008AD">
      <w:pPr>
        <w:rPr>
          <w:rtl/>
          <w:lang w:val="fr-CH" w:bidi="ar-SY"/>
        </w:rPr>
      </w:pPr>
      <w:r w:rsidRPr="00AD7D91">
        <w:rPr>
          <w:rtl/>
        </w:rPr>
        <w:t>ترى هذه الإدارة أن أوجه الغموض التي تكتنف دراسات التقاسم والتوافق فيما يتعلق بمعلمات</w:t>
      </w:r>
      <w:r>
        <w:rPr>
          <w:rFonts w:hint="cs"/>
          <w:rtl/>
        </w:rPr>
        <w:t xml:space="preserve"> المحطات</w:t>
      </w:r>
      <w:r w:rsidRPr="00AD7D91">
        <w:rPr>
          <w:rtl/>
        </w:rPr>
        <w:t xml:space="preserve"> </w:t>
      </w:r>
      <w:r w:rsidRPr="00AD7D91">
        <w:t>HIBS</w:t>
      </w:r>
      <w:r>
        <w:rPr>
          <w:rtl/>
        </w:rPr>
        <w:t xml:space="preserve"> وميزانيات الوصل</w:t>
      </w:r>
      <w:r>
        <w:rPr>
          <w:rFonts w:hint="cs"/>
          <w:rtl/>
        </w:rPr>
        <w:t>تين</w:t>
      </w:r>
      <w:r w:rsidRPr="00AD7D91">
        <w:rPr>
          <w:rtl/>
        </w:rPr>
        <w:t xml:space="preserve"> تجعل من الصعب للغاية تقييم حماية الخدمات الحالية. </w:t>
      </w:r>
      <w:r>
        <w:rPr>
          <w:rFonts w:hint="cs"/>
          <w:rtl/>
        </w:rPr>
        <w:t>بالإضافة إلى ذلك</w:t>
      </w:r>
      <w:r w:rsidRPr="00AD7D91">
        <w:rPr>
          <w:rtl/>
        </w:rPr>
        <w:t xml:space="preserve">، وفقاً </w:t>
      </w:r>
      <w:r w:rsidR="00972AE8">
        <w:rPr>
          <w:rFonts w:hint="cs"/>
          <w:rtl/>
        </w:rPr>
        <w:t>للفقرة 2 من "</w:t>
      </w:r>
      <w:r w:rsidR="00972AE8" w:rsidRPr="00A008AD">
        <w:rPr>
          <w:rFonts w:hint="cs"/>
          <w:i/>
          <w:iCs/>
          <w:rtl/>
        </w:rPr>
        <w:t>يقرر</w:t>
      </w:r>
      <w:r w:rsidR="00972AE8">
        <w:rPr>
          <w:rFonts w:hint="cs"/>
          <w:rtl/>
        </w:rPr>
        <w:t>" من ا</w:t>
      </w:r>
      <w:r w:rsidRPr="00AD7D91">
        <w:rPr>
          <w:rtl/>
        </w:rPr>
        <w:t xml:space="preserve">لقرار </w:t>
      </w:r>
      <w:r w:rsidRPr="00972AE8">
        <w:rPr>
          <w:rtl/>
        </w:rPr>
        <w:t xml:space="preserve">247 </w:t>
      </w:r>
      <w:r w:rsidRPr="00972AE8">
        <w:t>(WRC 19)</w:t>
      </w:r>
      <w:r w:rsidRPr="00AD7D91">
        <w:rPr>
          <w:rtl/>
        </w:rPr>
        <w:t xml:space="preserve">، </w:t>
      </w:r>
      <w:r w:rsidR="00A008AD">
        <w:rPr>
          <w:rFonts w:hint="cs"/>
          <w:rtl/>
        </w:rPr>
        <w:t xml:space="preserve">يتطلب إجراء </w:t>
      </w:r>
      <w:r w:rsidRPr="00AD7D91">
        <w:rPr>
          <w:rtl/>
        </w:rPr>
        <w:t xml:space="preserve">دراسات التقاسم والتوافق </w:t>
      </w:r>
      <w:r w:rsidR="00A5456D">
        <w:rPr>
          <w:rFonts w:hint="cs"/>
          <w:rtl/>
        </w:rPr>
        <w:t>"</w:t>
      </w:r>
      <w:r w:rsidR="00A5456D" w:rsidRPr="00FE2CFF">
        <w:rPr>
          <w:rFonts w:hint="cs"/>
          <w:rtl/>
          <w:lang w:bidi="ar-SY"/>
        </w:rPr>
        <w:t xml:space="preserve">فيما يخص بعض نطاقات التردد دون </w:t>
      </w:r>
      <w:r w:rsidR="00A5456D" w:rsidRPr="00FE2CFF">
        <w:rPr>
          <w:lang w:bidi="ar-SY"/>
        </w:rPr>
        <w:t>GHz 2,7</w:t>
      </w:r>
      <w:r w:rsidR="00A5456D" w:rsidRPr="00FE2CFF">
        <w:rPr>
          <w:rFonts w:hint="cs"/>
          <w:rtl/>
          <w:lang w:val="fr-CH" w:bidi="ar-SY"/>
        </w:rPr>
        <w:t xml:space="preserve"> أو أجزاء منها، المنسقة عالمياً أو إقليمياً من أجل الاتصالات المتنقلة الدولية</w:t>
      </w:r>
      <w:r w:rsidR="00A5456D">
        <w:rPr>
          <w:rFonts w:hint="cs"/>
          <w:rtl/>
          <w:lang w:val="fr-CH" w:bidi="ar-SY"/>
        </w:rPr>
        <w:t xml:space="preserve">" </w:t>
      </w:r>
      <w:r w:rsidR="00A008AD">
        <w:rPr>
          <w:rFonts w:hint="cs"/>
          <w:rtl/>
          <w:lang w:val="fr-CH" w:bidi="ar-SY"/>
        </w:rPr>
        <w:t>رغم أن</w:t>
      </w:r>
      <w:r w:rsidR="00A008AD">
        <w:rPr>
          <w:lang w:val="fr-CH" w:bidi="ar-SY"/>
        </w:rPr>
        <w:t xml:space="preserve"> </w:t>
      </w:r>
      <w:r w:rsidR="00A008AD" w:rsidRPr="00A008AD">
        <w:rPr>
          <w:rtl/>
          <w:lang w:val="fr-CH" w:bidi="ar-SY"/>
        </w:rPr>
        <w:t xml:space="preserve">الرقم </w:t>
      </w:r>
      <w:r w:rsidR="00A008AD">
        <w:rPr>
          <w:lang w:val="fr-CH" w:bidi="ar-SY"/>
        </w:rPr>
        <w:t>313</w:t>
      </w:r>
      <w:r w:rsidR="00A008AD">
        <w:rPr>
          <w:lang w:bidi="ar-SY"/>
        </w:rPr>
        <w:t>A</w:t>
      </w:r>
      <w:r w:rsidR="00A008AD">
        <w:rPr>
          <w:rFonts w:hint="cs"/>
          <w:rtl/>
        </w:rPr>
        <w:t>.5</w:t>
      </w:r>
      <w:r w:rsidR="00A008AD" w:rsidRPr="00A008AD">
        <w:rPr>
          <w:rtl/>
          <w:lang w:val="fr-CH" w:bidi="ar-SY"/>
        </w:rPr>
        <w:t xml:space="preserve"> من لوائح الراديو </w:t>
      </w:r>
      <w:r w:rsidR="00A008AD">
        <w:rPr>
          <w:rFonts w:hint="cs"/>
          <w:rtl/>
          <w:lang w:val="fr-CH" w:bidi="ar-SY"/>
        </w:rPr>
        <w:t xml:space="preserve">يتناول </w:t>
      </w:r>
      <w:r w:rsidR="00A008AD" w:rsidRPr="00A008AD">
        <w:rPr>
          <w:rtl/>
          <w:lang w:val="fr-CH" w:bidi="ar-SY"/>
        </w:rPr>
        <w:t>تحديد هوية الاتصالات المتنقلة الدولية كحاشية قطرية.</w:t>
      </w:r>
    </w:p>
    <w:p w14:paraId="3E1401B3" w14:textId="05DA29E0" w:rsidR="00A5456D" w:rsidRDefault="00AF77A4" w:rsidP="00566240">
      <w:r w:rsidRPr="00AF77A4">
        <w:rPr>
          <w:rtl/>
          <w:lang w:val="fr-CH" w:bidi="ar-SY"/>
        </w:rPr>
        <w:t>ويشير القسم "</w:t>
      </w:r>
      <w:r w:rsidRPr="00AF77A4">
        <w:rPr>
          <w:i/>
          <w:iCs/>
          <w:rtl/>
          <w:lang w:val="fr-CH" w:bidi="ar-SY"/>
        </w:rPr>
        <w:t xml:space="preserve">تدعو المؤتمر </w:t>
      </w:r>
      <w:r w:rsidRPr="00AF77A4">
        <w:rPr>
          <w:i/>
          <w:iCs/>
          <w:lang w:val="fr-CH" w:bidi="ar-SY"/>
        </w:rPr>
        <w:t>WRC 23</w:t>
      </w:r>
      <w:r w:rsidRPr="00AF77A4">
        <w:rPr>
          <w:rtl/>
          <w:lang w:val="fr-CH" w:bidi="ar-SY"/>
        </w:rPr>
        <w:t xml:space="preserve">" بوضوح إلى </w:t>
      </w:r>
      <w:r w:rsidR="00A5456D">
        <w:rPr>
          <w:rFonts w:hint="cs"/>
          <w:rtl/>
          <w:lang w:val="fr-CH" w:bidi="ar-SY"/>
        </w:rPr>
        <w:t>"</w:t>
      </w:r>
      <w:r w:rsidR="00A5456D" w:rsidRPr="00FE2CFF">
        <w:rPr>
          <w:rFonts w:hint="cs"/>
          <w:rtl/>
          <w:lang w:bidi="ar-EG"/>
        </w:rPr>
        <w:t>استعمال محطات المنصات عالية الارتفاع كمحطات قاعدة للاتصالات المتنقلة الدولية</w:t>
      </w:r>
      <w:r w:rsidR="00A5456D" w:rsidRPr="00FE2CFF">
        <w:rPr>
          <w:rFonts w:hint="eastAsia"/>
          <w:rtl/>
          <w:lang w:bidi="ar-EG"/>
        </w:rPr>
        <w:t> </w:t>
      </w:r>
      <w:r w:rsidR="00A5456D" w:rsidRPr="00FE2CFF">
        <w:rPr>
          <w:lang w:bidi="ar-EG"/>
        </w:rPr>
        <w:t>(HIBS)</w:t>
      </w:r>
      <w:r w:rsidR="00A5456D" w:rsidRPr="00FE2CFF">
        <w:rPr>
          <w:rFonts w:hint="cs"/>
          <w:rtl/>
          <w:lang w:bidi="ar-EG"/>
        </w:rPr>
        <w:t xml:space="preserve">، بناءً على نتائج الدراسات أعلاه، في بعض نطاقات التردد دون </w:t>
      </w:r>
      <w:r w:rsidR="00A5456D" w:rsidRPr="00FE2CFF">
        <w:rPr>
          <w:lang w:bidi="ar-EG"/>
        </w:rPr>
        <w:t>GHz </w:t>
      </w:r>
      <w:r w:rsidR="00A5456D" w:rsidRPr="00FE2CFF">
        <w:rPr>
          <w:lang w:val="fr-CH" w:bidi="ar-EG"/>
        </w:rPr>
        <w:t>2</w:t>
      </w:r>
      <w:r w:rsidR="00A5456D" w:rsidRPr="00FE2CFF">
        <w:rPr>
          <w:lang w:bidi="ar-EG"/>
        </w:rPr>
        <w:t>,</w:t>
      </w:r>
      <w:r w:rsidR="00A5456D" w:rsidRPr="00FE2CFF">
        <w:rPr>
          <w:lang w:val="fr-CH" w:bidi="ar-EG"/>
        </w:rPr>
        <w:t>7</w:t>
      </w:r>
      <w:r w:rsidR="00A5456D" w:rsidRPr="00FE2CFF">
        <w:rPr>
          <w:rFonts w:hint="cs"/>
          <w:rtl/>
          <w:lang w:val="fr-CH" w:bidi="ar-SY"/>
        </w:rPr>
        <w:t xml:space="preserve"> </w:t>
      </w:r>
      <w:r w:rsidR="00A5456D" w:rsidRPr="00FE2CFF">
        <w:rPr>
          <w:rFonts w:hint="cs"/>
          <w:rtl/>
          <w:lang w:bidi="ar-SY"/>
        </w:rPr>
        <w:t>المحددة بالفعل للاتصالات المتنقلة الدولية على الصعيد العالمي أو الإقليمي</w:t>
      </w:r>
      <w:r w:rsidR="00A5456D">
        <w:rPr>
          <w:rFonts w:hint="cs"/>
          <w:rtl/>
          <w:lang w:bidi="ar-SY"/>
        </w:rPr>
        <w:t>".</w:t>
      </w:r>
    </w:p>
    <w:p w14:paraId="087B112C" w14:textId="60BA5D19" w:rsidR="00566240" w:rsidRDefault="00566240" w:rsidP="00D012EC">
      <w:pPr>
        <w:rPr>
          <w:rtl/>
          <w:lang w:bidi="ar-EG"/>
        </w:rPr>
      </w:pPr>
      <w:r>
        <w:rPr>
          <w:rtl/>
          <w:lang w:bidi="ar-EG"/>
        </w:rPr>
        <w:lastRenderedPageBreak/>
        <w:t xml:space="preserve">وعلاوة على ذلك، </w:t>
      </w:r>
      <w:r>
        <w:rPr>
          <w:rFonts w:hint="cs"/>
          <w:rtl/>
          <w:lang w:bidi="ar-EG"/>
        </w:rPr>
        <w:t>تور الفقرة د) 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"</w:t>
      </w:r>
      <w:r w:rsidRPr="00E42CE7">
        <w:rPr>
          <w:i/>
          <w:iCs/>
          <w:rtl/>
          <w:lang w:bidi="ar-EG"/>
        </w:rPr>
        <w:t>إذ يدرك</w:t>
      </w:r>
      <w:r>
        <w:rPr>
          <w:rFonts w:hint="cs"/>
          <w:rtl/>
          <w:lang w:bidi="ar-EG"/>
        </w:rPr>
        <w:t xml:space="preserve">" </w:t>
      </w:r>
      <w:r>
        <w:rPr>
          <w:rtl/>
          <w:lang w:bidi="ar-EG"/>
        </w:rPr>
        <w:t xml:space="preserve">بوضوح أرقام لوائح الراديو </w:t>
      </w:r>
      <w:r w:rsidR="00E42CE7">
        <w:rPr>
          <w:rFonts w:hint="cs"/>
          <w:rtl/>
          <w:lang w:bidi="ar-EG"/>
        </w:rPr>
        <w:t>5.</w:t>
      </w:r>
      <w:r w:rsidR="00E42CE7" w:rsidRPr="00D012EC">
        <w:rPr>
          <w:b/>
          <w:bCs/>
          <w:lang w:bidi="ar-EG"/>
        </w:rPr>
        <w:t>286AA</w:t>
      </w:r>
      <w:r w:rsidR="00E42CE7" w:rsidRPr="00D012EC">
        <w:rPr>
          <w:rFonts w:hint="cs"/>
          <w:b/>
          <w:bCs/>
          <w:rtl/>
          <w:lang w:bidi="ar-EG"/>
        </w:rPr>
        <w:t xml:space="preserve"> </w:t>
      </w:r>
      <w:r w:rsidR="00E42CE7" w:rsidRPr="00F36853">
        <w:rPr>
          <w:rFonts w:hint="cs"/>
          <w:rtl/>
          <w:lang w:bidi="ar-EG"/>
        </w:rPr>
        <w:t>و</w:t>
      </w:r>
      <w:r w:rsidR="00E42CE7" w:rsidRPr="00D012EC">
        <w:rPr>
          <w:rFonts w:hint="cs"/>
          <w:b/>
          <w:bCs/>
          <w:rtl/>
          <w:lang w:bidi="ar-EG"/>
        </w:rPr>
        <w:t>5.</w:t>
      </w:r>
      <w:r w:rsidR="00E42CE7" w:rsidRPr="00D012EC">
        <w:rPr>
          <w:b/>
          <w:bCs/>
          <w:lang w:bidi="ar-EG"/>
        </w:rPr>
        <w:t>317A</w:t>
      </w:r>
      <w:r w:rsidR="00E42CE7" w:rsidRPr="00D012EC">
        <w:rPr>
          <w:b/>
          <w:bCs/>
          <w:rtl/>
          <w:lang w:bidi="ar-EG"/>
        </w:rPr>
        <w:t xml:space="preserve"> </w:t>
      </w:r>
      <w:r w:rsidR="00E42CE7" w:rsidRPr="00F36853">
        <w:rPr>
          <w:rFonts w:hint="cs"/>
          <w:rtl/>
          <w:lang w:bidi="ar-EG"/>
        </w:rPr>
        <w:t>و</w:t>
      </w:r>
      <w:r w:rsidR="00E42CE7" w:rsidRPr="00D012EC">
        <w:rPr>
          <w:rFonts w:hint="cs"/>
          <w:b/>
          <w:bCs/>
          <w:rtl/>
          <w:lang w:bidi="ar-EG"/>
        </w:rPr>
        <w:t>5.</w:t>
      </w:r>
      <w:r w:rsidR="00E42CE7" w:rsidRPr="00D012EC">
        <w:rPr>
          <w:b/>
          <w:bCs/>
          <w:lang w:bidi="ar-EG"/>
        </w:rPr>
        <w:t>341A</w:t>
      </w:r>
      <w:r w:rsidR="00E42CE7" w:rsidRPr="00D012EC">
        <w:rPr>
          <w:b/>
          <w:bCs/>
          <w:rtl/>
          <w:lang w:bidi="ar-EG"/>
        </w:rPr>
        <w:t xml:space="preserve"> </w:t>
      </w:r>
      <w:r w:rsidR="00B527AD" w:rsidRPr="00F36853">
        <w:rPr>
          <w:rFonts w:hint="cs"/>
          <w:rtl/>
          <w:lang w:bidi="ar-EG"/>
        </w:rPr>
        <w:t>و</w:t>
      </w:r>
      <w:r w:rsidR="00B527AD" w:rsidRPr="00D012EC">
        <w:rPr>
          <w:rFonts w:hint="cs"/>
          <w:b/>
          <w:bCs/>
          <w:rtl/>
          <w:lang w:bidi="ar-EG"/>
        </w:rPr>
        <w:t>5.</w:t>
      </w:r>
      <w:r w:rsidR="00B527AD" w:rsidRPr="00D012EC">
        <w:rPr>
          <w:b/>
          <w:bCs/>
        </w:rPr>
        <w:t>341B</w:t>
      </w:r>
      <w:r w:rsidRPr="00D012EC">
        <w:rPr>
          <w:b/>
          <w:bCs/>
          <w:rtl/>
          <w:lang w:bidi="ar-EG"/>
        </w:rPr>
        <w:t xml:space="preserve"> </w:t>
      </w:r>
      <w:r w:rsidR="00B527AD" w:rsidRPr="00F36853">
        <w:rPr>
          <w:rFonts w:hint="cs"/>
          <w:rtl/>
          <w:lang w:bidi="ar-EG"/>
        </w:rPr>
        <w:t>و</w:t>
      </w:r>
      <w:r w:rsidR="00B527AD" w:rsidRPr="00D012EC">
        <w:rPr>
          <w:rFonts w:hint="cs"/>
          <w:b/>
          <w:bCs/>
          <w:rtl/>
          <w:lang w:bidi="ar-EG"/>
        </w:rPr>
        <w:t>5.</w:t>
      </w:r>
      <w:r w:rsidR="00B527AD" w:rsidRPr="00D012EC">
        <w:rPr>
          <w:b/>
          <w:bCs/>
        </w:rPr>
        <w:t>341C</w:t>
      </w:r>
      <w:r w:rsidRPr="00D012EC">
        <w:rPr>
          <w:b/>
          <w:bCs/>
          <w:rtl/>
          <w:lang w:bidi="ar-EG"/>
        </w:rPr>
        <w:t xml:space="preserve"> </w:t>
      </w:r>
      <w:r w:rsidR="00B527AD" w:rsidRPr="00F36853">
        <w:rPr>
          <w:rFonts w:hint="cs"/>
          <w:rtl/>
          <w:lang w:bidi="ar-EG"/>
        </w:rPr>
        <w:t>و</w:t>
      </w:r>
      <w:r w:rsidR="00B527AD" w:rsidRPr="00D012EC">
        <w:rPr>
          <w:rFonts w:hint="cs"/>
          <w:b/>
          <w:bCs/>
          <w:rtl/>
          <w:lang w:bidi="ar-EG"/>
        </w:rPr>
        <w:t>346.5</w:t>
      </w:r>
      <w:r w:rsidRPr="00D012EC">
        <w:rPr>
          <w:b/>
          <w:bCs/>
          <w:rtl/>
          <w:lang w:bidi="ar-EG"/>
        </w:rPr>
        <w:t xml:space="preserve"> </w:t>
      </w:r>
      <w:r w:rsidR="00B527AD" w:rsidRPr="00F36853">
        <w:rPr>
          <w:rFonts w:hint="cs"/>
          <w:rtl/>
          <w:lang w:bidi="ar-EG"/>
        </w:rPr>
        <w:t>و</w:t>
      </w:r>
      <w:r w:rsidR="00B527AD" w:rsidRPr="00D012EC">
        <w:rPr>
          <w:b/>
          <w:bCs/>
          <w:lang w:val="fr-FR" w:bidi="ar-EG"/>
        </w:rPr>
        <w:t>346A</w:t>
      </w:r>
      <w:r w:rsidR="00B527AD" w:rsidRPr="00D012EC">
        <w:rPr>
          <w:b/>
          <w:bCs/>
          <w:lang w:val="fr-FR"/>
        </w:rPr>
        <w:t>.5</w:t>
      </w:r>
      <w:r w:rsidRPr="00D012EC">
        <w:rPr>
          <w:b/>
          <w:bCs/>
          <w:rtl/>
          <w:lang w:bidi="ar-EG"/>
        </w:rPr>
        <w:t xml:space="preserve"> </w:t>
      </w:r>
      <w:r w:rsidR="00291EAD" w:rsidRPr="00F36853">
        <w:rPr>
          <w:rFonts w:hint="cs"/>
          <w:rtl/>
        </w:rPr>
        <w:t>و</w:t>
      </w:r>
      <w:r w:rsidR="00291EAD" w:rsidRPr="00D012EC">
        <w:rPr>
          <w:b/>
          <w:bCs/>
          <w:lang w:val="fr-FR"/>
        </w:rPr>
        <w:t>384A.5</w:t>
      </w:r>
      <w:r>
        <w:rPr>
          <w:rtl/>
          <w:lang w:bidi="ar-EG"/>
        </w:rPr>
        <w:t xml:space="preserve"> فيما يتعلق بالاتصالات المتنقلة الدولية (</w:t>
      </w:r>
      <w:r>
        <w:rPr>
          <w:lang w:bidi="ar-EG"/>
        </w:rPr>
        <w:t>IMT</w:t>
      </w:r>
      <w:r>
        <w:rPr>
          <w:rtl/>
          <w:lang w:bidi="ar-EG"/>
        </w:rPr>
        <w:t xml:space="preserve">) المحددة عالمياً أو إقليمياً. ولم يُذكر الرقم </w:t>
      </w:r>
      <w:r w:rsidR="00D012EC" w:rsidRPr="00F36853">
        <w:rPr>
          <w:b/>
          <w:bCs/>
          <w:lang w:bidi="ar-EG"/>
        </w:rPr>
        <w:t>313A.5</w:t>
      </w:r>
      <w:r>
        <w:rPr>
          <w:rtl/>
          <w:lang w:bidi="ar-EG"/>
        </w:rPr>
        <w:t xml:space="preserve"> من لوائح الراديو في هذه القائمة، وبالتالي لم يُعترف بإدراجه في هذا البند من جدول الأعمال.</w:t>
      </w:r>
    </w:p>
    <w:p w14:paraId="744E7D07" w14:textId="20A4B5FE" w:rsidR="00566240" w:rsidRDefault="00F36853" w:rsidP="00F36853">
      <w:pPr>
        <w:rPr>
          <w:rtl/>
          <w:lang w:bidi="ar-EG"/>
        </w:rPr>
      </w:pPr>
      <w:r>
        <w:rPr>
          <w:rFonts w:hint="cs"/>
          <w:rtl/>
        </w:rPr>
        <w:t>و</w:t>
      </w:r>
      <w:r w:rsidR="00566240">
        <w:rPr>
          <w:rtl/>
          <w:lang w:bidi="ar-EG"/>
        </w:rPr>
        <w:t>وفقاً للتفسير الوا</w:t>
      </w:r>
      <w:r>
        <w:rPr>
          <w:rtl/>
          <w:lang w:bidi="ar-EG"/>
        </w:rPr>
        <w:t>رد أعلاه، فإن موقف إدارة</w:t>
      </w:r>
      <w:r w:rsidRPr="00F36853">
        <w:rPr>
          <w:rtl/>
          <w:lang w:bidi="ar-EG"/>
        </w:rPr>
        <w:t xml:space="preserve"> </w:t>
      </w:r>
      <w:r>
        <w:rPr>
          <w:rtl/>
          <w:lang w:bidi="ar-EG"/>
        </w:rPr>
        <w:t>جمهورية إيران الإسلامي</w:t>
      </w:r>
      <w:r>
        <w:rPr>
          <w:rFonts w:hint="cs"/>
          <w:rtl/>
          <w:lang w:bidi="ar-EG"/>
        </w:rPr>
        <w:t>ة</w:t>
      </w:r>
      <w:r w:rsidR="0056624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بشأن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</w:t>
      </w:r>
      <w:r w:rsidR="00566240">
        <w:rPr>
          <w:rtl/>
          <w:lang w:bidi="ar-EG"/>
        </w:rPr>
        <w:t xml:space="preserve">لبند </w:t>
      </w:r>
      <w:r>
        <w:rPr>
          <w:rFonts w:hint="cs"/>
          <w:rtl/>
          <w:lang w:bidi="ar-EG"/>
        </w:rPr>
        <w:t>4.1</w:t>
      </w:r>
      <w:r w:rsidR="00566240">
        <w:rPr>
          <w:rtl/>
          <w:lang w:bidi="ar-EG"/>
        </w:rPr>
        <w:t xml:space="preserve"> من جدول أعمال المؤتمر </w:t>
      </w:r>
      <w:r w:rsidR="00566240">
        <w:rPr>
          <w:lang w:bidi="ar-EG"/>
        </w:rPr>
        <w:t>WRC 23</w:t>
      </w:r>
      <w:r w:rsidR="00566240">
        <w:rPr>
          <w:rtl/>
          <w:lang w:bidi="ar-EG"/>
        </w:rPr>
        <w:t xml:space="preserve"> في إطار المسألة </w:t>
      </w:r>
      <w:r w:rsidR="00566240">
        <w:rPr>
          <w:lang w:bidi="ar-EG"/>
        </w:rPr>
        <w:t>A (MHz 960-694)</w:t>
      </w:r>
      <w:r w:rsidR="00566240">
        <w:rPr>
          <w:rtl/>
          <w:lang w:bidi="ar-EG"/>
        </w:rPr>
        <w:t xml:space="preserve"> هو البديل </w:t>
      </w:r>
      <w:r w:rsidR="00566240">
        <w:rPr>
          <w:lang w:bidi="ar-EG"/>
        </w:rPr>
        <w:t>A1</w:t>
      </w:r>
      <w:r w:rsidR="00566240">
        <w:rPr>
          <w:rtl/>
          <w:lang w:bidi="ar-EG"/>
        </w:rPr>
        <w:t>.</w:t>
      </w:r>
    </w:p>
    <w:p w14:paraId="306A8F38" w14:textId="16E39441" w:rsidR="00A5456D" w:rsidRPr="007579F6" w:rsidRDefault="00F36853" w:rsidP="00F36853">
      <w:pPr>
        <w:rPr>
          <w:lang w:bidi="ar-EG"/>
        </w:rPr>
      </w:pPr>
      <w:r>
        <w:rPr>
          <w:rFonts w:hint="cs"/>
          <w:rtl/>
          <w:lang w:bidi="ar-EG"/>
        </w:rPr>
        <w:t>و</w:t>
      </w:r>
      <w:r w:rsidR="00566240">
        <w:rPr>
          <w:rtl/>
          <w:lang w:bidi="ar-EG"/>
        </w:rPr>
        <w:t>بالنسبة للمشكلات الأخرى، تدعم</w:t>
      </w:r>
      <w:r>
        <w:rPr>
          <w:rtl/>
          <w:lang w:bidi="ar-EG"/>
        </w:rPr>
        <w:t xml:space="preserve"> هذه الإدارة الاقتراح المشترك ل</w:t>
      </w:r>
      <w:r w:rsidRPr="00F36853">
        <w:rPr>
          <w:rtl/>
          <w:lang w:bidi="ar-EG"/>
        </w:rPr>
        <w:t>جماعة آسيا والمحيط الهادئ للاتصالات</w:t>
      </w:r>
      <w:r w:rsidR="00566240">
        <w:rPr>
          <w:rtl/>
          <w:lang w:bidi="ar-EG"/>
        </w:rPr>
        <w:t>.</w:t>
      </w:r>
    </w:p>
    <w:p w14:paraId="59051F88" w14:textId="77777777" w:rsidR="004F3C96" w:rsidRDefault="00234216">
      <w:pPr>
        <w:pStyle w:val="Proposal"/>
      </w:pPr>
      <w:r>
        <w:rPr>
          <w:u w:val="single"/>
        </w:rPr>
        <w:t>NOC</w:t>
      </w:r>
      <w:r>
        <w:tab/>
        <w:t>IRN/148A4/1</w:t>
      </w:r>
      <w:r>
        <w:rPr>
          <w:vanish/>
          <w:color w:val="7F7F7F" w:themeColor="text1" w:themeTint="80"/>
          <w:vertAlign w:val="superscript"/>
        </w:rPr>
        <w:t>#1446</w:t>
      </w:r>
    </w:p>
    <w:p w14:paraId="34977F5F" w14:textId="77777777" w:rsidR="00F157E0" w:rsidRPr="00687745" w:rsidRDefault="00234216" w:rsidP="00E30165">
      <w:pPr>
        <w:pStyle w:val="VolumeTitle0"/>
        <w:rPr>
          <w:rtl/>
          <w:lang w:val="en-US"/>
        </w:rPr>
      </w:pPr>
      <w:r w:rsidRPr="00687745">
        <w:rPr>
          <w:rFonts w:hint="cs"/>
          <w:rtl/>
          <w:lang w:val="en-US"/>
        </w:rPr>
        <w:t>المواد</w:t>
      </w:r>
    </w:p>
    <w:p w14:paraId="32FE269F" w14:textId="77777777" w:rsidR="004F3C96" w:rsidRDefault="004F3C96">
      <w:pPr>
        <w:pStyle w:val="Reasons"/>
      </w:pPr>
    </w:p>
    <w:p w14:paraId="5B1C63B3" w14:textId="77777777" w:rsidR="004F3C96" w:rsidRDefault="00234216">
      <w:pPr>
        <w:pStyle w:val="Proposal"/>
      </w:pPr>
      <w:r>
        <w:rPr>
          <w:u w:val="single"/>
        </w:rPr>
        <w:t>NOC</w:t>
      </w:r>
      <w:r>
        <w:tab/>
        <w:t>IRN/148A4/2</w:t>
      </w:r>
      <w:r>
        <w:rPr>
          <w:vanish/>
          <w:color w:val="7F7F7F" w:themeColor="text1" w:themeTint="80"/>
          <w:vertAlign w:val="superscript"/>
        </w:rPr>
        <w:t>#1447</w:t>
      </w:r>
    </w:p>
    <w:p w14:paraId="6B299DDF" w14:textId="77777777" w:rsidR="00F157E0" w:rsidRPr="00687745" w:rsidRDefault="00234216" w:rsidP="00E30165">
      <w:pPr>
        <w:pStyle w:val="VolumeTitle0"/>
        <w:rPr>
          <w:rtl/>
          <w:lang w:val="en-US"/>
        </w:rPr>
      </w:pPr>
      <w:r w:rsidRPr="00687745">
        <w:rPr>
          <w:rFonts w:hint="cs"/>
          <w:rtl/>
          <w:lang w:val="en-US"/>
        </w:rPr>
        <w:t>التذييلات</w:t>
      </w:r>
    </w:p>
    <w:p w14:paraId="369A57AB" w14:textId="77777777" w:rsidR="004F3C96" w:rsidRDefault="004F3C96">
      <w:pPr>
        <w:pStyle w:val="Reasons"/>
      </w:pPr>
    </w:p>
    <w:p w14:paraId="5A220513" w14:textId="77777777" w:rsidR="004F3C96" w:rsidRDefault="00234216">
      <w:pPr>
        <w:pStyle w:val="Proposal"/>
      </w:pPr>
      <w:r>
        <w:t>SUP</w:t>
      </w:r>
      <w:r>
        <w:tab/>
        <w:t>IRN/148A4/3</w:t>
      </w:r>
    </w:p>
    <w:p w14:paraId="66298E74" w14:textId="77777777" w:rsidR="0078577E" w:rsidRDefault="00234216" w:rsidP="0078577E">
      <w:pPr>
        <w:pStyle w:val="ResNo"/>
      </w:pPr>
      <w:bookmarkStart w:id="1" w:name="_Toc327956623"/>
      <w:bookmarkStart w:id="2" w:name="_Toc40075788"/>
      <w:r>
        <w:rPr>
          <w:rFonts w:hint="cs"/>
          <w:rtl/>
          <w:lang w:val="en-GB" w:bidi="ar-SY"/>
        </w:rPr>
        <w:t xml:space="preserve">القـرار </w:t>
      </w:r>
      <w:r w:rsidRPr="00983384">
        <w:rPr>
          <w:rStyle w:val="href"/>
        </w:rPr>
        <w:t>221</w:t>
      </w:r>
      <w:r>
        <w:rPr>
          <w:lang w:val="en-GB"/>
        </w:rPr>
        <w:t xml:space="preserve"> (</w:t>
      </w:r>
      <w:r>
        <w:t>REV</w:t>
      </w:r>
      <w:r>
        <w:rPr>
          <w:lang w:val="en-GB"/>
        </w:rPr>
        <w:t>.WRC-0</w:t>
      </w:r>
      <w:r>
        <w:t>7</w:t>
      </w:r>
      <w:r>
        <w:rPr>
          <w:lang w:val="en-GB"/>
        </w:rPr>
        <w:t>)</w:t>
      </w:r>
      <w:bookmarkEnd w:id="1"/>
      <w:bookmarkEnd w:id="2"/>
    </w:p>
    <w:p w14:paraId="634AEF33" w14:textId="77777777" w:rsidR="0078577E" w:rsidRDefault="00234216" w:rsidP="0078577E">
      <w:pPr>
        <w:pStyle w:val="Restitle"/>
        <w:rPr>
          <w:rtl/>
        </w:rPr>
      </w:pPr>
      <w:bookmarkStart w:id="3" w:name="_Toc327956624"/>
      <w:bookmarkStart w:id="4" w:name="_Toc40075789"/>
      <w:r>
        <w:rPr>
          <w:rFonts w:hint="cs"/>
          <w:rtl/>
          <w:lang w:val="en-GB"/>
        </w:rPr>
        <w:t xml:space="preserve">استخدام محطات المنصات عالية الارتفاع التي توفر خدمات الاتصالات المتنقلة الدولية </w:t>
      </w:r>
      <w:r>
        <w:rPr>
          <w:lang w:val="en-GB"/>
        </w:rPr>
        <w:br/>
      </w:r>
      <w:r w:rsidRPr="00CA1268">
        <w:rPr>
          <w:rFonts w:hint="cs"/>
          <w:spacing w:val="-8"/>
          <w:rtl/>
          <w:lang w:val="en-GB"/>
        </w:rPr>
        <w:t xml:space="preserve">في النطاقات </w:t>
      </w:r>
      <w:r w:rsidRPr="00CA1268">
        <w:rPr>
          <w:spacing w:val="-8"/>
          <w:lang w:val="en-GB"/>
        </w:rPr>
        <w:t>MHz 1 980-1 885</w:t>
      </w:r>
      <w:r w:rsidRPr="00CA1268">
        <w:rPr>
          <w:rFonts w:hint="cs"/>
          <w:spacing w:val="-8"/>
          <w:rtl/>
          <w:lang w:val="en-GB"/>
        </w:rPr>
        <w:t xml:space="preserve"> و</w:t>
      </w:r>
      <w:r w:rsidRPr="00CA1268">
        <w:rPr>
          <w:spacing w:val="-8"/>
          <w:lang w:val="en-GB"/>
        </w:rPr>
        <w:t>MHz 2 025-2 010</w:t>
      </w:r>
      <w:r w:rsidRPr="00CA1268">
        <w:rPr>
          <w:rFonts w:hint="cs"/>
          <w:spacing w:val="-8"/>
          <w:rtl/>
          <w:lang w:val="en-GB"/>
        </w:rPr>
        <w:t xml:space="preserve"> و</w:t>
      </w:r>
      <w:r w:rsidRPr="00CA1268">
        <w:rPr>
          <w:spacing w:val="-8"/>
          <w:lang w:val="en-GB"/>
        </w:rPr>
        <w:t>MHz 2 170-2 110</w:t>
      </w:r>
      <w:r w:rsidRPr="00CA1268">
        <w:rPr>
          <w:rFonts w:hint="cs"/>
          <w:spacing w:val="-8"/>
          <w:rtl/>
          <w:lang w:val="en-GB"/>
        </w:rPr>
        <w:t xml:space="preserve"> في الإقليمين </w:t>
      </w:r>
      <w:r w:rsidRPr="00CA1268">
        <w:rPr>
          <w:spacing w:val="-8"/>
          <w:lang w:val="en-GB"/>
        </w:rPr>
        <w:t>1</w:t>
      </w:r>
      <w:r w:rsidRPr="00CA1268">
        <w:rPr>
          <w:rFonts w:hint="cs"/>
          <w:spacing w:val="-8"/>
          <w:rtl/>
          <w:lang w:val="en-GB"/>
        </w:rPr>
        <w:t xml:space="preserve"> و</w:t>
      </w:r>
      <w:r w:rsidRPr="00CA1268">
        <w:rPr>
          <w:spacing w:val="-8"/>
          <w:lang w:val="en-GB"/>
        </w:rPr>
        <w:t>3</w:t>
      </w:r>
      <w:r w:rsidRPr="00CA1268">
        <w:rPr>
          <w:rFonts w:hint="cs"/>
          <w:spacing w:val="-8"/>
          <w:rtl/>
          <w:lang w:val="en-GB"/>
        </w:rPr>
        <w:t>،</w:t>
      </w:r>
      <w:r>
        <w:rPr>
          <w:rFonts w:hint="cs"/>
          <w:rtl/>
          <w:lang w:val="en-GB"/>
        </w:rPr>
        <w:t xml:space="preserve"> وفي</w:t>
      </w:r>
      <w:r>
        <w:rPr>
          <w:rFonts w:hint="eastAsia"/>
          <w:rtl/>
          <w:lang w:val="en-GB"/>
        </w:rPr>
        <w:t> </w:t>
      </w:r>
      <w:r>
        <w:rPr>
          <w:rFonts w:hint="cs"/>
          <w:rtl/>
          <w:lang w:val="en-GB"/>
        </w:rPr>
        <w:t xml:space="preserve">النطاقين </w:t>
      </w:r>
      <w:r>
        <w:rPr>
          <w:lang w:val="en-GB"/>
        </w:rPr>
        <w:t>MHz 1 980-1 885</w:t>
      </w:r>
      <w:r>
        <w:rPr>
          <w:rFonts w:hint="cs"/>
          <w:rtl/>
          <w:lang w:val="en-GB"/>
        </w:rPr>
        <w:t xml:space="preserve"> و</w:t>
      </w:r>
      <w:r>
        <w:rPr>
          <w:lang w:val="en-GB"/>
        </w:rPr>
        <w:t>MHz 2 160-2 110</w:t>
      </w:r>
      <w:r>
        <w:rPr>
          <w:rFonts w:hint="cs"/>
          <w:rtl/>
          <w:lang w:val="en-GB"/>
        </w:rPr>
        <w:t xml:space="preserve"> في الإقليم </w:t>
      </w:r>
      <w:r>
        <w:rPr>
          <w:lang w:val="en-GB"/>
        </w:rPr>
        <w:t>2</w:t>
      </w:r>
      <w:bookmarkEnd w:id="3"/>
      <w:bookmarkEnd w:id="4"/>
    </w:p>
    <w:p w14:paraId="19240B4F" w14:textId="5C02CA65" w:rsidR="004F3C96" w:rsidRDefault="004F3C96">
      <w:pPr>
        <w:pStyle w:val="Reasons"/>
      </w:pPr>
    </w:p>
    <w:p w14:paraId="721B76A8" w14:textId="633B80A0" w:rsidR="00A5456D" w:rsidRPr="00A5456D" w:rsidRDefault="00A5456D" w:rsidP="00A5456D">
      <w:pPr>
        <w:spacing w:before="600"/>
        <w:jc w:val="center"/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5456D" w:rsidRPr="00A5456D">
      <w:headerReference w:type="even" r:id="rId15"/>
      <w:footerReference w:type="even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3784" w14:textId="77777777" w:rsidR="002D2489" w:rsidRDefault="002D2489" w:rsidP="002919E1">
      <w:r>
        <w:separator/>
      </w:r>
    </w:p>
    <w:p w14:paraId="5081A509" w14:textId="77777777" w:rsidR="002D2489" w:rsidRDefault="002D2489" w:rsidP="002919E1"/>
    <w:p w14:paraId="18A51B32" w14:textId="77777777" w:rsidR="002D2489" w:rsidRDefault="002D2489" w:rsidP="002919E1"/>
    <w:p w14:paraId="1111073D" w14:textId="77777777" w:rsidR="002D2489" w:rsidRDefault="002D2489"/>
    <w:p w14:paraId="554F59DE" w14:textId="77777777" w:rsidR="002D2489" w:rsidRDefault="002D2489"/>
  </w:endnote>
  <w:endnote w:type="continuationSeparator" w:id="0">
    <w:p w14:paraId="4D69F0A5" w14:textId="77777777" w:rsidR="002D2489" w:rsidRDefault="002D2489" w:rsidP="002919E1">
      <w:r>
        <w:continuationSeparator/>
      </w:r>
    </w:p>
    <w:p w14:paraId="7441D90F" w14:textId="77777777" w:rsidR="002D2489" w:rsidRDefault="002D2489" w:rsidP="002919E1"/>
    <w:p w14:paraId="1D30FC9A" w14:textId="77777777" w:rsidR="002D2489" w:rsidRDefault="002D2489" w:rsidP="002919E1"/>
    <w:p w14:paraId="7B576600" w14:textId="77777777" w:rsidR="002D2489" w:rsidRDefault="002D2489"/>
    <w:p w14:paraId="62F107D5" w14:textId="77777777" w:rsidR="002D2489" w:rsidRDefault="002D2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2E18" w14:textId="1A3CE84E" w:rsidR="00D63A6F" w:rsidRPr="00D63A6F" w:rsidRDefault="007800EA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P:\ARA\ITU-R\CONF-R\CMR23\100\148ADD04A.docx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B60259">
      <w:rPr>
        <w:sz w:val="16"/>
        <w:szCs w:val="16"/>
        <w:lang w:val="fr-FR"/>
      </w:rPr>
      <w:t>530402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261B" w14:textId="6115ADD3" w:rsidR="00B60259" w:rsidRDefault="00B60259" w:rsidP="00B60259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800EA">
      <w:rPr>
        <w:noProof/>
        <w:sz w:val="16"/>
        <w:szCs w:val="16"/>
        <w:lang w:val="fr-FR"/>
      </w:rPr>
      <w:t>P:\ARA\ITU-R\CONF-R\CMR23\100\148ADD04A.docx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B60259">
      <w:rPr>
        <w:sz w:val="16"/>
        <w:szCs w:val="16"/>
        <w:lang w:val="fr-FR"/>
      </w:rPr>
      <w:t>530402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4A17" w14:textId="77777777" w:rsidR="002D2489" w:rsidRDefault="002D2489" w:rsidP="00C45930">
      <w:r>
        <w:separator/>
      </w:r>
    </w:p>
  </w:footnote>
  <w:footnote w:type="continuationSeparator" w:id="0">
    <w:p w14:paraId="003040ED" w14:textId="77777777" w:rsidR="002D2489" w:rsidRDefault="002D2489" w:rsidP="002919E1">
      <w:r>
        <w:continuationSeparator/>
      </w:r>
    </w:p>
    <w:p w14:paraId="563773FA" w14:textId="77777777" w:rsidR="002D2489" w:rsidRDefault="002D2489" w:rsidP="002919E1"/>
    <w:p w14:paraId="28691A49" w14:textId="77777777" w:rsidR="002D2489" w:rsidRDefault="002D2489" w:rsidP="002919E1"/>
    <w:p w14:paraId="632229ED" w14:textId="77777777" w:rsidR="002D2489" w:rsidRDefault="002D2489"/>
    <w:p w14:paraId="30AF46E9" w14:textId="77777777" w:rsidR="002D2489" w:rsidRDefault="002D24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8D23" w14:textId="507BDA35" w:rsidR="00D63A6F" w:rsidRPr="00A5456D" w:rsidRDefault="005E5F16" w:rsidP="00A5456D">
    <w:pPr>
      <w:bidi w:val="0"/>
      <w:spacing w:after="360" w:line="240" w:lineRule="auto"/>
      <w:jc w:val="center"/>
    </w:pPr>
    <w:r w:rsidRPr="00A5456D">
      <w:rPr>
        <w:rStyle w:val="PageNumber"/>
        <w:rFonts w:ascii="Dubai" w:hAnsi="Dubai" w:cs="Dubai"/>
      </w:rPr>
      <w:fldChar w:fldCharType="begin"/>
    </w:r>
    <w:r w:rsidRPr="00A5456D">
      <w:rPr>
        <w:rStyle w:val="PageNumber"/>
        <w:rFonts w:ascii="Dubai" w:hAnsi="Dubai" w:cs="Dubai"/>
      </w:rPr>
      <w:instrText xml:space="preserve"> PAGE </w:instrText>
    </w:r>
    <w:r w:rsidRPr="00A5456D">
      <w:rPr>
        <w:rStyle w:val="PageNumber"/>
        <w:rFonts w:ascii="Dubai" w:hAnsi="Dubai" w:cs="Dubai"/>
      </w:rPr>
      <w:fldChar w:fldCharType="separate"/>
    </w:r>
    <w:r w:rsidR="0049725E">
      <w:rPr>
        <w:rStyle w:val="PageNumber"/>
        <w:rFonts w:ascii="Dubai" w:hAnsi="Dubai" w:cs="Dubai"/>
        <w:noProof/>
      </w:rPr>
      <w:t>2</w:t>
    </w:r>
    <w:r w:rsidRPr="00A5456D">
      <w:rPr>
        <w:rStyle w:val="PageNumber"/>
        <w:rFonts w:ascii="Dubai" w:hAnsi="Dubai" w:cs="Dubai"/>
      </w:rPr>
      <w:fldChar w:fldCharType="end"/>
    </w:r>
    <w:r w:rsidRPr="00A5456D">
      <w:rPr>
        <w:rStyle w:val="PageNumber"/>
        <w:rFonts w:ascii="Dubai" w:hAnsi="Dubai" w:cs="Dubai"/>
        <w:rtl/>
      </w:rPr>
      <w:br/>
    </w:r>
    <w:r w:rsidR="004F5F29" w:rsidRPr="00A5456D">
      <w:rPr>
        <w:rStyle w:val="PageNumber"/>
        <w:rFonts w:ascii="Dubai" w:hAnsi="Dubai" w:cs="Dubai"/>
      </w:rPr>
      <w:t>WRC</w:t>
    </w:r>
    <w:r w:rsidRPr="00A5456D">
      <w:rPr>
        <w:rStyle w:val="PageNumber"/>
        <w:rFonts w:ascii="Dubai" w:hAnsi="Dubai" w:cs="Dubai"/>
      </w:rPr>
      <w:t>23/148(Add.4)-A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061D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E282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566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38EB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77940667">
    <w:abstractNumId w:val="9"/>
  </w:num>
  <w:num w:numId="2" w16cid:durableId="138958949">
    <w:abstractNumId w:val="13"/>
  </w:num>
  <w:num w:numId="3" w16cid:durableId="871770820">
    <w:abstractNumId w:val="11"/>
  </w:num>
  <w:num w:numId="4" w16cid:durableId="647051935">
    <w:abstractNumId w:val="14"/>
  </w:num>
  <w:num w:numId="5" w16cid:durableId="1447775540">
    <w:abstractNumId w:val="7"/>
  </w:num>
  <w:num w:numId="6" w16cid:durableId="1804883523">
    <w:abstractNumId w:val="6"/>
  </w:num>
  <w:num w:numId="7" w16cid:durableId="2145389014">
    <w:abstractNumId w:val="5"/>
  </w:num>
  <w:num w:numId="8" w16cid:durableId="1998024672">
    <w:abstractNumId w:val="4"/>
  </w:num>
  <w:num w:numId="9" w16cid:durableId="2070036222">
    <w:abstractNumId w:val="8"/>
  </w:num>
  <w:num w:numId="10" w16cid:durableId="33313139">
    <w:abstractNumId w:val="3"/>
  </w:num>
  <w:num w:numId="11" w16cid:durableId="739063239">
    <w:abstractNumId w:val="2"/>
  </w:num>
  <w:num w:numId="12" w16cid:durableId="348486819">
    <w:abstractNumId w:val="1"/>
  </w:num>
  <w:num w:numId="13" w16cid:durableId="1773819183">
    <w:abstractNumId w:val="0"/>
  </w:num>
  <w:num w:numId="14" w16cid:durableId="785078383">
    <w:abstractNumId w:val="10"/>
  </w:num>
  <w:num w:numId="15" w16cid:durableId="867370150">
    <w:abstractNumId w:val="15"/>
  </w:num>
  <w:num w:numId="16" w16cid:durableId="1992559207">
    <w:abstractNumId w:val="12"/>
  </w:num>
  <w:num w:numId="17" w16cid:durableId="1008170464">
    <w:abstractNumId w:val="6"/>
  </w:num>
  <w:num w:numId="18" w16cid:durableId="1321929874">
    <w:abstractNumId w:val="5"/>
  </w:num>
  <w:num w:numId="19" w16cid:durableId="1595045353">
    <w:abstractNumId w:val="3"/>
  </w:num>
  <w:num w:numId="20" w16cid:durableId="744840967">
    <w:abstractNumId w:val="2"/>
  </w:num>
  <w:num w:numId="21" w16cid:durableId="2030720529">
    <w:abstractNumId w:val="6"/>
  </w:num>
  <w:num w:numId="22" w16cid:durableId="2126650326">
    <w:abstractNumId w:val="5"/>
  </w:num>
  <w:num w:numId="23" w16cid:durableId="325785561">
    <w:abstractNumId w:val="3"/>
  </w:num>
  <w:num w:numId="24" w16cid:durableId="1148208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A715D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4216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1EAD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2489"/>
    <w:rsid w:val="002D5F64"/>
    <w:rsid w:val="002D6BB4"/>
    <w:rsid w:val="002D6FBF"/>
    <w:rsid w:val="002D711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9725E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3C96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3B4"/>
    <w:rsid w:val="00554AE7"/>
    <w:rsid w:val="00564746"/>
    <w:rsid w:val="00564FCF"/>
    <w:rsid w:val="0056512C"/>
    <w:rsid w:val="00566240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440F9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0EA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3361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AE8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08AD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456D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D7D91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AF77A4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27AD"/>
    <w:rsid w:val="00B542DF"/>
    <w:rsid w:val="00B60259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12EC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647A4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42CE7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4BAE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0B22"/>
    <w:rsid w:val="00F25B80"/>
    <w:rsid w:val="00F2685F"/>
    <w:rsid w:val="00F33A34"/>
    <w:rsid w:val="00F350C8"/>
    <w:rsid w:val="00F36853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0F3E48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F157E0"/>
    <w:pPr>
      <w:keepNext/>
      <w:keepLines/>
      <w:tabs>
        <w:tab w:val="clear" w:pos="1871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SimSun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cb57625-998c-4420-8da9-23e0c8b144d7">DPM</DPM_x0020_Author>
    <DPM_x0020_File_x0020_name xmlns="2cb57625-998c-4420-8da9-23e0c8b144d7">R23-WRC23-C-0148!A4!MSW-A</DPM_x0020_File_x0020_name>
    <DPM_x0020_Version xmlns="2cb57625-998c-4420-8da9-23e0c8b144d7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cb57625-998c-4420-8da9-23e0c8b144d7" targetNamespace="http://schemas.microsoft.com/office/2006/metadata/properties" ma:root="true" ma:fieldsID="d41af5c836d734370eb92e7ee5f83852" ns2:_="" ns3:_="">
    <xsd:import namespace="996b2e75-67fd-4955-a3b0-5ab9934cb50b"/>
    <xsd:import namespace="2cb57625-998c-4420-8da9-23e0c8b144d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57625-998c-4420-8da9-23e0c8b144d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cb57625-998c-4420-8da9-23e0c8b144d7"/>
  </ds:schemaRefs>
</ds:datastoreItem>
</file>

<file path=customXml/itemProps3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785516-F5B8-4837-A6F0-6F84B6F0212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cb57625-998c-4420-8da9-23e0c8b14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R23-WRC23-C-0148!A4!MSW-A</vt:lpstr>
    </vt:vector>
  </TitlesOfParts>
  <Manager>General Secretariat - Pool</Manager>
  <Company>International Telecommunication Union (ITU)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R23-WRC23-C-0148!A4!MSW-A</dc:title>
  <dc:creator>Documents Proposals Manager (DPM)</dc:creator>
  <cp:keywords>DPM_v2023.8.1.1_prod</cp:keywords>
  <cp:lastModifiedBy>Kamaleldin, Mohamed</cp:lastModifiedBy>
  <cp:revision>4</cp:revision>
  <cp:lastPrinted>2020-08-11T14:28:00Z</cp:lastPrinted>
  <dcterms:created xsi:type="dcterms:W3CDTF">2023-11-17T19:10:00Z</dcterms:created>
  <dcterms:modified xsi:type="dcterms:W3CDTF">2023-11-17T19:11:00Z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