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B6BC2" w14:paraId="0DBDC136" w14:textId="77777777" w:rsidTr="00C1305F">
        <w:trPr>
          <w:cantSplit/>
        </w:trPr>
        <w:tc>
          <w:tcPr>
            <w:tcW w:w="1418" w:type="dxa"/>
            <w:vAlign w:val="center"/>
          </w:tcPr>
          <w:p w14:paraId="6E3D8D3B" w14:textId="2AD4E747" w:rsidR="00C1305F" w:rsidRPr="004B6BC2" w:rsidRDefault="00C1305F" w:rsidP="00D52932">
            <w:pPr>
              <w:spacing w:before="0"/>
              <w:rPr>
                <w:rFonts w:ascii="Verdana" w:hAnsi="Verdana"/>
                <w:b/>
                <w:bCs/>
                <w:sz w:val="20"/>
              </w:rPr>
            </w:pPr>
            <w:r w:rsidRPr="004B6BC2">
              <w:rPr>
                <w:noProof/>
              </w:rPr>
              <w:drawing>
                <wp:inline distT="0" distB="0" distL="0" distR="0" wp14:anchorId="3B4561CF" wp14:editId="6FC60F9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A5FF177" w14:textId="54B14261" w:rsidR="00C1305F" w:rsidRPr="004B6BC2" w:rsidRDefault="00C1305F" w:rsidP="00D52932">
            <w:pPr>
              <w:spacing w:before="400" w:after="48"/>
              <w:rPr>
                <w:rFonts w:ascii="Verdana" w:hAnsi="Verdana"/>
                <w:b/>
                <w:bCs/>
                <w:sz w:val="20"/>
              </w:rPr>
            </w:pPr>
            <w:r w:rsidRPr="004B6BC2">
              <w:rPr>
                <w:rFonts w:ascii="Verdana" w:hAnsi="Verdana"/>
                <w:b/>
                <w:bCs/>
                <w:sz w:val="20"/>
              </w:rPr>
              <w:t>Conférence mondiale des radiocommunications (CMR-23)</w:t>
            </w:r>
            <w:r w:rsidRPr="004B6BC2">
              <w:rPr>
                <w:rFonts w:ascii="Verdana" w:hAnsi="Verdana"/>
                <w:b/>
                <w:bCs/>
                <w:sz w:val="20"/>
              </w:rPr>
              <w:br/>
            </w:r>
            <w:r w:rsidRPr="004B6BC2">
              <w:rPr>
                <w:rFonts w:ascii="Verdana" w:hAnsi="Verdana"/>
                <w:b/>
                <w:bCs/>
                <w:sz w:val="18"/>
                <w:szCs w:val="18"/>
              </w:rPr>
              <w:t xml:space="preserve">Dubaï, 20 novembre </w:t>
            </w:r>
            <w:r w:rsidR="00DE6F98">
              <w:rPr>
                <w:rFonts w:ascii="Verdana" w:hAnsi="Verdana"/>
                <w:b/>
                <w:bCs/>
                <w:sz w:val="18"/>
                <w:szCs w:val="18"/>
              </w:rPr>
              <w:t>–</w:t>
            </w:r>
            <w:r w:rsidRPr="004B6BC2">
              <w:rPr>
                <w:rFonts w:ascii="Verdana" w:hAnsi="Verdana"/>
                <w:b/>
                <w:bCs/>
                <w:sz w:val="18"/>
                <w:szCs w:val="18"/>
              </w:rPr>
              <w:t xml:space="preserve"> 15 décembre 2023</w:t>
            </w:r>
          </w:p>
        </w:tc>
        <w:tc>
          <w:tcPr>
            <w:tcW w:w="1809" w:type="dxa"/>
            <w:vAlign w:val="center"/>
          </w:tcPr>
          <w:p w14:paraId="5DBF44C2" w14:textId="77777777" w:rsidR="00C1305F" w:rsidRPr="004B6BC2" w:rsidRDefault="00C1305F" w:rsidP="00D52932">
            <w:pPr>
              <w:spacing w:before="0"/>
            </w:pPr>
            <w:bookmarkStart w:id="0" w:name="ditulogo"/>
            <w:bookmarkEnd w:id="0"/>
            <w:r w:rsidRPr="004B6BC2">
              <w:rPr>
                <w:noProof/>
              </w:rPr>
              <w:drawing>
                <wp:inline distT="0" distB="0" distL="0" distR="0" wp14:anchorId="1C5152C6" wp14:editId="76E148D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B6BC2" w14:paraId="56C12E32" w14:textId="77777777" w:rsidTr="0050008E">
        <w:trPr>
          <w:cantSplit/>
        </w:trPr>
        <w:tc>
          <w:tcPr>
            <w:tcW w:w="6911" w:type="dxa"/>
            <w:gridSpan w:val="2"/>
            <w:tcBorders>
              <w:bottom w:val="single" w:sz="12" w:space="0" w:color="auto"/>
            </w:tcBorders>
          </w:tcPr>
          <w:p w14:paraId="43A9FC53" w14:textId="77777777" w:rsidR="00BB1D82" w:rsidRPr="004B6BC2" w:rsidRDefault="00BB1D82" w:rsidP="00D52932">
            <w:pPr>
              <w:spacing w:before="0" w:after="48"/>
              <w:rPr>
                <w:b/>
                <w:smallCaps/>
                <w:szCs w:val="24"/>
              </w:rPr>
            </w:pPr>
            <w:bookmarkStart w:id="1" w:name="dhead"/>
          </w:p>
        </w:tc>
        <w:tc>
          <w:tcPr>
            <w:tcW w:w="3120" w:type="dxa"/>
            <w:gridSpan w:val="2"/>
            <w:tcBorders>
              <w:bottom w:val="single" w:sz="12" w:space="0" w:color="auto"/>
            </w:tcBorders>
          </w:tcPr>
          <w:p w14:paraId="6B41CF78" w14:textId="77777777" w:rsidR="00BB1D82" w:rsidRPr="004B6BC2" w:rsidRDefault="00BB1D82" w:rsidP="00D52932">
            <w:pPr>
              <w:spacing w:before="0"/>
              <w:rPr>
                <w:rFonts w:ascii="Verdana" w:hAnsi="Verdana"/>
                <w:szCs w:val="24"/>
              </w:rPr>
            </w:pPr>
          </w:p>
        </w:tc>
      </w:tr>
      <w:tr w:rsidR="00BB1D82" w:rsidRPr="004B6BC2" w14:paraId="6A8A6DDA" w14:textId="77777777" w:rsidTr="00BB1D82">
        <w:trPr>
          <w:cantSplit/>
        </w:trPr>
        <w:tc>
          <w:tcPr>
            <w:tcW w:w="6911" w:type="dxa"/>
            <w:gridSpan w:val="2"/>
            <w:tcBorders>
              <w:top w:val="single" w:sz="12" w:space="0" w:color="auto"/>
            </w:tcBorders>
          </w:tcPr>
          <w:p w14:paraId="4C161AE4" w14:textId="77777777" w:rsidR="00BB1D82" w:rsidRPr="004B6BC2" w:rsidRDefault="00BB1D82" w:rsidP="00D52932">
            <w:pPr>
              <w:spacing w:before="0" w:after="48"/>
              <w:rPr>
                <w:rFonts w:ascii="Verdana" w:hAnsi="Verdana"/>
                <w:b/>
                <w:smallCaps/>
                <w:sz w:val="20"/>
              </w:rPr>
            </w:pPr>
          </w:p>
        </w:tc>
        <w:tc>
          <w:tcPr>
            <w:tcW w:w="3120" w:type="dxa"/>
            <w:gridSpan w:val="2"/>
            <w:tcBorders>
              <w:top w:val="single" w:sz="12" w:space="0" w:color="auto"/>
            </w:tcBorders>
          </w:tcPr>
          <w:p w14:paraId="071277CB" w14:textId="77777777" w:rsidR="00BB1D82" w:rsidRPr="004B6BC2" w:rsidRDefault="00BB1D82" w:rsidP="00D52932">
            <w:pPr>
              <w:spacing w:before="0"/>
              <w:rPr>
                <w:rFonts w:ascii="Verdana" w:hAnsi="Verdana"/>
                <w:sz w:val="20"/>
              </w:rPr>
            </w:pPr>
          </w:p>
        </w:tc>
      </w:tr>
      <w:tr w:rsidR="00BB1D82" w:rsidRPr="004B6BC2" w14:paraId="6A729BD6" w14:textId="77777777" w:rsidTr="00BB1D82">
        <w:trPr>
          <w:cantSplit/>
        </w:trPr>
        <w:tc>
          <w:tcPr>
            <w:tcW w:w="6911" w:type="dxa"/>
            <w:gridSpan w:val="2"/>
          </w:tcPr>
          <w:p w14:paraId="5BA52C7E" w14:textId="77777777" w:rsidR="00BB1D82" w:rsidRPr="004B6BC2" w:rsidRDefault="006D4724" w:rsidP="00D23087">
            <w:pPr>
              <w:spacing w:before="0"/>
              <w:rPr>
                <w:rFonts w:ascii="Verdana" w:hAnsi="Verdana"/>
                <w:b/>
                <w:sz w:val="20"/>
              </w:rPr>
            </w:pPr>
            <w:r w:rsidRPr="004B6BC2">
              <w:rPr>
                <w:rFonts w:ascii="Verdana" w:hAnsi="Verdana"/>
                <w:b/>
                <w:sz w:val="20"/>
              </w:rPr>
              <w:t>SÉANCE PLÉNIÈRE</w:t>
            </w:r>
          </w:p>
        </w:tc>
        <w:tc>
          <w:tcPr>
            <w:tcW w:w="3120" w:type="dxa"/>
            <w:gridSpan w:val="2"/>
          </w:tcPr>
          <w:p w14:paraId="6AA8D7FB" w14:textId="719A44E9" w:rsidR="00BB1D82" w:rsidRPr="004B6BC2" w:rsidRDefault="00DE6F98" w:rsidP="00D23087">
            <w:pPr>
              <w:spacing w:before="0"/>
              <w:rPr>
                <w:rFonts w:ascii="Verdana" w:hAnsi="Verdana"/>
                <w:sz w:val="20"/>
              </w:rPr>
            </w:pPr>
            <w:r>
              <w:rPr>
                <w:rFonts w:ascii="Verdana" w:hAnsi="Verdana"/>
                <w:b/>
                <w:sz w:val="20"/>
              </w:rPr>
              <w:t>Révision 1 du</w:t>
            </w:r>
            <w:r>
              <w:rPr>
                <w:rFonts w:ascii="Verdana" w:hAnsi="Verdana"/>
                <w:b/>
                <w:sz w:val="20"/>
              </w:rPr>
              <w:br/>
            </w:r>
            <w:r w:rsidR="006D4724" w:rsidRPr="004B6BC2">
              <w:rPr>
                <w:rFonts w:ascii="Verdana" w:hAnsi="Verdana"/>
                <w:b/>
                <w:sz w:val="20"/>
              </w:rPr>
              <w:t>Document 158</w:t>
            </w:r>
            <w:r w:rsidR="00BB1D82" w:rsidRPr="004B6BC2">
              <w:rPr>
                <w:rFonts w:ascii="Verdana" w:hAnsi="Verdana"/>
                <w:b/>
                <w:sz w:val="20"/>
              </w:rPr>
              <w:t>-</w:t>
            </w:r>
            <w:r w:rsidR="006D4724" w:rsidRPr="004B6BC2">
              <w:rPr>
                <w:rFonts w:ascii="Verdana" w:hAnsi="Verdana"/>
                <w:b/>
                <w:sz w:val="20"/>
              </w:rPr>
              <w:t>F</w:t>
            </w:r>
          </w:p>
        </w:tc>
      </w:tr>
      <w:bookmarkEnd w:id="1"/>
      <w:tr w:rsidR="00690C7B" w:rsidRPr="004B6BC2" w14:paraId="3F7DD048" w14:textId="77777777" w:rsidTr="00BB1D82">
        <w:trPr>
          <w:cantSplit/>
        </w:trPr>
        <w:tc>
          <w:tcPr>
            <w:tcW w:w="6911" w:type="dxa"/>
            <w:gridSpan w:val="2"/>
          </w:tcPr>
          <w:p w14:paraId="49D150E9" w14:textId="77777777" w:rsidR="00690C7B" w:rsidRPr="004B6BC2" w:rsidRDefault="00690C7B" w:rsidP="00D23087">
            <w:pPr>
              <w:spacing w:before="0"/>
              <w:rPr>
                <w:rFonts w:ascii="Verdana" w:hAnsi="Verdana"/>
                <w:b/>
                <w:sz w:val="20"/>
              </w:rPr>
            </w:pPr>
          </w:p>
        </w:tc>
        <w:tc>
          <w:tcPr>
            <w:tcW w:w="3120" w:type="dxa"/>
            <w:gridSpan w:val="2"/>
          </w:tcPr>
          <w:p w14:paraId="7E19D142" w14:textId="7CD5A688" w:rsidR="00690C7B" w:rsidRPr="004B6BC2" w:rsidRDefault="00DE6F98" w:rsidP="00D23087">
            <w:pPr>
              <w:spacing w:before="0"/>
              <w:rPr>
                <w:rFonts w:ascii="Verdana" w:hAnsi="Verdana"/>
                <w:b/>
                <w:sz w:val="20"/>
              </w:rPr>
            </w:pPr>
            <w:r>
              <w:rPr>
                <w:rFonts w:ascii="Verdana" w:hAnsi="Verdana"/>
                <w:b/>
                <w:sz w:val="20"/>
              </w:rPr>
              <w:t>13 novembre</w:t>
            </w:r>
            <w:r w:rsidR="00690C7B" w:rsidRPr="004B6BC2">
              <w:rPr>
                <w:rFonts w:ascii="Verdana" w:hAnsi="Verdana"/>
                <w:b/>
                <w:sz w:val="20"/>
              </w:rPr>
              <w:t xml:space="preserve"> 2023</w:t>
            </w:r>
          </w:p>
        </w:tc>
      </w:tr>
      <w:tr w:rsidR="00690C7B" w:rsidRPr="004B6BC2" w14:paraId="36AAE8F5" w14:textId="77777777" w:rsidTr="00BB1D82">
        <w:trPr>
          <w:cantSplit/>
        </w:trPr>
        <w:tc>
          <w:tcPr>
            <w:tcW w:w="6911" w:type="dxa"/>
            <w:gridSpan w:val="2"/>
          </w:tcPr>
          <w:p w14:paraId="58AC2502" w14:textId="77777777" w:rsidR="00690C7B" w:rsidRPr="004B6BC2" w:rsidRDefault="00690C7B" w:rsidP="00D23087">
            <w:pPr>
              <w:spacing w:before="0" w:after="48"/>
              <w:rPr>
                <w:rFonts w:ascii="Verdana" w:hAnsi="Verdana"/>
                <w:b/>
                <w:smallCaps/>
                <w:sz w:val="20"/>
              </w:rPr>
            </w:pPr>
          </w:p>
        </w:tc>
        <w:tc>
          <w:tcPr>
            <w:tcW w:w="3120" w:type="dxa"/>
            <w:gridSpan w:val="2"/>
          </w:tcPr>
          <w:p w14:paraId="5F14A92C" w14:textId="77777777" w:rsidR="00690C7B" w:rsidRPr="004B6BC2" w:rsidRDefault="00690C7B" w:rsidP="00D23087">
            <w:pPr>
              <w:spacing w:before="0"/>
              <w:rPr>
                <w:rFonts w:ascii="Verdana" w:hAnsi="Verdana"/>
                <w:b/>
                <w:sz w:val="20"/>
              </w:rPr>
            </w:pPr>
            <w:r w:rsidRPr="004B6BC2">
              <w:rPr>
                <w:rFonts w:ascii="Verdana" w:hAnsi="Verdana"/>
                <w:b/>
                <w:sz w:val="20"/>
              </w:rPr>
              <w:t>Original: anglais</w:t>
            </w:r>
          </w:p>
        </w:tc>
      </w:tr>
      <w:tr w:rsidR="00690C7B" w:rsidRPr="004B6BC2" w14:paraId="078E1916" w14:textId="77777777" w:rsidTr="00C11970">
        <w:trPr>
          <w:cantSplit/>
        </w:trPr>
        <w:tc>
          <w:tcPr>
            <w:tcW w:w="10031" w:type="dxa"/>
            <w:gridSpan w:val="4"/>
          </w:tcPr>
          <w:p w14:paraId="55B7CF07" w14:textId="77777777" w:rsidR="00690C7B" w:rsidRPr="004B6BC2" w:rsidRDefault="00690C7B" w:rsidP="00D23087">
            <w:pPr>
              <w:spacing w:before="0"/>
              <w:rPr>
                <w:rFonts w:ascii="Verdana" w:hAnsi="Verdana"/>
                <w:b/>
                <w:sz w:val="20"/>
              </w:rPr>
            </w:pPr>
          </w:p>
        </w:tc>
      </w:tr>
      <w:tr w:rsidR="00690C7B" w:rsidRPr="004B6BC2" w14:paraId="4E282D42" w14:textId="77777777" w:rsidTr="0050008E">
        <w:trPr>
          <w:cantSplit/>
        </w:trPr>
        <w:tc>
          <w:tcPr>
            <w:tcW w:w="10031" w:type="dxa"/>
            <w:gridSpan w:val="4"/>
          </w:tcPr>
          <w:p w14:paraId="716516CA" w14:textId="1E156B4B" w:rsidR="00690C7B" w:rsidRPr="004B6BC2" w:rsidRDefault="00690C7B" w:rsidP="00D23087">
            <w:pPr>
              <w:pStyle w:val="Source"/>
            </w:pPr>
            <w:bookmarkStart w:id="2" w:name="dsource" w:colFirst="0" w:colLast="0"/>
            <w:r w:rsidRPr="004B6BC2">
              <w:t>Burundi (République du)/Cameroun (République du)/Centrafricaine</w:t>
            </w:r>
            <w:r w:rsidR="00DE6F98">
              <w:br/>
            </w:r>
            <w:r w:rsidRPr="004B6BC2">
              <w:t>(République)/Congo (République du)/Gabonaise (République)/Guinée</w:t>
            </w:r>
            <w:r w:rsidR="00DE6F98">
              <w:br/>
            </w:r>
            <w:r w:rsidRPr="004B6BC2">
              <w:t>équatoriale (République de)/Madagascar (République</w:t>
            </w:r>
            <w:r w:rsidR="00823F1C" w:rsidRPr="004B6BC2">
              <w:t xml:space="preserve"> </w:t>
            </w:r>
            <w:r w:rsidRPr="004B6BC2">
              <w:t>de)/</w:t>
            </w:r>
            <w:r w:rsidR="00DE6F98">
              <w:t>Nigéria</w:t>
            </w:r>
            <w:r w:rsidR="00DE6F98">
              <w:br/>
              <w:t>(République</w:t>
            </w:r>
            <w:r w:rsidR="00DE6F98" w:rsidRPr="00DE6F98">
              <w:t xml:space="preserve"> fédérale du</w:t>
            </w:r>
            <w:r w:rsidR="00DE6F98">
              <w:t>)/</w:t>
            </w:r>
            <w:r w:rsidRPr="004B6BC2">
              <w:t>République</w:t>
            </w:r>
            <w:r w:rsidR="00DE6F98">
              <w:t xml:space="preserve"> </w:t>
            </w:r>
            <w:r w:rsidRPr="004B6BC2">
              <w:t>démocratique du Congo/</w:t>
            </w:r>
            <w:r w:rsidR="00DE6F98">
              <w:br/>
            </w:r>
            <w:r w:rsidRPr="004B6BC2">
              <w:t>Sao Tomé-et-Principe (République</w:t>
            </w:r>
            <w:r w:rsidR="00DE6F98">
              <w:t xml:space="preserve"> </w:t>
            </w:r>
            <w:r w:rsidRPr="004B6BC2">
              <w:t>démocratique de)/</w:t>
            </w:r>
            <w:r w:rsidR="00DE6F98">
              <w:br/>
              <w:t>T</w:t>
            </w:r>
            <w:r w:rsidRPr="004B6BC2">
              <w:t>chad (République du)</w:t>
            </w:r>
          </w:p>
        </w:tc>
      </w:tr>
      <w:tr w:rsidR="00690C7B" w:rsidRPr="004B6BC2" w14:paraId="6A4CF819" w14:textId="77777777" w:rsidTr="0050008E">
        <w:trPr>
          <w:cantSplit/>
        </w:trPr>
        <w:tc>
          <w:tcPr>
            <w:tcW w:w="10031" w:type="dxa"/>
            <w:gridSpan w:val="4"/>
          </w:tcPr>
          <w:p w14:paraId="765D09C6" w14:textId="0B30BE6D" w:rsidR="00690C7B" w:rsidRPr="004B6BC2" w:rsidRDefault="00135281" w:rsidP="00D23087">
            <w:pPr>
              <w:pStyle w:val="Title1"/>
            </w:pPr>
            <w:bookmarkStart w:id="3" w:name="dtitle1" w:colFirst="0" w:colLast="0"/>
            <w:bookmarkEnd w:id="2"/>
            <w:r w:rsidRPr="004B6BC2">
              <w:t>Propositions pour les travaux de la conférence</w:t>
            </w:r>
          </w:p>
        </w:tc>
      </w:tr>
      <w:tr w:rsidR="00690C7B" w:rsidRPr="004B6BC2" w14:paraId="3C367267" w14:textId="77777777" w:rsidTr="0050008E">
        <w:trPr>
          <w:cantSplit/>
        </w:trPr>
        <w:tc>
          <w:tcPr>
            <w:tcW w:w="10031" w:type="dxa"/>
            <w:gridSpan w:val="4"/>
          </w:tcPr>
          <w:p w14:paraId="25D6CAFF" w14:textId="77777777" w:rsidR="00690C7B" w:rsidRPr="004B6BC2" w:rsidRDefault="00690C7B" w:rsidP="00D23087">
            <w:pPr>
              <w:pStyle w:val="Title2"/>
            </w:pPr>
            <w:bookmarkStart w:id="4" w:name="dtitle2" w:colFirst="0" w:colLast="0"/>
            <w:bookmarkEnd w:id="3"/>
          </w:p>
        </w:tc>
      </w:tr>
      <w:tr w:rsidR="00690C7B" w:rsidRPr="004B6BC2" w14:paraId="2BD816C6" w14:textId="77777777" w:rsidTr="0050008E">
        <w:trPr>
          <w:cantSplit/>
        </w:trPr>
        <w:tc>
          <w:tcPr>
            <w:tcW w:w="10031" w:type="dxa"/>
            <w:gridSpan w:val="4"/>
          </w:tcPr>
          <w:p w14:paraId="0FCFA420" w14:textId="7B31146D" w:rsidR="00690C7B" w:rsidRPr="004B6BC2" w:rsidRDefault="00690C7B" w:rsidP="00D23087">
            <w:pPr>
              <w:pStyle w:val="Agendaitem"/>
              <w:rPr>
                <w:lang w:val="fr-FR"/>
              </w:rPr>
            </w:pPr>
            <w:bookmarkStart w:id="5" w:name="dtitle3" w:colFirst="0" w:colLast="0"/>
            <w:bookmarkEnd w:id="4"/>
            <w:r w:rsidRPr="004B6BC2">
              <w:rPr>
                <w:lang w:val="fr-FR"/>
              </w:rPr>
              <w:t>Point 10 de l</w:t>
            </w:r>
            <w:r w:rsidR="00A44BB8" w:rsidRPr="004B6BC2">
              <w:rPr>
                <w:lang w:val="fr-FR"/>
              </w:rPr>
              <w:t>'</w:t>
            </w:r>
            <w:r w:rsidRPr="004B6BC2">
              <w:rPr>
                <w:lang w:val="fr-FR"/>
              </w:rPr>
              <w:t>ordre du jour</w:t>
            </w:r>
          </w:p>
        </w:tc>
      </w:tr>
    </w:tbl>
    <w:bookmarkEnd w:id="5"/>
    <w:p w14:paraId="1BEE77C8" w14:textId="5A152D8D" w:rsidR="002D1BCD" w:rsidRPr="004B6BC2" w:rsidRDefault="00B20948" w:rsidP="00D23087">
      <w:r w:rsidRPr="004B6BC2">
        <w:t>10</w:t>
      </w:r>
      <w:r w:rsidRPr="004B6BC2">
        <w:tab/>
        <w:t>recommander au Conseil de l</w:t>
      </w:r>
      <w:r w:rsidR="00A44BB8" w:rsidRPr="004B6BC2">
        <w:t>'</w:t>
      </w:r>
      <w:r w:rsidRPr="004B6BC2">
        <w:t>UIT des points à inscrire à l</w:t>
      </w:r>
      <w:r w:rsidR="00A44BB8" w:rsidRPr="004B6BC2">
        <w:t>'</w:t>
      </w:r>
      <w:r w:rsidRPr="004B6BC2">
        <w:t>ordre du jour de la Conférence mondiale des radiocommunications suivante et des points de l</w:t>
      </w:r>
      <w:r w:rsidR="00A44BB8" w:rsidRPr="004B6BC2">
        <w:t>'</w:t>
      </w:r>
      <w:r w:rsidRPr="004B6BC2">
        <w:t>ordre du jour préliminaire de conférences futures, conformément à l</w:t>
      </w:r>
      <w:r w:rsidR="00A44BB8" w:rsidRPr="004B6BC2">
        <w:t>'</w:t>
      </w:r>
      <w:r w:rsidRPr="004B6BC2">
        <w:t>article 7 de la Convention de l</w:t>
      </w:r>
      <w:r w:rsidR="00A44BB8" w:rsidRPr="004B6BC2">
        <w:t>'</w:t>
      </w:r>
      <w:r w:rsidRPr="004B6BC2">
        <w:t>UIT et à la Résolution</w:t>
      </w:r>
      <w:r w:rsidR="00823F1C" w:rsidRPr="004B6BC2">
        <w:t xml:space="preserve"> </w:t>
      </w:r>
      <w:r w:rsidRPr="004B6BC2">
        <w:rPr>
          <w:b/>
        </w:rPr>
        <w:t>804</w:t>
      </w:r>
      <w:r w:rsidR="00823F1C" w:rsidRPr="004B6BC2">
        <w:rPr>
          <w:b/>
        </w:rPr>
        <w:t xml:space="preserve"> </w:t>
      </w:r>
      <w:r w:rsidRPr="004B6BC2">
        <w:rPr>
          <w:b/>
        </w:rPr>
        <w:t>(Rév.CMR-19)</w:t>
      </w:r>
      <w:r w:rsidRPr="004B6BC2">
        <w:t>,</w:t>
      </w:r>
    </w:p>
    <w:p w14:paraId="267602EF" w14:textId="0106BC82" w:rsidR="003A583E" w:rsidRPr="004B6BC2" w:rsidRDefault="00135281" w:rsidP="00D23087">
      <w:pPr>
        <w:pStyle w:val="Headingb"/>
      </w:pPr>
      <w:r w:rsidRPr="004B6BC2">
        <w:t>Introduction</w:t>
      </w:r>
    </w:p>
    <w:p w14:paraId="7A7A742E" w14:textId="7A0AD812" w:rsidR="00135281" w:rsidRPr="004B6BC2" w:rsidRDefault="002E4D21" w:rsidP="00D23087">
      <w:r w:rsidRPr="004B6BC2">
        <w:t>Les systèmes à satellites non géostationnaires («non OSG») du service fixe par satellite (SFS) en orbite terrestre basse (LEO) dans les bandes Ku et Ka sont récemment devenus essentiels pour assurer une connectivité large bande à l</w:t>
      </w:r>
      <w:r w:rsidR="00A44BB8" w:rsidRPr="004B6BC2">
        <w:t>'</w:t>
      </w:r>
      <w:r w:rsidRPr="004B6BC2">
        <w:t>échelle mondiale</w:t>
      </w:r>
      <w:r w:rsidR="00E152B2" w:rsidRPr="004B6BC2">
        <w:t xml:space="preserve"> offrant</w:t>
      </w:r>
      <w:r w:rsidRPr="004B6BC2">
        <w:t xml:space="preserve"> un faible temps de latence, un haut débit et une grande capacité. Les systèmes LEO sont indispensables pour réduire la fracture numérique et parvenir à la connectivité universelle.</w:t>
      </w:r>
    </w:p>
    <w:p w14:paraId="5F988B6E" w14:textId="5F06A76F" w:rsidR="00135281" w:rsidRPr="004B6BC2" w:rsidRDefault="002E4D21" w:rsidP="00D23087">
      <w:r w:rsidRPr="004B6BC2">
        <w:t>L</w:t>
      </w:r>
      <w:r w:rsidR="00A44BB8" w:rsidRPr="004B6BC2">
        <w:t>'</w:t>
      </w:r>
      <w:r w:rsidRPr="004B6BC2">
        <w:t xml:space="preserve">Article </w:t>
      </w:r>
      <w:r w:rsidRPr="004B6BC2">
        <w:rPr>
          <w:b/>
          <w:bCs/>
        </w:rPr>
        <w:t>22</w:t>
      </w:r>
      <w:r w:rsidRPr="004B6BC2">
        <w:t xml:space="preserve"> (Services spatiaux) du Règlement des radiocommunications (RR) contient un certain nombre de dispositions visant à assurer la compatibilité de l</w:t>
      </w:r>
      <w:r w:rsidR="00A44BB8" w:rsidRPr="004B6BC2">
        <w:t>'</w:t>
      </w:r>
      <w:r w:rsidRPr="004B6BC2">
        <w:t>exploitation des systèmes du SFS non</w:t>
      </w:r>
      <w:r w:rsidR="00D23087" w:rsidRPr="004B6BC2">
        <w:t> </w:t>
      </w:r>
      <w:r w:rsidRPr="004B6BC2">
        <w:t>OSG avec les systèmes et services bénéficiant d</w:t>
      </w:r>
      <w:r w:rsidR="00A44BB8" w:rsidRPr="004B6BC2">
        <w:t>'</w:t>
      </w:r>
      <w:r w:rsidRPr="004B6BC2">
        <w:t>une attribution à titre primaire avec égalité des droits. Parmi ces dispositions figurent les limites de puissance surfacique équivalente (epfd) et d</w:t>
      </w:r>
      <w:r w:rsidR="00A44BB8" w:rsidRPr="004B6BC2">
        <w:t>'</w:t>
      </w:r>
      <w:r w:rsidRPr="004B6BC2">
        <w:t>epfd cumulative</w:t>
      </w:r>
      <w:r w:rsidR="004B1CBC" w:rsidRPr="004B6BC2">
        <w:t>,</w:t>
      </w:r>
      <w:r w:rsidRPr="004B6BC2">
        <w:t xml:space="preserve"> que doivent respecter les systèmes du SFS non OSG fonctionnant dans certaines bandes de fréquences afin de protéger les systèmes du SFS et du service de radiodiffusion par satellite (SRS) </w:t>
      </w:r>
      <w:r w:rsidR="004B1CBC" w:rsidRPr="004B6BC2">
        <w:t xml:space="preserve">OSG </w:t>
      </w:r>
      <w:r w:rsidRPr="004B6BC2">
        <w:t>contre les brouillages inacceptables.</w:t>
      </w:r>
      <w:r w:rsidR="008D1351" w:rsidRPr="004B6BC2">
        <w:t xml:space="preserve"> Toutefois, les limites d</w:t>
      </w:r>
      <w:r w:rsidR="00A44BB8" w:rsidRPr="004B6BC2">
        <w:t>'</w:t>
      </w:r>
      <w:r w:rsidR="008D1351" w:rsidRPr="004B6BC2">
        <w:t>epfd énoncées dans l</w:t>
      </w:r>
      <w:r w:rsidR="00A44BB8" w:rsidRPr="004B6BC2">
        <w:t>'</w:t>
      </w:r>
      <w:r w:rsidR="008D1351" w:rsidRPr="004B6BC2">
        <w:t xml:space="preserve">Article </w:t>
      </w:r>
      <w:r w:rsidR="008D1351" w:rsidRPr="004B6BC2">
        <w:rPr>
          <w:b/>
          <w:bCs/>
        </w:rPr>
        <w:t>22</w:t>
      </w:r>
      <w:r w:rsidR="008D1351" w:rsidRPr="004B6BC2">
        <w:t xml:space="preserve"> du RR représentent des dispositions obsolètes, qui restreignent l</w:t>
      </w:r>
      <w:r w:rsidR="00A44BB8" w:rsidRPr="004B6BC2">
        <w:t>'</w:t>
      </w:r>
      <w:r w:rsidR="008D1351" w:rsidRPr="004B6BC2">
        <w:t xml:space="preserve">exploitation des services à large bande non OSG et augmentent </w:t>
      </w:r>
      <w:r w:rsidR="00550AD3" w:rsidRPr="004B6BC2">
        <w:t xml:space="preserve">le coût de leur </w:t>
      </w:r>
      <w:r w:rsidR="008D1351" w:rsidRPr="004B6BC2">
        <w:t xml:space="preserve">exploitation. Ces limites sont </w:t>
      </w:r>
      <w:r w:rsidR="00550AD3" w:rsidRPr="004B6BC2">
        <w:t xml:space="preserve">techniquement </w:t>
      </w:r>
      <w:r w:rsidR="008D1351" w:rsidRPr="004B6BC2">
        <w:t xml:space="preserve">dépassées, </w:t>
      </w:r>
      <w:r w:rsidR="00550AD3" w:rsidRPr="004B6BC2">
        <w:t>en ce sens qu</w:t>
      </w:r>
      <w:r w:rsidR="00A44BB8" w:rsidRPr="004B6BC2">
        <w:t>'</w:t>
      </w:r>
      <w:r w:rsidR="008D1351" w:rsidRPr="004B6BC2">
        <w:t>elles sont fondées sur les caractéristiques techniques et opérationnelles des systèmes du SFS non OSG et d</w:t>
      </w:r>
      <w:r w:rsidR="00A44BB8" w:rsidRPr="004B6BC2">
        <w:t>'</w:t>
      </w:r>
      <w:r w:rsidR="008D1351" w:rsidRPr="004B6BC2">
        <w:t xml:space="preserve">autres services envisagés </w:t>
      </w:r>
      <w:r w:rsidR="00550AD3" w:rsidRPr="004B6BC2">
        <w:t xml:space="preserve">à une époque </w:t>
      </w:r>
      <w:r w:rsidR="00550AD3" w:rsidRPr="004B6BC2">
        <w:lastRenderedPageBreak/>
        <w:t xml:space="preserve">antérieure à </w:t>
      </w:r>
      <w:r w:rsidR="008D1351" w:rsidRPr="004B6BC2">
        <w:t>la CMR-2000. Aucun des systèmes non OSG utilisés pour calculer les limites d</w:t>
      </w:r>
      <w:r w:rsidR="00A44BB8" w:rsidRPr="004B6BC2">
        <w:t>'</w:t>
      </w:r>
      <w:r w:rsidR="008D1351" w:rsidRPr="004B6BC2">
        <w:t>epfd n</w:t>
      </w:r>
      <w:r w:rsidR="00A44BB8" w:rsidRPr="004B6BC2">
        <w:t>'</w:t>
      </w:r>
      <w:r w:rsidR="008D1351" w:rsidRPr="004B6BC2">
        <w:t>a été mis en service. Les limites d</w:t>
      </w:r>
      <w:r w:rsidR="00A44BB8" w:rsidRPr="004B6BC2">
        <w:t>'</w:t>
      </w:r>
      <w:r w:rsidR="008D1351" w:rsidRPr="004B6BC2">
        <w:t xml:space="preserve">epfd représentent également des techniques et des principes de gestion du spectre </w:t>
      </w:r>
      <w:r w:rsidR="00550AD3" w:rsidRPr="004B6BC2">
        <w:t>obsolètes</w:t>
      </w:r>
      <w:r w:rsidR="008D1351" w:rsidRPr="004B6BC2">
        <w:t>, étant donné que les études utilisées pour leur calcul dépendaient de critères de protection applicables aux systèmes OSG</w:t>
      </w:r>
      <w:r w:rsidR="00550AD3" w:rsidRPr="004B6BC2">
        <w:t xml:space="preserve"> </w:t>
      </w:r>
      <w:r w:rsidR="008D1351" w:rsidRPr="004B6BC2">
        <w:t>qui ne tenaient pas compte de l</w:t>
      </w:r>
      <w:r w:rsidR="00A44BB8" w:rsidRPr="004B6BC2">
        <w:t>'</w:t>
      </w:r>
      <w:r w:rsidR="008D1351" w:rsidRPr="004B6BC2">
        <w:t>évolution technologique moderne ni des</w:t>
      </w:r>
      <w:r w:rsidR="00550AD3" w:rsidRPr="004B6BC2">
        <w:t xml:space="preserve"> exigences en matière</w:t>
      </w:r>
      <w:r w:rsidR="008D1351" w:rsidRPr="004B6BC2">
        <w:t xml:space="preserve"> de protection de l</w:t>
      </w:r>
      <w:r w:rsidR="00A44BB8" w:rsidRPr="004B6BC2">
        <w:t>'</w:t>
      </w:r>
      <w:r w:rsidR="008D1351" w:rsidRPr="004B6BC2">
        <w:t>UIT-R pour la conception de</w:t>
      </w:r>
      <w:r w:rsidR="00550AD3" w:rsidRPr="004B6BC2">
        <w:t>s</w:t>
      </w:r>
      <w:r w:rsidR="008D1351" w:rsidRPr="004B6BC2">
        <w:t xml:space="preserve"> satellites, comme les critères de protection à long terme, qui constituent actuellement </w:t>
      </w:r>
      <w:r w:rsidR="003B7500" w:rsidRPr="004B6BC2">
        <w:t>un</w:t>
      </w:r>
      <w:r w:rsidR="008D1351" w:rsidRPr="004B6BC2">
        <w:t xml:space="preserve"> </w:t>
      </w:r>
      <w:r w:rsidR="003B7500" w:rsidRPr="004B6BC2">
        <w:t xml:space="preserve">principe de base de la </w:t>
      </w:r>
      <w:r w:rsidR="008D1351" w:rsidRPr="004B6BC2">
        <w:t>protection des systèmes OSG. En particulier, les études de partage qui ont conduit à l</w:t>
      </w:r>
      <w:r w:rsidR="00A44BB8" w:rsidRPr="004B6BC2">
        <w:t>'</w:t>
      </w:r>
      <w:r w:rsidR="008D1351" w:rsidRPr="004B6BC2">
        <w:t>établissement des limites d</w:t>
      </w:r>
      <w:r w:rsidR="00A44BB8" w:rsidRPr="004B6BC2">
        <w:t>'</w:t>
      </w:r>
      <w:r w:rsidR="008D1351" w:rsidRPr="004B6BC2">
        <w:t>epfd figurant actuellement dans l</w:t>
      </w:r>
      <w:r w:rsidR="00A44BB8" w:rsidRPr="004B6BC2">
        <w:t>'</w:t>
      </w:r>
      <w:r w:rsidR="008D1351" w:rsidRPr="004B6BC2">
        <w:t xml:space="preserve">Article </w:t>
      </w:r>
      <w:r w:rsidR="008D1351" w:rsidRPr="004B6BC2">
        <w:rPr>
          <w:b/>
          <w:bCs/>
        </w:rPr>
        <w:t>22</w:t>
      </w:r>
      <w:r w:rsidR="008D1351" w:rsidRPr="004B6BC2">
        <w:t xml:space="preserve"> du RR ne tiennent pas compte des progrès technologiques des 25 dernières années et des nouvelles techniques de gestion du spectre pour les systèmes non OSG et OSG, par exemple les faisceaux ponctuels plus petits et orientables des systèmes à satellites, </w:t>
      </w:r>
      <w:r w:rsidR="003B7500" w:rsidRPr="004B6BC2">
        <w:t>les</w:t>
      </w:r>
      <w:r w:rsidR="008D1351" w:rsidRPr="004B6BC2">
        <w:t xml:space="preserve"> technologie</w:t>
      </w:r>
      <w:r w:rsidR="003B7500" w:rsidRPr="004B6BC2">
        <w:t>s</w:t>
      </w:r>
      <w:r w:rsidR="008D1351" w:rsidRPr="004B6BC2">
        <w:t xml:space="preserve"> des antennes</w:t>
      </w:r>
      <w:r w:rsidR="003B7500" w:rsidRPr="004B6BC2">
        <w:t xml:space="preserve"> améliorées</w:t>
      </w:r>
      <w:r w:rsidR="008D1351" w:rsidRPr="004B6BC2">
        <w:t xml:space="preserve">, les critères de protection à long terme, le codage et la modulation adaptatifs, etc. </w:t>
      </w:r>
      <w:r w:rsidR="0083279E" w:rsidRPr="004B6BC2">
        <w:t xml:space="preserve">En outre, les limites </w:t>
      </w:r>
      <w:r w:rsidR="003B7500" w:rsidRPr="004B6BC2">
        <w:t xml:space="preserve">du </w:t>
      </w:r>
      <w:r w:rsidR="0083279E" w:rsidRPr="004B6BC2">
        <w:t>niveau de puissance du SFS non OSG incluses dans l</w:t>
      </w:r>
      <w:r w:rsidR="00A44BB8" w:rsidRPr="004B6BC2">
        <w:t>'</w:t>
      </w:r>
      <w:r w:rsidR="0083279E" w:rsidRPr="004B6BC2">
        <w:t xml:space="preserve">Article </w:t>
      </w:r>
      <w:r w:rsidR="0083279E" w:rsidRPr="004B6BC2">
        <w:rPr>
          <w:b/>
          <w:bCs/>
        </w:rPr>
        <w:t>22</w:t>
      </w:r>
      <w:r w:rsidR="0083279E" w:rsidRPr="004B6BC2">
        <w:t xml:space="preserve"> du RR </w:t>
      </w:r>
      <w:r w:rsidR="004B1CBC" w:rsidRPr="004B6BC2">
        <w:t xml:space="preserve">afin de </w:t>
      </w:r>
      <w:r w:rsidR="0083279E" w:rsidRPr="004B6BC2">
        <w:t>garantir la compatibilité avec l</w:t>
      </w:r>
      <w:r w:rsidR="00A44BB8" w:rsidRPr="004B6BC2">
        <w:t>'</w:t>
      </w:r>
      <w:r w:rsidR="0083279E" w:rsidRPr="004B6BC2">
        <w:t>exploitation du SFS OSG diffèrent sensiblement d</w:t>
      </w:r>
      <w:r w:rsidR="00A44BB8" w:rsidRPr="004B6BC2">
        <w:t>'</w:t>
      </w:r>
      <w:r w:rsidR="0083279E" w:rsidRPr="004B6BC2">
        <w:t>une bande à l</w:t>
      </w:r>
      <w:r w:rsidR="00A44BB8" w:rsidRPr="004B6BC2">
        <w:t>'</w:t>
      </w:r>
      <w:r w:rsidR="0083279E" w:rsidRPr="004B6BC2">
        <w:t>autre du SFS, même si les critères de protection utilisés pour évaluer et calculer les limites d</w:t>
      </w:r>
      <w:r w:rsidR="00A44BB8" w:rsidRPr="004B6BC2">
        <w:t>'</w:t>
      </w:r>
      <w:r w:rsidR="0083279E" w:rsidRPr="004B6BC2">
        <w:t xml:space="preserve">epfd sont identiques. </w:t>
      </w:r>
      <w:r w:rsidR="003B7500" w:rsidRPr="004B6BC2">
        <w:t>Le fait de ne pas prendre</w:t>
      </w:r>
      <w:r w:rsidR="0083279E" w:rsidRPr="004B6BC2">
        <w:t xml:space="preserve"> en considération l</w:t>
      </w:r>
      <w:r w:rsidR="00A44BB8" w:rsidRPr="004B6BC2">
        <w:t>'</w:t>
      </w:r>
      <w:r w:rsidR="0083279E" w:rsidRPr="004B6BC2">
        <w:t xml:space="preserve">innovation technologique et </w:t>
      </w:r>
      <w:r w:rsidR="003B7500" w:rsidRPr="004B6BC2">
        <w:t xml:space="preserve">les </w:t>
      </w:r>
      <w:r w:rsidR="0083279E" w:rsidRPr="004B6BC2">
        <w:t>techniques modernes de gestion du spectre, telles que les critères de protection</w:t>
      </w:r>
      <w:r w:rsidR="003B7500" w:rsidRPr="004B6BC2">
        <w:t xml:space="preserve">, </w:t>
      </w:r>
      <w:r w:rsidR="0083279E" w:rsidRPr="004B6BC2">
        <w:t xml:space="preserve">dans le cadre </w:t>
      </w:r>
      <w:r w:rsidR="003B7500" w:rsidRPr="004B6BC2">
        <w:t xml:space="preserve">régissant </w:t>
      </w:r>
      <w:r w:rsidR="0083279E" w:rsidRPr="004B6BC2">
        <w:t xml:space="preserve">le partage </w:t>
      </w:r>
      <w:r w:rsidR="003B7500" w:rsidRPr="004B6BC2">
        <w:t xml:space="preserve">de </w:t>
      </w:r>
      <w:r w:rsidR="0083279E" w:rsidRPr="004B6BC2">
        <w:t>l</w:t>
      </w:r>
      <w:r w:rsidR="00A44BB8" w:rsidRPr="004B6BC2">
        <w:t>'</w:t>
      </w:r>
      <w:r w:rsidR="0083279E" w:rsidRPr="004B6BC2">
        <w:t>Article</w:t>
      </w:r>
      <w:r w:rsidR="00D23087" w:rsidRPr="004B6BC2">
        <w:t> </w:t>
      </w:r>
      <w:r w:rsidR="0083279E" w:rsidRPr="004B6BC2">
        <w:rPr>
          <w:b/>
          <w:bCs/>
        </w:rPr>
        <w:t>22</w:t>
      </w:r>
      <w:r w:rsidR="00823F1C" w:rsidRPr="004B6BC2">
        <w:t xml:space="preserve"> </w:t>
      </w:r>
      <w:r w:rsidR="0083279E" w:rsidRPr="004B6BC2">
        <w:t>du</w:t>
      </w:r>
      <w:r w:rsidR="00D23087" w:rsidRPr="004B6BC2">
        <w:t> </w:t>
      </w:r>
      <w:r w:rsidR="0083279E" w:rsidRPr="004B6BC2">
        <w:t xml:space="preserve">RR, et les incohérences </w:t>
      </w:r>
      <w:r w:rsidR="003B7500" w:rsidRPr="004B6BC2">
        <w:t xml:space="preserve">concernant </w:t>
      </w:r>
      <w:r w:rsidR="0083279E" w:rsidRPr="004B6BC2">
        <w:t>les limites de puissance entre les bandes de fréquences conduisent à un partage inefficace du spectre entre les systèmes du SFS non OSG et</w:t>
      </w:r>
      <w:r w:rsidR="00D23087" w:rsidRPr="004B6BC2">
        <w:t> </w:t>
      </w:r>
      <w:r w:rsidR="0083279E" w:rsidRPr="004B6BC2">
        <w:t>OSG.</w:t>
      </w:r>
    </w:p>
    <w:p w14:paraId="07C6D4F5" w14:textId="7E2BA25D" w:rsidR="00135281" w:rsidRPr="004B6BC2" w:rsidRDefault="0083279E" w:rsidP="00D23087">
      <w:pPr>
        <w:pStyle w:val="Headingb"/>
      </w:pPr>
      <w:r w:rsidRPr="004B6BC2">
        <w:t>Examen</w:t>
      </w:r>
    </w:p>
    <w:p w14:paraId="588AA455" w14:textId="4AF6F54A" w:rsidR="00135281" w:rsidRPr="004B6BC2" w:rsidRDefault="0083279E" w:rsidP="00D23087">
      <w:r w:rsidRPr="004B6BC2">
        <w:t>Au titre du point 1.6 de l</w:t>
      </w:r>
      <w:r w:rsidR="00A44BB8" w:rsidRPr="004B6BC2">
        <w:t>'</w:t>
      </w:r>
      <w:r w:rsidRPr="004B6BC2">
        <w:t>ordre du jour de la CMR-19, une étude approfondie a été entreprise pour évaluer la manière dont les limites d</w:t>
      </w:r>
      <w:r w:rsidR="00A44BB8" w:rsidRPr="004B6BC2">
        <w:t>'</w:t>
      </w:r>
      <w:r w:rsidRPr="004B6BC2">
        <w:t xml:space="preserve">epfd ont été élaborées pendant </w:t>
      </w:r>
      <w:r w:rsidR="008F0AC0" w:rsidRPr="004B6BC2">
        <w:t xml:space="preserve">les années </w:t>
      </w:r>
      <w:r w:rsidRPr="004B6BC2">
        <w:t>2000</w:t>
      </w:r>
      <w:r w:rsidR="00135281" w:rsidRPr="004B6BC2">
        <w:t>.</w:t>
      </w:r>
      <w:r w:rsidRPr="004B6BC2">
        <w:t xml:space="preserve"> </w:t>
      </w:r>
      <w:r w:rsidR="009843B8" w:rsidRPr="004B6BC2">
        <w:t>Bien que ce point de l</w:t>
      </w:r>
      <w:r w:rsidR="00A44BB8" w:rsidRPr="004B6BC2">
        <w:t>'</w:t>
      </w:r>
      <w:r w:rsidR="009843B8" w:rsidRPr="004B6BC2">
        <w:t>ordre du jour de la CMR-19 ait été axé sur la bande Q/V, le</w:t>
      </w:r>
      <w:r w:rsidR="003B7500" w:rsidRPr="004B6BC2">
        <w:t xml:space="preserve">s études décrites dans le </w:t>
      </w:r>
      <w:r w:rsidR="009843B8" w:rsidRPr="004B6BC2">
        <w:t xml:space="preserve">Rapport UIT-R </w:t>
      </w:r>
      <w:r w:rsidR="009843B8" w:rsidRPr="004B6BC2">
        <w:rPr>
          <w:b/>
          <w:bCs/>
        </w:rPr>
        <w:t>S.2462</w:t>
      </w:r>
      <w:r w:rsidR="009843B8" w:rsidRPr="004B6BC2">
        <w:t xml:space="preserve"> </w:t>
      </w:r>
      <w:r w:rsidR="003B7500" w:rsidRPr="004B6BC2">
        <w:t xml:space="preserve">ont permis de </w:t>
      </w:r>
      <w:r w:rsidR="009843B8" w:rsidRPr="004B6BC2">
        <w:t>conclu</w:t>
      </w:r>
      <w:r w:rsidR="003B7500" w:rsidRPr="004B6BC2">
        <w:t>re</w:t>
      </w:r>
      <w:r w:rsidR="009843B8" w:rsidRPr="004B6BC2">
        <w:t xml:space="preserve"> que pour les bandes inférieures à 30 GHz, la méthode utilisée pour calculer les limites d</w:t>
      </w:r>
      <w:r w:rsidR="00A44BB8" w:rsidRPr="004B6BC2">
        <w:t>'</w:t>
      </w:r>
      <w:r w:rsidR="009843B8" w:rsidRPr="004B6BC2">
        <w:t xml:space="preserve">epfd engendre des inefficacités et des inexactitudes dans </w:t>
      </w:r>
      <w:r w:rsidR="003B7500" w:rsidRPr="004B6BC2">
        <w:t>l</w:t>
      </w:r>
      <w:r w:rsidR="00A44BB8" w:rsidRPr="004B6BC2">
        <w:t>'</w:t>
      </w:r>
      <w:r w:rsidR="003B7500" w:rsidRPr="004B6BC2">
        <w:t>utilisation</w:t>
      </w:r>
      <w:r w:rsidR="009843B8" w:rsidRPr="004B6BC2">
        <w:t xml:space="preserve"> du spectre. </w:t>
      </w:r>
      <w:r w:rsidR="0028658E" w:rsidRPr="004B6BC2">
        <w:t xml:space="preserve">Il ressort des études présentées dans le Rapport UIT-R </w:t>
      </w:r>
      <w:r w:rsidR="0028658E" w:rsidRPr="004B6BC2">
        <w:rPr>
          <w:b/>
          <w:bCs/>
        </w:rPr>
        <w:t>S.2462</w:t>
      </w:r>
      <w:r w:rsidR="0028658E" w:rsidRPr="004B6BC2">
        <w:t xml:space="preserve"> que «les méthodes de partage entre </w:t>
      </w:r>
      <w:r w:rsidR="003B7500" w:rsidRPr="004B6BC2">
        <w:t xml:space="preserve">les </w:t>
      </w:r>
      <w:r w:rsidR="0028658E" w:rsidRPr="004B6BC2">
        <w:t xml:space="preserve">systèmes du SFS non OSG et </w:t>
      </w:r>
      <w:r w:rsidR="003B7500" w:rsidRPr="004B6BC2">
        <w:t xml:space="preserve">les </w:t>
      </w:r>
      <w:r w:rsidR="0028658E" w:rsidRPr="004B6BC2">
        <w:t>systèmes du SFS OSG fondées sur des gabarits de limites d</w:t>
      </w:r>
      <w:r w:rsidR="00A44BB8" w:rsidRPr="004B6BC2">
        <w:t>'</w:t>
      </w:r>
      <w:r w:rsidR="0028658E" w:rsidRPr="004B6BC2">
        <w:t>epfd, comme cela a été le cas dans les bandes de fréquences au-dessous de</w:t>
      </w:r>
      <w:r w:rsidR="00D23087" w:rsidRPr="004B6BC2">
        <w:t> </w:t>
      </w:r>
      <w:r w:rsidR="0028658E" w:rsidRPr="004B6BC2">
        <w:t>30 GHz,</w:t>
      </w:r>
      <w:r w:rsidR="002D1BCD" w:rsidRPr="004B6BC2">
        <w:t xml:space="preserve"> </w:t>
      </w:r>
      <w:r w:rsidR="00E41047" w:rsidRPr="004B6BC2">
        <w:t>dépendent très largement</w:t>
      </w:r>
      <w:r w:rsidR="0028658E" w:rsidRPr="004B6BC2">
        <w:t xml:space="preserve"> des systèmes» et que «cette situation peut conduire à </w:t>
      </w:r>
      <w:r w:rsidR="00E41047" w:rsidRPr="004B6BC2">
        <w:t>un manque</w:t>
      </w:r>
      <w:r w:rsidR="00E41047" w:rsidRPr="004B6BC2">
        <w:rPr>
          <w:rFonts w:ascii="Segoe UI" w:hAnsi="Segoe UI" w:cs="Segoe UI"/>
          <w:color w:val="000000"/>
          <w:sz w:val="20"/>
          <w:shd w:val="clear" w:color="auto" w:fill="F0F0F0"/>
        </w:rPr>
        <w:t xml:space="preserve"> </w:t>
      </w:r>
      <w:r w:rsidR="00E41047" w:rsidRPr="004B6BC2">
        <w:t>d</w:t>
      </w:r>
      <w:r w:rsidR="00A44BB8" w:rsidRPr="004B6BC2">
        <w:t>'</w:t>
      </w:r>
      <w:r w:rsidR="00E41047" w:rsidRPr="004B6BC2">
        <w:t>efficacité spectrale</w:t>
      </w:r>
      <w:r w:rsidR="0028658E" w:rsidRPr="004B6BC2">
        <w:t>». Ces études indiquent en outre que «L</w:t>
      </w:r>
      <w:r w:rsidR="00A44BB8" w:rsidRPr="004B6BC2">
        <w:t>'</w:t>
      </w:r>
      <w:r w:rsidR="0028658E" w:rsidRPr="004B6BC2">
        <w:t>utilisation optimale des ressources orbitales et spectrales dans les bandes des 50/40 GHz exige, entre les réseaux du</w:t>
      </w:r>
      <w:r w:rsidR="00314E98" w:rsidRPr="004B6BC2">
        <w:t> </w:t>
      </w:r>
      <w:r w:rsidR="0028658E" w:rsidRPr="004B6BC2">
        <w:t>SFS</w:t>
      </w:r>
      <w:r w:rsidR="00314E98" w:rsidRPr="004B6BC2">
        <w:t> </w:t>
      </w:r>
      <w:r w:rsidR="0028658E" w:rsidRPr="004B6BC2">
        <w:t>OSG et les systèmes du SFS non OSG, un environnement réglementaire plus équitable que celui qui a été établi dans les bandes au-dessous de 30 GHz, afin de tirer parti de</w:t>
      </w:r>
      <w:r w:rsidR="00E41047" w:rsidRPr="004B6BC2">
        <w:t>s</w:t>
      </w:r>
      <w:r w:rsidR="0028658E" w:rsidRPr="004B6BC2">
        <w:t xml:space="preserve"> technologie</w:t>
      </w:r>
      <w:r w:rsidR="00E41047" w:rsidRPr="004B6BC2">
        <w:t>s</w:t>
      </w:r>
      <w:r w:rsidR="0028658E" w:rsidRPr="004B6BC2">
        <w:t xml:space="preserve"> satellitaire</w:t>
      </w:r>
      <w:r w:rsidR="00E41047" w:rsidRPr="004B6BC2">
        <w:t>s</w:t>
      </w:r>
      <w:r w:rsidR="0028658E" w:rsidRPr="004B6BC2">
        <w:t xml:space="preserve"> de la prochaine génération pour fournir des services large bande de grande capacité, tout en tirant parti des orbites de satellites non OSG et OSG</w:t>
      </w:r>
      <w:r w:rsidR="00F01D04" w:rsidRPr="004B6BC2">
        <w:rPr>
          <w:i/>
          <w:iCs/>
        </w:rPr>
        <w:t>»</w:t>
      </w:r>
      <w:r w:rsidR="0028658E" w:rsidRPr="004B6BC2">
        <w:t xml:space="preserve">. </w:t>
      </w:r>
      <w:r w:rsidR="00A44BB8" w:rsidRPr="004B6BC2">
        <w:t>Étant</w:t>
      </w:r>
      <w:r w:rsidR="0028658E" w:rsidRPr="004B6BC2">
        <w:t xml:space="preserve"> donné que les études ont déjà mis en évidence des problèmes d</w:t>
      </w:r>
      <w:r w:rsidR="00A44BB8" w:rsidRPr="004B6BC2">
        <w:t>'</w:t>
      </w:r>
      <w:r w:rsidR="0028658E" w:rsidRPr="004B6BC2">
        <w:t>inefficacité et d</w:t>
      </w:r>
      <w:r w:rsidR="00A44BB8" w:rsidRPr="004B6BC2">
        <w:t>'</w:t>
      </w:r>
      <w:r w:rsidR="0028658E" w:rsidRPr="004B6BC2">
        <w:t>imprécision dans la gestion du spectre au-dessous de</w:t>
      </w:r>
      <w:r w:rsidR="00314E98" w:rsidRPr="004B6BC2">
        <w:t> </w:t>
      </w:r>
      <w:r w:rsidR="0028658E" w:rsidRPr="004B6BC2">
        <w:t>30 GHz et que la</w:t>
      </w:r>
      <w:r w:rsidR="00D23087" w:rsidRPr="004B6BC2">
        <w:t> </w:t>
      </w:r>
      <w:r w:rsidR="0028658E" w:rsidRPr="004B6BC2">
        <w:t>CMR-19 a adopté un cadre réglementaire amélioré applicable aux bandes au</w:t>
      </w:r>
      <w:r w:rsidR="00314E98" w:rsidRPr="004B6BC2">
        <w:noBreakHyphen/>
      </w:r>
      <w:r w:rsidR="0028658E" w:rsidRPr="004B6BC2">
        <w:t xml:space="preserve">dessus de 30 GHz, il est </w:t>
      </w:r>
      <w:r w:rsidR="00E41047" w:rsidRPr="004B6BC2">
        <w:t>évident qu</w:t>
      </w:r>
      <w:r w:rsidR="00A44BB8" w:rsidRPr="004B6BC2">
        <w:t>'</w:t>
      </w:r>
      <w:r w:rsidR="00E41047" w:rsidRPr="004B6BC2">
        <w:t xml:space="preserve">il faut </w:t>
      </w:r>
      <w:r w:rsidR="00F01D04" w:rsidRPr="004B6BC2">
        <w:t>mener des</w:t>
      </w:r>
      <w:r w:rsidR="0028658E" w:rsidRPr="004B6BC2">
        <w:t xml:space="preserve"> études et </w:t>
      </w:r>
      <w:r w:rsidR="008F0AC0" w:rsidRPr="004B6BC2">
        <w:t>établir</w:t>
      </w:r>
      <w:r w:rsidR="00F01D04" w:rsidRPr="004B6BC2">
        <w:t xml:space="preserve"> des</w:t>
      </w:r>
      <w:r w:rsidR="0028658E" w:rsidRPr="004B6BC2">
        <w:t xml:space="preserve"> </w:t>
      </w:r>
      <w:r w:rsidR="00F01D04" w:rsidRPr="004B6BC2">
        <w:t xml:space="preserve">dispositions </w:t>
      </w:r>
      <w:r w:rsidR="0028658E" w:rsidRPr="004B6BC2">
        <w:t>réglementaires</w:t>
      </w:r>
      <w:r w:rsidR="00E41047" w:rsidRPr="004B6BC2">
        <w:t>,</w:t>
      </w:r>
      <w:r w:rsidR="0028658E" w:rsidRPr="004B6BC2">
        <w:t xml:space="preserve"> </w:t>
      </w:r>
      <w:r w:rsidR="00F01D04" w:rsidRPr="004B6BC2">
        <w:t xml:space="preserve">afin </w:t>
      </w:r>
      <w:r w:rsidR="00E41047" w:rsidRPr="004B6BC2">
        <w:t xml:space="preserve">de concevoir </w:t>
      </w:r>
      <w:r w:rsidR="0028658E" w:rsidRPr="004B6BC2">
        <w:t>des solutions possibles pour le partage du spectre entre les réseaux du SFS non OSG et OSG dans les fréquences inférieures à 30 GHz.</w:t>
      </w:r>
    </w:p>
    <w:p w14:paraId="1D3A306C" w14:textId="3EC6BD1F" w:rsidR="00135281" w:rsidRPr="004B6BC2" w:rsidRDefault="0028658E" w:rsidP="00D52932">
      <w:pPr>
        <w:rPr>
          <w:color w:val="000000"/>
        </w:rPr>
      </w:pPr>
      <w:r w:rsidRPr="004B6BC2">
        <w:rPr>
          <w:color w:val="000000"/>
        </w:rPr>
        <w:t xml:space="preserve">Le numéro </w:t>
      </w:r>
      <w:r w:rsidRPr="004B6BC2">
        <w:rPr>
          <w:b/>
          <w:bCs/>
          <w:color w:val="000000"/>
        </w:rPr>
        <w:t xml:space="preserve">22.2 </w:t>
      </w:r>
      <w:r w:rsidRPr="004B6BC2">
        <w:rPr>
          <w:color w:val="000000"/>
        </w:rPr>
        <w:t xml:space="preserve">du RR </w:t>
      </w:r>
      <w:r w:rsidR="00E41047" w:rsidRPr="004B6BC2">
        <w:rPr>
          <w:color w:val="000000"/>
        </w:rPr>
        <w:t xml:space="preserve">permet de garantir </w:t>
      </w:r>
      <w:r w:rsidRPr="004B6BC2">
        <w:rPr>
          <w:color w:val="000000"/>
        </w:rPr>
        <w:t xml:space="preserve">la protection des réseaux OSG et </w:t>
      </w:r>
      <w:r w:rsidRPr="004B6BC2">
        <w:t xml:space="preserve">dispose </w:t>
      </w:r>
      <w:r w:rsidR="00386BB6" w:rsidRPr="004B6BC2">
        <w:t xml:space="preserve">que </w:t>
      </w:r>
      <w:r w:rsidR="00135281" w:rsidRPr="004B6BC2">
        <w:t>«Les</w:t>
      </w:r>
      <w:r w:rsidR="00135281" w:rsidRPr="004B6BC2">
        <w:rPr>
          <w:color w:val="000000"/>
        </w:rPr>
        <w:t xml:space="preserve"> systèmes à satellites non géostationnaires ne </w:t>
      </w:r>
      <w:r w:rsidR="00135281" w:rsidRPr="004B6BC2">
        <w:rPr>
          <w:b/>
          <w:bCs/>
          <w:color w:val="000000"/>
        </w:rPr>
        <w:t>doivent</w:t>
      </w:r>
      <w:r w:rsidR="00135281" w:rsidRPr="004B6BC2">
        <w:rPr>
          <w:color w:val="000000"/>
        </w:rPr>
        <w:t xml:space="preserve"> pas causer de brouillages inacceptables aux réseaux à satellite géostationnaire du service fixe par satellite et du service de radiodiffusion par satellite fonctionnant conformément aux dispositions du présent Règlement et, sauf disposition contraire dans le présent Règlement, ne doivent pas demander à bénéficier d</w:t>
      </w:r>
      <w:r w:rsidR="00A44BB8" w:rsidRPr="004B6BC2">
        <w:rPr>
          <w:color w:val="000000"/>
        </w:rPr>
        <w:t>'</w:t>
      </w:r>
      <w:r w:rsidR="00135281" w:rsidRPr="004B6BC2">
        <w:rPr>
          <w:color w:val="000000"/>
        </w:rPr>
        <w:t>une protection vis</w:t>
      </w:r>
      <w:r w:rsidR="00314E98" w:rsidRPr="004B6BC2">
        <w:rPr>
          <w:color w:val="000000"/>
        </w:rPr>
        <w:noBreakHyphen/>
      </w:r>
      <w:r w:rsidR="00135281" w:rsidRPr="004B6BC2">
        <w:rPr>
          <w:color w:val="000000"/>
        </w:rPr>
        <w:t>à</w:t>
      </w:r>
      <w:r w:rsidR="00314E98" w:rsidRPr="004B6BC2">
        <w:rPr>
          <w:color w:val="000000"/>
        </w:rPr>
        <w:noBreakHyphen/>
      </w:r>
      <w:r w:rsidR="00135281" w:rsidRPr="004B6BC2">
        <w:rPr>
          <w:color w:val="000000"/>
        </w:rPr>
        <w:t>vis de ces réseaux...</w:t>
      </w:r>
      <w:r w:rsidR="00135281" w:rsidRPr="004B6BC2">
        <w:t>»</w:t>
      </w:r>
      <w:r w:rsidR="00386BB6" w:rsidRPr="004B6BC2">
        <w:t xml:space="preserve">. </w:t>
      </w:r>
      <w:r w:rsidR="00386BB6" w:rsidRPr="004B6BC2">
        <w:rPr>
          <w:color w:val="000000"/>
        </w:rPr>
        <w:t xml:space="preserve">Les principes sous-jacents des études et </w:t>
      </w:r>
      <w:r w:rsidR="0031308F" w:rsidRPr="004B6BC2">
        <w:rPr>
          <w:color w:val="000000"/>
        </w:rPr>
        <w:t>l</w:t>
      </w:r>
      <w:r w:rsidR="00386BB6" w:rsidRPr="004B6BC2">
        <w:rPr>
          <w:color w:val="000000"/>
        </w:rPr>
        <w:t xml:space="preserve">es solutions réglementaires </w:t>
      </w:r>
      <w:r w:rsidR="0031308F" w:rsidRPr="004B6BC2">
        <w:rPr>
          <w:color w:val="000000"/>
        </w:rPr>
        <w:t xml:space="preserve">élaborées </w:t>
      </w:r>
      <w:r w:rsidR="00386BB6" w:rsidRPr="004B6BC2">
        <w:rPr>
          <w:color w:val="000000"/>
        </w:rPr>
        <w:t>au cours de la période d</w:t>
      </w:r>
      <w:r w:rsidR="00A44BB8" w:rsidRPr="004B6BC2">
        <w:rPr>
          <w:color w:val="000000"/>
        </w:rPr>
        <w:t>'</w:t>
      </w:r>
      <w:r w:rsidR="00386BB6" w:rsidRPr="004B6BC2">
        <w:rPr>
          <w:color w:val="000000"/>
        </w:rPr>
        <w:t xml:space="preserve">études </w:t>
      </w:r>
      <w:r w:rsidR="0031308F" w:rsidRPr="004B6BC2">
        <w:rPr>
          <w:color w:val="000000"/>
        </w:rPr>
        <w:t>viseront</w:t>
      </w:r>
      <w:r w:rsidR="00386BB6" w:rsidRPr="004B6BC2">
        <w:rPr>
          <w:color w:val="000000"/>
        </w:rPr>
        <w:t xml:space="preserve"> à faire en sorte que le numéro </w:t>
      </w:r>
      <w:r w:rsidR="00386BB6" w:rsidRPr="004B6BC2">
        <w:rPr>
          <w:b/>
          <w:bCs/>
          <w:color w:val="000000"/>
        </w:rPr>
        <w:t>22.2</w:t>
      </w:r>
      <w:r w:rsidR="00386BB6" w:rsidRPr="004B6BC2">
        <w:rPr>
          <w:color w:val="000000"/>
        </w:rPr>
        <w:t xml:space="preserve"> du RR continue de s</w:t>
      </w:r>
      <w:r w:rsidR="00A44BB8" w:rsidRPr="004B6BC2">
        <w:rPr>
          <w:color w:val="000000"/>
        </w:rPr>
        <w:t>'</w:t>
      </w:r>
      <w:r w:rsidR="00386BB6" w:rsidRPr="004B6BC2">
        <w:rPr>
          <w:color w:val="000000"/>
        </w:rPr>
        <w:t>appliquer et qu</w:t>
      </w:r>
      <w:r w:rsidR="00A44BB8" w:rsidRPr="004B6BC2">
        <w:rPr>
          <w:color w:val="000000"/>
        </w:rPr>
        <w:t>'</w:t>
      </w:r>
      <w:r w:rsidR="00653AC0" w:rsidRPr="004B6BC2">
        <w:rPr>
          <w:color w:val="000000"/>
        </w:rPr>
        <w:t>il ne soit pas demandé d</w:t>
      </w:r>
      <w:r w:rsidR="00A44BB8" w:rsidRPr="004B6BC2">
        <w:rPr>
          <w:color w:val="000000"/>
        </w:rPr>
        <w:t>'</w:t>
      </w:r>
      <w:r w:rsidR="00653AC0" w:rsidRPr="004B6BC2">
        <w:rPr>
          <w:color w:val="000000"/>
        </w:rPr>
        <w:t xml:space="preserve">apporter des </w:t>
      </w:r>
      <w:r w:rsidR="00386BB6" w:rsidRPr="004B6BC2">
        <w:rPr>
          <w:color w:val="000000"/>
        </w:rPr>
        <w:t>modification</w:t>
      </w:r>
      <w:r w:rsidR="00653AC0" w:rsidRPr="004B6BC2">
        <w:rPr>
          <w:color w:val="000000"/>
        </w:rPr>
        <w:t>s</w:t>
      </w:r>
      <w:r w:rsidR="00386BB6" w:rsidRPr="004B6BC2">
        <w:rPr>
          <w:color w:val="000000"/>
        </w:rPr>
        <w:t xml:space="preserve"> </w:t>
      </w:r>
      <w:r w:rsidR="00653AC0" w:rsidRPr="004B6BC2">
        <w:rPr>
          <w:color w:val="000000"/>
        </w:rPr>
        <w:t>à</w:t>
      </w:r>
      <w:r w:rsidR="00386BB6" w:rsidRPr="004B6BC2">
        <w:rPr>
          <w:color w:val="000000"/>
        </w:rPr>
        <w:t xml:space="preserve"> ce numéro.</w:t>
      </w:r>
    </w:p>
    <w:p w14:paraId="2B75E4C7" w14:textId="58A2BB8E" w:rsidR="00135281" w:rsidRPr="004B6BC2" w:rsidRDefault="0031308F" w:rsidP="00D52932">
      <w:pPr>
        <w:keepLines/>
      </w:pPr>
      <w:r w:rsidRPr="004B6BC2">
        <w:lastRenderedPageBreak/>
        <w:t>L</w:t>
      </w:r>
      <w:r w:rsidR="00A44BB8" w:rsidRPr="004B6BC2">
        <w:t>'</w:t>
      </w:r>
      <w:r w:rsidRPr="004B6BC2">
        <w:t>utilisation efficace des ressources spectrales partagées est l</w:t>
      </w:r>
      <w:r w:rsidR="00A44BB8" w:rsidRPr="004B6BC2">
        <w:t>'</w:t>
      </w:r>
      <w:r w:rsidRPr="004B6BC2">
        <w:t>un des principaux objectifs de l</w:t>
      </w:r>
      <w:r w:rsidR="00A44BB8" w:rsidRPr="004B6BC2">
        <w:t>'</w:t>
      </w:r>
      <w:r w:rsidRPr="004B6BC2">
        <w:t>UIT. Par sa Résolution 219 (Bucarest, 2022), la Conférence de plénipotentiaires de l</w:t>
      </w:r>
      <w:r w:rsidR="00A44BB8" w:rsidRPr="004B6BC2">
        <w:t>'</w:t>
      </w:r>
      <w:r w:rsidRPr="004B6BC2">
        <w:t xml:space="preserve">UIT </w:t>
      </w:r>
      <w:r w:rsidR="00653AC0" w:rsidRPr="004B6BC2">
        <w:t xml:space="preserve">a </w:t>
      </w:r>
      <w:r w:rsidR="00653AC0" w:rsidRPr="004B6BC2">
        <w:rPr>
          <w:i/>
          <w:iCs/>
        </w:rPr>
        <w:t xml:space="preserve">chargé </w:t>
      </w:r>
      <w:r w:rsidR="00135281" w:rsidRPr="004B6BC2">
        <w:t>«l</w:t>
      </w:r>
      <w:r w:rsidR="00A44BB8" w:rsidRPr="004B6BC2">
        <w:t>'</w:t>
      </w:r>
      <w:r w:rsidR="00135281" w:rsidRPr="004B6BC2">
        <w:t xml:space="preserve">Assemblée des radiocommunications, </w:t>
      </w:r>
      <w:r w:rsidR="00135281" w:rsidRPr="004B6BC2">
        <w:rPr>
          <w:b/>
          <w:bCs/>
        </w:rPr>
        <w:t>d</w:t>
      </w:r>
      <w:r w:rsidR="00A44BB8" w:rsidRPr="004B6BC2">
        <w:rPr>
          <w:b/>
          <w:bCs/>
        </w:rPr>
        <w:t>'</w:t>
      </w:r>
      <w:r w:rsidR="00135281" w:rsidRPr="004B6BC2">
        <w:rPr>
          <w:b/>
          <w:bCs/>
        </w:rPr>
        <w:t>urgence</w:t>
      </w:r>
      <w:r w:rsidR="00135281" w:rsidRPr="004B6BC2">
        <w:t>, de procéder aux études nécessaires, par l</w:t>
      </w:r>
      <w:r w:rsidR="00A44BB8" w:rsidRPr="004B6BC2">
        <w:t>'</w:t>
      </w:r>
      <w:r w:rsidR="00135281" w:rsidRPr="004B6BC2">
        <w:t>intermédiaire des commissions d</w:t>
      </w:r>
      <w:r w:rsidR="00A44BB8" w:rsidRPr="004B6BC2">
        <w:t>'</w:t>
      </w:r>
      <w:r w:rsidR="00135281" w:rsidRPr="004B6BC2">
        <w:t>études compétentes du Secteur des radiocommunications de l</w:t>
      </w:r>
      <w:r w:rsidR="00A44BB8" w:rsidRPr="004B6BC2">
        <w:t>'</w:t>
      </w:r>
      <w:r w:rsidR="00135281" w:rsidRPr="004B6BC2">
        <w:t>UIT (UIT-R), sur la question de l</w:t>
      </w:r>
      <w:r w:rsidR="00A44BB8" w:rsidRPr="004B6BC2">
        <w:t>'</w:t>
      </w:r>
      <w:r w:rsidR="00135281" w:rsidRPr="004B6BC2">
        <w:t>utilisation croissante des ressources que constituent le spectre des fréquences radioélectriques et les orbites associées sur les orbites non OSG et de la viabilité à long terme de ces ressources, ainsi que sur l</w:t>
      </w:r>
      <w:r w:rsidR="00A44BB8" w:rsidRPr="004B6BC2">
        <w:t>'</w:t>
      </w:r>
      <w:r w:rsidR="00135281" w:rsidRPr="004B6BC2">
        <w:t>accès équitable aux ressources que sont le spectre et les orbites OSG et non OSG et leur utilisation rationnelle et compatible, conformément aux objectifs de l</w:t>
      </w:r>
      <w:r w:rsidR="00A44BB8" w:rsidRPr="004B6BC2">
        <w:t>'</w:t>
      </w:r>
      <w:r w:rsidR="00135281" w:rsidRPr="004B6BC2">
        <w:t>article 44 de la Constitution»</w:t>
      </w:r>
      <w:r w:rsidR="00823F1C" w:rsidRPr="004B6BC2">
        <w:t>.</w:t>
      </w:r>
    </w:p>
    <w:p w14:paraId="1D9FAB3B" w14:textId="23D00077" w:rsidR="00135281" w:rsidRPr="004B6BC2" w:rsidRDefault="0031308F" w:rsidP="00D52932">
      <w:r w:rsidRPr="004B6BC2">
        <w:t>Selon l</w:t>
      </w:r>
      <w:r w:rsidR="00A44BB8" w:rsidRPr="004B6BC2">
        <w:t>'</w:t>
      </w:r>
      <w:r w:rsidRPr="004B6BC2">
        <w:t xml:space="preserve">UIT, quelque 2,7 milliards de personnes dans le monde ne sont toujours pas connectées, la connectivité universelle étant encore une perspective lointaine dans les pays les moins avancés (PMA) et les pays en développement sans littoral (PDSL), où 36% seulement de la population en moyenne est connectée. La Figure 1 ci-dessous </w:t>
      </w:r>
      <w:r w:rsidR="00653AC0" w:rsidRPr="004B6BC2">
        <w:t xml:space="preserve">indique </w:t>
      </w:r>
      <w:r w:rsidRPr="004B6BC2">
        <w:t>le taux de pénétration de l</w:t>
      </w:r>
      <w:r w:rsidR="00A44BB8" w:rsidRPr="004B6BC2">
        <w:t>'</w:t>
      </w:r>
      <w:r w:rsidRPr="004B6BC2">
        <w:t>Internet dans le monde, d</w:t>
      </w:r>
      <w:r w:rsidR="00A44BB8" w:rsidRPr="004B6BC2">
        <w:t>'</w:t>
      </w:r>
      <w:r w:rsidRPr="004B6BC2">
        <w:t>après l</w:t>
      </w:r>
      <w:r w:rsidR="00A44BB8" w:rsidRPr="004B6BC2">
        <w:t>'</w:t>
      </w:r>
      <w:r w:rsidR="002F3D56" w:rsidRPr="004B6BC2">
        <w:t>édition de 2022 du</w:t>
      </w:r>
      <w:r w:rsidRPr="004B6BC2">
        <w:t xml:space="preserve"> </w:t>
      </w:r>
      <w:r w:rsidR="00653AC0" w:rsidRPr="004B6BC2">
        <w:t>r</w:t>
      </w:r>
      <w:r w:rsidRPr="004B6BC2">
        <w:t xml:space="preserve">apport </w:t>
      </w:r>
      <w:r w:rsidR="002F3D56" w:rsidRPr="004B6BC2">
        <w:t>de l</w:t>
      </w:r>
      <w:r w:rsidR="00A44BB8" w:rsidRPr="004B6BC2">
        <w:t>'</w:t>
      </w:r>
      <w:r w:rsidRPr="004B6BC2">
        <w:t xml:space="preserve">UIT sur la connectivité </w:t>
      </w:r>
      <w:r w:rsidR="001B5E9F" w:rsidRPr="004B6BC2">
        <w:t>dans le monde</w:t>
      </w:r>
      <w:r w:rsidRPr="004B6BC2">
        <w:t>.</w:t>
      </w:r>
      <w:r w:rsidR="002F3D56" w:rsidRPr="004B6BC2">
        <w:t xml:space="preserve"> En Afrique, seulement 33% de la population est connectée. Dans les PMA, 27% seulement de la population utilise l</w:t>
      </w:r>
      <w:r w:rsidR="00A44BB8" w:rsidRPr="004B6BC2">
        <w:t>'</w:t>
      </w:r>
      <w:r w:rsidR="002F3D56" w:rsidRPr="004B6BC2">
        <w:t>Internet, contre 35% dans les PDSL. Ces faibles taux sont très en deçà de la cible 9.c des Objectifs de développement durable (ODD) à l</w:t>
      </w:r>
      <w:r w:rsidR="00A44BB8" w:rsidRPr="004B6BC2">
        <w:t>'</w:t>
      </w:r>
      <w:r w:rsidR="002F3D56" w:rsidRPr="004B6BC2">
        <w:t>horizon 2030, qui préconisait un accès nettement accru aux technologies de l</w:t>
      </w:r>
      <w:r w:rsidR="00A44BB8" w:rsidRPr="004B6BC2">
        <w:t>'</w:t>
      </w:r>
      <w:r w:rsidR="002F3D56" w:rsidRPr="004B6BC2">
        <w:t>information et de la communication, ainsi qu</w:t>
      </w:r>
      <w:r w:rsidR="00A44BB8" w:rsidRPr="004B6BC2">
        <w:t>'</w:t>
      </w:r>
      <w:r w:rsidR="002F3D56" w:rsidRPr="004B6BC2">
        <w:t>un accès universel et à un co</w:t>
      </w:r>
      <w:r w:rsidR="00F01D04" w:rsidRPr="004B6BC2">
        <w:t>ût</w:t>
      </w:r>
      <w:r w:rsidR="002F3D56" w:rsidRPr="004B6BC2">
        <w:t xml:space="preserve"> abordable à l</w:t>
      </w:r>
      <w:r w:rsidR="00A44BB8" w:rsidRPr="004B6BC2">
        <w:t>'</w:t>
      </w:r>
      <w:r w:rsidR="002F3D56" w:rsidRPr="004B6BC2">
        <w:t>Internet dans les pays les moins avancés d</w:t>
      </w:r>
      <w:r w:rsidR="00A44BB8" w:rsidRPr="004B6BC2">
        <w:t>'</w:t>
      </w:r>
      <w:r w:rsidR="002F3D56" w:rsidRPr="004B6BC2">
        <w:t>ici à 2020.</w:t>
      </w:r>
    </w:p>
    <w:p w14:paraId="1E44EA3B" w14:textId="6E7C1C9E" w:rsidR="00135281" w:rsidRPr="004B6BC2" w:rsidRDefault="004540A2" w:rsidP="00A44BB8">
      <w:pPr>
        <w:pStyle w:val="FigureNo"/>
      </w:pPr>
      <w:r w:rsidRPr="004B6BC2">
        <w:lastRenderedPageBreak/>
        <w:t>figure 1</w:t>
      </w:r>
    </w:p>
    <w:p w14:paraId="2A62DB67" w14:textId="22C44993" w:rsidR="004540A2" w:rsidRPr="004B6BC2" w:rsidRDefault="00653AC0" w:rsidP="00823F1C">
      <w:pPr>
        <w:pStyle w:val="Figuretitle"/>
      </w:pPr>
      <w:r w:rsidRPr="004B6BC2">
        <w:t xml:space="preserve">Taux de pénétration </w:t>
      </w:r>
      <w:r w:rsidR="002F3D56" w:rsidRPr="004B6BC2">
        <w:t>de l</w:t>
      </w:r>
      <w:r w:rsidR="00A44BB8" w:rsidRPr="004B6BC2">
        <w:t>'</w:t>
      </w:r>
      <w:r w:rsidR="00F01D04" w:rsidRPr="004B6BC2">
        <w:t>I</w:t>
      </w:r>
      <w:r w:rsidR="002F3D56" w:rsidRPr="004B6BC2">
        <w:t>nternet dans le monde (édition de 2022</w:t>
      </w:r>
      <w:r w:rsidR="00823F1C" w:rsidRPr="004B6BC2">
        <w:br/>
      </w:r>
      <w:r w:rsidR="002F3D56" w:rsidRPr="004B6BC2">
        <w:t xml:space="preserve">du </w:t>
      </w:r>
      <w:r w:rsidRPr="004B6BC2">
        <w:t xml:space="preserve">rapport </w:t>
      </w:r>
      <w:r w:rsidR="002F3D56" w:rsidRPr="004B6BC2">
        <w:t>de l</w:t>
      </w:r>
      <w:r w:rsidR="00A44BB8" w:rsidRPr="004B6BC2">
        <w:t>'</w:t>
      </w:r>
      <w:r w:rsidR="002F3D56" w:rsidRPr="004B6BC2">
        <w:t xml:space="preserve">UIT sur la connectivité </w:t>
      </w:r>
      <w:r w:rsidR="001B5E9F" w:rsidRPr="004B6BC2">
        <w:t>dans le monde</w:t>
      </w:r>
      <w:r w:rsidR="002F3D56" w:rsidRPr="004B6BC2">
        <w:t>)</w:t>
      </w:r>
    </w:p>
    <w:p w14:paraId="1DC14753" w14:textId="115E6AD4" w:rsidR="004540A2" w:rsidRPr="004B6BC2" w:rsidRDefault="004540A2" w:rsidP="00823F1C">
      <w:pPr>
        <w:pStyle w:val="Figure"/>
        <w:spacing w:after="120"/>
      </w:pPr>
      <w:r w:rsidRPr="004B6BC2">
        <w:rPr>
          <w:noProof/>
          <w:lang w:eastAsia="fr-FR"/>
        </w:rPr>
        <w:drawing>
          <wp:inline distT="0" distB="0" distL="0" distR="0" wp14:anchorId="353CECD1" wp14:editId="749B41C1">
            <wp:extent cx="3759393" cy="4400776"/>
            <wp:effectExtent l="0" t="0" r="0" b="0"/>
            <wp:docPr id="1801964967" name="Picture 1801964967" descr="A graph of blue ba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964967" name="Picture 1801964967" descr="A graph of blue bars with white text&#10;&#10;Description automatically generated"/>
                    <pic:cNvPicPr/>
                  </pic:nvPicPr>
                  <pic:blipFill>
                    <a:blip r:embed="rId13"/>
                    <a:stretch>
                      <a:fillRect/>
                    </a:stretch>
                  </pic:blipFill>
                  <pic:spPr>
                    <a:xfrm>
                      <a:off x="0" y="0"/>
                      <a:ext cx="3759393" cy="4400776"/>
                    </a:xfrm>
                    <a:prstGeom prst="rect">
                      <a:avLst/>
                    </a:prstGeom>
                  </pic:spPr>
                </pic:pic>
              </a:graphicData>
            </a:graphic>
          </wp:inline>
        </w:drawing>
      </w:r>
    </w:p>
    <w:p w14:paraId="6E350BA6" w14:textId="1BF49C44" w:rsidR="00823F1C" w:rsidRPr="004B6BC2" w:rsidRDefault="00823F1C" w:rsidP="00823F1C">
      <w:pPr>
        <w:pStyle w:val="Figurelegend"/>
      </w:pPr>
      <w:r w:rsidRPr="004B6BC2">
        <w:t>Légende:</w:t>
      </w:r>
    </w:p>
    <w:tbl>
      <w:tblPr>
        <w:tblStyle w:val="TableGrid"/>
        <w:tblW w:w="0" w:type="auto"/>
        <w:tblLook w:val="04A0" w:firstRow="1" w:lastRow="0" w:firstColumn="1" w:lastColumn="0" w:noHBand="0" w:noVBand="1"/>
      </w:tblPr>
      <w:tblGrid>
        <w:gridCol w:w="4814"/>
        <w:gridCol w:w="4815"/>
      </w:tblGrid>
      <w:tr w:rsidR="005C7490" w:rsidRPr="004B6BC2" w14:paraId="1ED3048A" w14:textId="77777777" w:rsidTr="00823F1C">
        <w:tc>
          <w:tcPr>
            <w:tcW w:w="4814" w:type="dxa"/>
            <w:shd w:val="clear" w:color="auto" w:fill="auto"/>
          </w:tcPr>
          <w:p w14:paraId="1E950092" w14:textId="1645CEE8" w:rsidR="005C7490" w:rsidRPr="004B6BC2" w:rsidRDefault="005C7490" w:rsidP="00823F1C">
            <w:pPr>
              <w:pStyle w:val="Figurelegend"/>
            </w:pPr>
            <w:r w:rsidRPr="004B6BC2">
              <w:t>EN</w:t>
            </w:r>
          </w:p>
        </w:tc>
        <w:tc>
          <w:tcPr>
            <w:tcW w:w="4815" w:type="dxa"/>
            <w:shd w:val="clear" w:color="auto" w:fill="auto"/>
          </w:tcPr>
          <w:p w14:paraId="5543A30D" w14:textId="3DC62ADB" w:rsidR="005C7490" w:rsidRPr="004B6BC2" w:rsidRDefault="005C7490" w:rsidP="00823F1C">
            <w:pPr>
              <w:pStyle w:val="Figurelegend"/>
            </w:pPr>
            <w:r w:rsidRPr="004B6BC2">
              <w:t>FR</w:t>
            </w:r>
          </w:p>
        </w:tc>
      </w:tr>
      <w:tr w:rsidR="005C7490" w:rsidRPr="004B6BC2" w14:paraId="25A4E00D" w14:textId="77777777" w:rsidTr="00823F1C">
        <w:tc>
          <w:tcPr>
            <w:tcW w:w="4814" w:type="dxa"/>
            <w:shd w:val="clear" w:color="auto" w:fill="auto"/>
          </w:tcPr>
          <w:p w14:paraId="2061DB4E" w14:textId="1C83AA99" w:rsidR="005C7490" w:rsidRPr="004B6BC2" w:rsidRDefault="005C7490" w:rsidP="00823F1C">
            <w:pPr>
              <w:pStyle w:val="Figurelegend"/>
            </w:pPr>
            <w:r w:rsidRPr="004B6BC2">
              <w:t>Percentage of the population using the internet, 2021</w:t>
            </w:r>
          </w:p>
        </w:tc>
        <w:tc>
          <w:tcPr>
            <w:tcW w:w="4815" w:type="dxa"/>
            <w:shd w:val="clear" w:color="auto" w:fill="auto"/>
          </w:tcPr>
          <w:p w14:paraId="65270983" w14:textId="4AC7B31D" w:rsidR="005C7490" w:rsidRPr="004B6BC2" w:rsidRDefault="005C7490" w:rsidP="00823F1C">
            <w:pPr>
              <w:pStyle w:val="Figurelegend"/>
            </w:pPr>
            <w:r w:rsidRPr="004B6BC2">
              <w:t>Pourcentage de la population utilisant l</w:t>
            </w:r>
            <w:r w:rsidR="00A44BB8" w:rsidRPr="004B6BC2">
              <w:t>'</w:t>
            </w:r>
            <w:r w:rsidRPr="004B6BC2">
              <w:t>Internet (2021)</w:t>
            </w:r>
          </w:p>
        </w:tc>
      </w:tr>
      <w:tr w:rsidR="005C7490" w:rsidRPr="004B6BC2" w14:paraId="7B312350" w14:textId="77777777" w:rsidTr="00823F1C">
        <w:tc>
          <w:tcPr>
            <w:tcW w:w="4814" w:type="dxa"/>
            <w:shd w:val="clear" w:color="auto" w:fill="auto"/>
          </w:tcPr>
          <w:p w14:paraId="4134170F" w14:textId="66867FA0" w:rsidR="005C7490" w:rsidRPr="004B6BC2" w:rsidRDefault="005C7490" w:rsidP="00823F1C">
            <w:pPr>
              <w:pStyle w:val="Figurelegend"/>
            </w:pPr>
            <w:r w:rsidRPr="004B6BC2">
              <w:t>Europe</w:t>
            </w:r>
          </w:p>
        </w:tc>
        <w:tc>
          <w:tcPr>
            <w:tcW w:w="4815" w:type="dxa"/>
            <w:shd w:val="clear" w:color="auto" w:fill="auto"/>
          </w:tcPr>
          <w:p w14:paraId="0665671B" w14:textId="66B94AB2" w:rsidR="005C7490" w:rsidRPr="004B6BC2" w:rsidRDefault="005C7490" w:rsidP="00823F1C">
            <w:pPr>
              <w:pStyle w:val="Figurelegend"/>
            </w:pPr>
            <w:r w:rsidRPr="004B6BC2">
              <w:t>Europe</w:t>
            </w:r>
          </w:p>
        </w:tc>
      </w:tr>
      <w:tr w:rsidR="005C7490" w:rsidRPr="004B6BC2" w14:paraId="3AA0D40A" w14:textId="77777777" w:rsidTr="00823F1C">
        <w:tc>
          <w:tcPr>
            <w:tcW w:w="4814" w:type="dxa"/>
            <w:shd w:val="clear" w:color="auto" w:fill="auto"/>
          </w:tcPr>
          <w:p w14:paraId="2724B038" w14:textId="678149ED" w:rsidR="005C7490" w:rsidRPr="004B6BC2" w:rsidRDefault="005C7490" w:rsidP="00823F1C">
            <w:pPr>
              <w:pStyle w:val="Figurelegend"/>
            </w:pPr>
            <w:r w:rsidRPr="004B6BC2">
              <w:t>CIS</w:t>
            </w:r>
          </w:p>
        </w:tc>
        <w:tc>
          <w:tcPr>
            <w:tcW w:w="4815" w:type="dxa"/>
            <w:shd w:val="clear" w:color="auto" w:fill="auto"/>
          </w:tcPr>
          <w:p w14:paraId="45892D6F" w14:textId="40D14915" w:rsidR="005C7490" w:rsidRPr="004B6BC2" w:rsidRDefault="005C7490" w:rsidP="00823F1C">
            <w:pPr>
              <w:pStyle w:val="Figurelegend"/>
            </w:pPr>
            <w:r w:rsidRPr="004B6BC2">
              <w:t>CEI</w:t>
            </w:r>
          </w:p>
        </w:tc>
      </w:tr>
      <w:tr w:rsidR="005C7490" w:rsidRPr="004B6BC2" w14:paraId="19FF8262" w14:textId="77777777" w:rsidTr="00823F1C">
        <w:tc>
          <w:tcPr>
            <w:tcW w:w="4814" w:type="dxa"/>
            <w:shd w:val="clear" w:color="auto" w:fill="auto"/>
          </w:tcPr>
          <w:p w14:paraId="46F35FDF" w14:textId="1EACB3B7" w:rsidR="005C7490" w:rsidRPr="004B6BC2" w:rsidRDefault="005C7490" w:rsidP="00823F1C">
            <w:pPr>
              <w:pStyle w:val="Figurelegend"/>
            </w:pPr>
            <w:r w:rsidRPr="004B6BC2">
              <w:t>Americas</w:t>
            </w:r>
          </w:p>
        </w:tc>
        <w:tc>
          <w:tcPr>
            <w:tcW w:w="4815" w:type="dxa"/>
            <w:shd w:val="clear" w:color="auto" w:fill="auto"/>
          </w:tcPr>
          <w:p w14:paraId="01B1B87F" w14:textId="66130CB5" w:rsidR="005C7490" w:rsidRPr="004B6BC2" w:rsidRDefault="005C7490" w:rsidP="00823F1C">
            <w:pPr>
              <w:pStyle w:val="Figurelegend"/>
            </w:pPr>
            <w:r w:rsidRPr="004B6BC2">
              <w:t>Amériques</w:t>
            </w:r>
          </w:p>
        </w:tc>
      </w:tr>
      <w:tr w:rsidR="005C7490" w:rsidRPr="004B6BC2" w14:paraId="16C72F7B" w14:textId="77777777" w:rsidTr="00823F1C">
        <w:tc>
          <w:tcPr>
            <w:tcW w:w="4814" w:type="dxa"/>
            <w:shd w:val="clear" w:color="auto" w:fill="auto"/>
          </w:tcPr>
          <w:p w14:paraId="7A399D73" w14:textId="5238A87A" w:rsidR="005C7490" w:rsidRPr="004B6BC2" w:rsidRDefault="005C7490" w:rsidP="00823F1C">
            <w:pPr>
              <w:pStyle w:val="Figurelegend"/>
            </w:pPr>
            <w:r w:rsidRPr="004B6BC2">
              <w:t>Asia-Pacific</w:t>
            </w:r>
          </w:p>
        </w:tc>
        <w:tc>
          <w:tcPr>
            <w:tcW w:w="4815" w:type="dxa"/>
            <w:shd w:val="clear" w:color="auto" w:fill="auto"/>
          </w:tcPr>
          <w:p w14:paraId="0F5A504C" w14:textId="7B4D64AC" w:rsidR="005C7490" w:rsidRPr="004B6BC2" w:rsidRDefault="005C7490" w:rsidP="00823F1C">
            <w:pPr>
              <w:pStyle w:val="Figurelegend"/>
            </w:pPr>
            <w:r w:rsidRPr="004B6BC2">
              <w:t>Asie-Pacifique</w:t>
            </w:r>
          </w:p>
        </w:tc>
      </w:tr>
      <w:tr w:rsidR="005C7490" w:rsidRPr="004B6BC2" w14:paraId="136FB27F" w14:textId="77777777" w:rsidTr="00823F1C">
        <w:tc>
          <w:tcPr>
            <w:tcW w:w="4814" w:type="dxa"/>
            <w:shd w:val="clear" w:color="auto" w:fill="auto"/>
          </w:tcPr>
          <w:p w14:paraId="5C8DFB58" w14:textId="38F5CD8A" w:rsidR="005C7490" w:rsidRPr="004B6BC2" w:rsidRDefault="005C7490" w:rsidP="00823F1C">
            <w:pPr>
              <w:pStyle w:val="Figurelegend"/>
            </w:pPr>
            <w:r w:rsidRPr="004B6BC2">
              <w:t>SIDS</w:t>
            </w:r>
          </w:p>
        </w:tc>
        <w:tc>
          <w:tcPr>
            <w:tcW w:w="4815" w:type="dxa"/>
            <w:shd w:val="clear" w:color="auto" w:fill="auto"/>
          </w:tcPr>
          <w:p w14:paraId="4DF036B6" w14:textId="2D716E7B" w:rsidR="005C7490" w:rsidRPr="004B6BC2" w:rsidRDefault="005C7490" w:rsidP="00823F1C">
            <w:pPr>
              <w:pStyle w:val="Figurelegend"/>
            </w:pPr>
            <w:r w:rsidRPr="004B6BC2">
              <w:t>PIED</w:t>
            </w:r>
          </w:p>
        </w:tc>
      </w:tr>
      <w:tr w:rsidR="005C7490" w:rsidRPr="004B6BC2" w14:paraId="7DB4006E" w14:textId="77777777" w:rsidTr="00823F1C">
        <w:tc>
          <w:tcPr>
            <w:tcW w:w="4814" w:type="dxa"/>
            <w:shd w:val="clear" w:color="auto" w:fill="auto"/>
          </w:tcPr>
          <w:p w14:paraId="7BE37CAE" w14:textId="4FC94D38" w:rsidR="005C7490" w:rsidRPr="004B6BC2" w:rsidRDefault="005C7490" w:rsidP="00823F1C">
            <w:pPr>
              <w:pStyle w:val="Figurelegend"/>
            </w:pPr>
            <w:r w:rsidRPr="004B6BC2">
              <w:t>LLDCs</w:t>
            </w:r>
          </w:p>
        </w:tc>
        <w:tc>
          <w:tcPr>
            <w:tcW w:w="4815" w:type="dxa"/>
            <w:shd w:val="clear" w:color="auto" w:fill="auto"/>
          </w:tcPr>
          <w:p w14:paraId="61330782" w14:textId="2FA33507" w:rsidR="005C7490" w:rsidRPr="004B6BC2" w:rsidRDefault="005C7490" w:rsidP="00823F1C">
            <w:pPr>
              <w:pStyle w:val="Figurelegend"/>
            </w:pPr>
            <w:r w:rsidRPr="004B6BC2">
              <w:t>PDSL</w:t>
            </w:r>
          </w:p>
        </w:tc>
      </w:tr>
      <w:tr w:rsidR="005C7490" w:rsidRPr="004B6BC2" w14:paraId="5E405DF6" w14:textId="77777777" w:rsidTr="00823F1C">
        <w:tc>
          <w:tcPr>
            <w:tcW w:w="4814" w:type="dxa"/>
            <w:shd w:val="clear" w:color="auto" w:fill="auto"/>
          </w:tcPr>
          <w:p w14:paraId="7E645E18" w14:textId="3623D7FF" w:rsidR="005C7490" w:rsidRPr="004B6BC2" w:rsidRDefault="005C7490" w:rsidP="00823F1C">
            <w:pPr>
              <w:pStyle w:val="Figurelegend"/>
            </w:pPr>
            <w:r w:rsidRPr="004B6BC2">
              <w:t>LDCs</w:t>
            </w:r>
          </w:p>
        </w:tc>
        <w:tc>
          <w:tcPr>
            <w:tcW w:w="4815" w:type="dxa"/>
            <w:shd w:val="clear" w:color="auto" w:fill="auto"/>
          </w:tcPr>
          <w:p w14:paraId="6B7ABA0C" w14:textId="3E4CA06A" w:rsidR="005C7490" w:rsidRPr="004B6BC2" w:rsidRDefault="005C7490" w:rsidP="00823F1C">
            <w:pPr>
              <w:pStyle w:val="Figurelegend"/>
            </w:pPr>
            <w:r w:rsidRPr="004B6BC2">
              <w:t>PMA</w:t>
            </w:r>
          </w:p>
        </w:tc>
      </w:tr>
      <w:tr w:rsidR="005C7490" w:rsidRPr="004B6BC2" w14:paraId="0066727B" w14:textId="77777777" w:rsidTr="00823F1C">
        <w:tc>
          <w:tcPr>
            <w:tcW w:w="4814" w:type="dxa"/>
            <w:shd w:val="clear" w:color="auto" w:fill="auto"/>
          </w:tcPr>
          <w:p w14:paraId="77FCB3AA" w14:textId="033A012E" w:rsidR="005C7490" w:rsidRPr="004B6BC2" w:rsidRDefault="005C7490" w:rsidP="00823F1C">
            <w:pPr>
              <w:pStyle w:val="Figurelegend"/>
            </w:pPr>
            <w:r w:rsidRPr="004B6BC2">
              <w:t>Note: CIS = Commonwealth of Independent States. Source:</w:t>
            </w:r>
            <w:r w:rsidR="004B6BC2">
              <w:t> </w:t>
            </w:r>
            <w:r w:rsidRPr="004B6BC2">
              <w:t>ITU.</w:t>
            </w:r>
          </w:p>
        </w:tc>
        <w:tc>
          <w:tcPr>
            <w:tcW w:w="4815" w:type="dxa"/>
            <w:shd w:val="clear" w:color="auto" w:fill="auto"/>
          </w:tcPr>
          <w:p w14:paraId="34857F03" w14:textId="74BF1BF6" w:rsidR="005C7490" w:rsidRPr="004B6BC2" w:rsidRDefault="005C7490" w:rsidP="00823F1C">
            <w:pPr>
              <w:pStyle w:val="Figurelegend"/>
            </w:pPr>
            <w:r w:rsidRPr="004B6BC2">
              <w:t>Note: CEI = Communauté des États indépendants. Source:</w:t>
            </w:r>
            <w:r w:rsidR="004B6BC2">
              <w:t> </w:t>
            </w:r>
            <w:r w:rsidRPr="004B6BC2">
              <w:t>UIT.</w:t>
            </w:r>
          </w:p>
        </w:tc>
      </w:tr>
    </w:tbl>
    <w:p w14:paraId="3F28D5B6" w14:textId="630A25B3" w:rsidR="004540A2" w:rsidRPr="004B6BC2" w:rsidRDefault="001B5E9F" w:rsidP="00D23087">
      <w:r w:rsidRPr="004B6BC2">
        <w:t xml:space="preserve">Dans sa Déclaration de 2022, la Conférence mondiale de développement des télécommunications (CMDT) a </w:t>
      </w:r>
      <w:r w:rsidR="00F01D04" w:rsidRPr="004B6BC2">
        <w:t>établi</w:t>
      </w:r>
      <w:r w:rsidRPr="004B6BC2">
        <w:t xml:space="preserve"> ce qui suit: «(2) …À l</w:t>
      </w:r>
      <w:r w:rsidR="00A44BB8" w:rsidRPr="004B6BC2">
        <w:t>'</w:t>
      </w:r>
      <w:r w:rsidRPr="004B6BC2">
        <w:t xml:space="preserve">ère du numérique, il est </w:t>
      </w:r>
      <w:r w:rsidRPr="004B6BC2">
        <w:rPr>
          <w:b/>
          <w:bCs/>
          <w:i/>
          <w:iCs/>
        </w:rPr>
        <w:t>indispensable de disposer d</w:t>
      </w:r>
      <w:r w:rsidR="00A44BB8" w:rsidRPr="004B6BC2">
        <w:rPr>
          <w:b/>
          <w:bCs/>
          <w:i/>
          <w:iCs/>
        </w:rPr>
        <w:t>'</w:t>
      </w:r>
      <w:r w:rsidRPr="004B6BC2">
        <w:rPr>
          <w:b/>
          <w:bCs/>
          <w:i/>
          <w:iCs/>
        </w:rPr>
        <w:t>une connectivité large bande</w:t>
      </w:r>
      <w:r w:rsidRPr="004B6BC2">
        <w:t xml:space="preserve"> universelle, sûre et </w:t>
      </w:r>
      <w:r w:rsidRPr="004B6BC2">
        <w:rPr>
          <w:b/>
          <w:bCs/>
          <w:i/>
          <w:iCs/>
        </w:rPr>
        <w:t>financièrement abordable</w:t>
      </w:r>
      <w:r w:rsidRPr="004B6BC2">
        <w:t>, qui permette de stimuler la productivité et l</w:t>
      </w:r>
      <w:r w:rsidR="00A44BB8" w:rsidRPr="004B6BC2">
        <w:t>'</w:t>
      </w:r>
      <w:r w:rsidRPr="004B6BC2">
        <w:t>efficacité, d</w:t>
      </w:r>
      <w:r w:rsidR="00A44BB8" w:rsidRPr="004B6BC2">
        <w:t>'</w:t>
      </w:r>
      <w:r w:rsidRPr="004B6BC2">
        <w:t>éliminer la pauvreté, d</w:t>
      </w:r>
      <w:r w:rsidR="00A44BB8" w:rsidRPr="004B6BC2">
        <w:t>'</w:t>
      </w:r>
      <w:r w:rsidRPr="004B6BC2">
        <w:t>améliorer les conditions de vie et de faire en sorte que le développement durable devienne une réalité pour tous…». Alors qu</w:t>
      </w:r>
      <w:r w:rsidR="00A44BB8" w:rsidRPr="004B6BC2">
        <w:t>'</w:t>
      </w:r>
      <w:r w:rsidRPr="004B6BC2">
        <w:t>il ne reste que sept ans pour atteindre les Objectifs de développement durable (ODD) à l</w:t>
      </w:r>
      <w:r w:rsidR="00A44BB8" w:rsidRPr="004B6BC2">
        <w:t>'</w:t>
      </w:r>
      <w:r w:rsidRPr="004B6BC2">
        <w:t>horizon 2030 et compte tenu de l</w:t>
      </w:r>
      <w:r w:rsidR="00A44BB8" w:rsidRPr="004B6BC2">
        <w:t>'</w:t>
      </w:r>
      <w:r w:rsidRPr="004B6BC2">
        <w:t>importance des systèmes LEO dans la réduction de la fracture numérique et de</w:t>
      </w:r>
      <w:r w:rsidR="00653AC0" w:rsidRPr="004B6BC2">
        <w:t>s</w:t>
      </w:r>
      <w:r w:rsidRPr="004B6BC2">
        <w:t xml:space="preserve"> incidence</w:t>
      </w:r>
      <w:r w:rsidR="00653AC0" w:rsidRPr="004B6BC2">
        <w:t>s</w:t>
      </w:r>
      <w:r w:rsidRPr="004B6BC2">
        <w:t xml:space="preserve"> d</w:t>
      </w:r>
      <w:r w:rsidR="00A44BB8" w:rsidRPr="004B6BC2">
        <w:t>'</w:t>
      </w:r>
      <w:r w:rsidRPr="004B6BC2">
        <w:t>un partage efficace du spectre sur l</w:t>
      </w:r>
      <w:r w:rsidR="00A44BB8" w:rsidRPr="004B6BC2">
        <w:t>'</w:t>
      </w:r>
      <w:r w:rsidRPr="004B6BC2">
        <w:t>accessibilité financière de la connectivité large bande, il est essentiel que la CMR-23 adopte un mécanisme réglementaire au titre d</w:t>
      </w:r>
      <w:r w:rsidR="00A44BB8" w:rsidRPr="004B6BC2">
        <w:t>'</w:t>
      </w:r>
      <w:r w:rsidRPr="004B6BC2">
        <w:t>un point de l</w:t>
      </w:r>
      <w:r w:rsidR="00A44BB8" w:rsidRPr="004B6BC2">
        <w:t>'</w:t>
      </w:r>
      <w:r w:rsidRPr="004B6BC2">
        <w:t xml:space="preserve">ordre du jour </w:t>
      </w:r>
      <w:r w:rsidRPr="004B6BC2">
        <w:lastRenderedPageBreak/>
        <w:t xml:space="preserve">de la CMR-27, afin </w:t>
      </w:r>
      <w:r w:rsidR="00653AC0" w:rsidRPr="004B6BC2">
        <w:t xml:space="preserve">que </w:t>
      </w:r>
      <w:r w:rsidRPr="004B6BC2">
        <w:t>les modifications réglementaires nécessaires</w:t>
      </w:r>
      <w:r w:rsidR="00653AC0" w:rsidRPr="004B6BC2">
        <w:t xml:space="preserve"> puissent être apportées </w:t>
      </w:r>
      <w:r w:rsidRPr="004B6BC2">
        <w:t>aux dispositions de l</w:t>
      </w:r>
      <w:r w:rsidR="00A44BB8" w:rsidRPr="004B6BC2">
        <w:t>'</w:t>
      </w:r>
      <w:r w:rsidRPr="004B6BC2">
        <w:t xml:space="preserve">Article </w:t>
      </w:r>
      <w:r w:rsidRPr="004B6BC2">
        <w:rPr>
          <w:b/>
          <w:bCs/>
        </w:rPr>
        <w:t>22</w:t>
      </w:r>
      <w:r w:rsidRPr="004B6BC2">
        <w:t xml:space="preserve"> du RR, sous réserve des résultats des études de l</w:t>
      </w:r>
      <w:r w:rsidR="00A44BB8" w:rsidRPr="004B6BC2">
        <w:t>'</w:t>
      </w:r>
      <w:r w:rsidRPr="004B6BC2">
        <w:t>UIT-R.</w:t>
      </w:r>
      <w:r w:rsidR="005C7490" w:rsidRPr="004B6BC2">
        <w:t xml:space="preserve"> Tout retard supplémentaire dans la correction des inefficacités </w:t>
      </w:r>
      <w:r w:rsidR="00653AC0" w:rsidRPr="004B6BC2">
        <w:t xml:space="preserve">spectrales </w:t>
      </w:r>
      <w:r w:rsidR="005C7490" w:rsidRPr="004B6BC2">
        <w:t>identifiées affectera non seulement la capacité de tirer pleinement parti des systèmes mondiaux du SFS non OSG pour fournir une capacité additionnelle afin de contribuer à fournir des applications large bande et des services associés à ceux qui en ont le plus besoin, mais aussi la capacité des administrations à atteindre les</w:t>
      </w:r>
      <w:r w:rsidR="007E1BCB" w:rsidRPr="004B6BC2">
        <w:t> </w:t>
      </w:r>
      <w:r w:rsidR="005C7490" w:rsidRPr="004B6BC2">
        <w:t>ODD à l</w:t>
      </w:r>
      <w:r w:rsidR="00A44BB8" w:rsidRPr="004B6BC2">
        <w:t>'</w:t>
      </w:r>
      <w:r w:rsidR="005C7490" w:rsidRPr="004B6BC2">
        <w:t xml:space="preserve">horizon 2030. </w:t>
      </w:r>
      <w:r w:rsidR="00653AC0" w:rsidRPr="004B6BC2">
        <w:t xml:space="preserve">Les ODD </w:t>
      </w:r>
      <w:r w:rsidR="005C7490" w:rsidRPr="004B6BC2">
        <w:t>revêt</w:t>
      </w:r>
      <w:r w:rsidR="00653AC0" w:rsidRPr="004B6BC2">
        <w:t>ent</w:t>
      </w:r>
      <w:r w:rsidR="005C7490" w:rsidRPr="004B6BC2">
        <w:t xml:space="preserve"> une importance particulière pour l</w:t>
      </w:r>
      <w:r w:rsidR="00A44BB8" w:rsidRPr="004B6BC2">
        <w:t>'</w:t>
      </w:r>
      <w:r w:rsidR="005C7490" w:rsidRPr="004B6BC2">
        <w:t>Afrique, les PMA et les PDSL,</w:t>
      </w:r>
      <w:r w:rsidR="00BA3BEB" w:rsidRPr="004B6BC2">
        <w:t xml:space="preserve"> qui accusent déjà un retard </w:t>
      </w:r>
      <w:r w:rsidR="00653AC0" w:rsidRPr="004B6BC2">
        <w:t xml:space="preserve">important </w:t>
      </w:r>
      <w:r w:rsidR="00BA3BEB" w:rsidRPr="004B6BC2">
        <w:t>dans la réalisation de certain</w:t>
      </w:r>
      <w:r w:rsidR="00653AC0" w:rsidRPr="004B6BC2">
        <w:t>e</w:t>
      </w:r>
      <w:r w:rsidR="00BA3BEB" w:rsidRPr="004B6BC2">
        <w:t>s cibles.</w:t>
      </w:r>
    </w:p>
    <w:p w14:paraId="31F68213" w14:textId="1A7A23D5" w:rsidR="004540A2" w:rsidRPr="004B6BC2" w:rsidRDefault="00BA3BEB" w:rsidP="006A4D07">
      <w:pPr>
        <w:pStyle w:val="Headingb"/>
      </w:pPr>
      <w:r w:rsidRPr="004B6BC2">
        <w:t>Proposition</w:t>
      </w:r>
    </w:p>
    <w:p w14:paraId="40774A38" w14:textId="3BBF14C0" w:rsidR="004540A2" w:rsidRPr="004B6BC2" w:rsidRDefault="00BA3BEB" w:rsidP="00D23087">
      <w:r w:rsidRPr="004B6BC2">
        <w:t>Les administrations cosignataires de la présente contribution proposent que la CMR-23 adopte une nouvelle Résolution invitant l</w:t>
      </w:r>
      <w:r w:rsidR="00A44BB8" w:rsidRPr="004B6BC2">
        <w:t>'</w:t>
      </w:r>
      <w:r w:rsidRPr="004B6BC2">
        <w:t xml:space="preserve">UIT-R à étudier </w:t>
      </w:r>
      <w:r w:rsidRPr="004B6BC2">
        <w:rPr>
          <w:b/>
          <w:bCs/>
          <w:u w:val="single"/>
        </w:rPr>
        <w:t>d</w:t>
      </w:r>
      <w:r w:rsidR="00A44BB8" w:rsidRPr="004B6BC2">
        <w:rPr>
          <w:b/>
          <w:bCs/>
          <w:u w:val="single"/>
        </w:rPr>
        <w:t>'</w:t>
      </w:r>
      <w:r w:rsidRPr="004B6BC2">
        <w:rPr>
          <w:b/>
          <w:bCs/>
          <w:u w:val="single"/>
        </w:rPr>
        <w:t>urgence</w:t>
      </w:r>
      <w:r w:rsidRPr="004B6BC2">
        <w:t xml:space="preserve">, à temps pour la CMR-27, la </w:t>
      </w:r>
      <w:r w:rsidR="00653AC0" w:rsidRPr="004B6BC2">
        <w:t xml:space="preserve">possibilité de mettre </w:t>
      </w:r>
      <w:r w:rsidRPr="004B6BC2">
        <w:t>à jour</w:t>
      </w:r>
      <w:r w:rsidR="00653AC0" w:rsidRPr="004B6BC2">
        <w:t xml:space="preserve"> les</w:t>
      </w:r>
      <w:r w:rsidRPr="004B6BC2">
        <w:t xml:space="preserve"> dispositions réglementaires, y compris </w:t>
      </w:r>
      <w:r w:rsidR="00653AC0" w:rsidRPr="004B6BC2">
        <w:t xml:space="preserve">les </w:t>
      </w:r>
      <w:r w:rsidRPr="004B6BC2">
        <w:t>limites d</w:t>
      </w:r>
      <w:r w:rsidR="00A44BB8" w:rsidRPr="004B6BC2">
        <w:t>'</w:t>
      </w:r>
      <w:r w:rsidRPr="004B6BC2">
        <w:t>epfd, applicables aux systèmes du SFS non OSG</w:t>
      </w:r>
      <w:r w:rsidR="00653AC0" w:rsidRPr="004B6BC2">
        <w:t xml:space="preserve">, </w:t>
      </w:r>
      <w:r w:rsidRPr="004B6BC2">
        <w:t xml:space="preserve">afin de protéger les réseaux du SFS et du SRS </w:t>
      </w:r>
      <w:r w:rsidR="0097197F" w:rsidRPr="004B6BC2">
        <w:t xml:space="preserve">OSG </w:t>
      </w:r>
      <w:r w:rsidRPr="004B6BC2">
        <w:t>contre les brouillages inacceptables dans les bandes de fréquences au-dessous de 30 GHz qui sont assujetties aux limites d</w:t>
      </w:r>
      <w:r w:rsidR="00A44BB8" w:rsidRPr="004B6BC2">
        <w:t>'</w:t>
      </w:r>
      <w:r w:rsidRPr="004B6BC2">
        <w:t xml:space="preserve">epfd </w:t>
      </w:r>
      <w:r w:rsidR="00653AC0" w:rsidRPr="004B6BC2">
        <w:t xml:space="preserve">prescrites </w:t>
      </w:r>
      <w:r w:rsidRPr="004B6BC2">
        <w:t>dans l</w:t>
      </w:r>
      <w:r w:rsidR="00A44BB8" w:rsidRPr="004B6BC2">
        <w:t>'</w:t>
      </w:r>
      <w:r w:rsidRPr="004B6BC2">
        <w:t xml:space="preserve">Article </w:t>
      </w:r>
      <w:r w:rsidRPr="004B6BC2">
        <w:rPr>
          <w:b/>
          <w:bCs/>
        </w:rPr>
        <w:t>22</w:t>
      </w:r>
      <w:r w:rsidRPr="004B6BC2">
        <w:t xml:space="preserve"> du RR</w:t>
      </w:r>
      <w:r w:rsidR="004540A2" w:rsidRPr="004B6BC2">
        <w:t>.</w:t>
      </w:r>
    </w:p>
    <w:p w14:paraId="6974A94B" w14:textId="4800BAAF" w:rsidR="00BA3BEB" w:rsidRPr="004B6BC2" w:rsidRDefault="0097197F" w:rsidP="00D23087">
      <w:r w:rsidRPr="004B6BC2">
        <w:t>L</w:t>
      </w:r>
      <w:r w:rsidR="00BA3BEB" w:rsidRPr="004B6BC2">
        <w:t>e cycle d</w:t>
      </w:r>
      <w:r w:rsidR="00A44BB8" w:rsidRPr="004B6BC2">
        <w:t>'</w:t>
      </w:r>
      <w:r w:rsidR="00BA3BEB" w:rsidRPr="004B6BC2">
        <w:t>études de quatre ans</w:t>
      </w:r>
      <w:r w:rsidRPr="004B6BC2">
        <w:t xml:space="preserve"> sera </w:t>
      </w:r>
      <w:r w:rsidR="002607C5" w:rsidRPr="004B6BC2">
        <w:t>régi</w:t>
      </w:r>
      <w:r w:rsidRPr="004B6BC2">
        <w:t xml:space="preserve"> par</w:t>
      </w:r>
      <w:r w:rsidR="00BA3BEB" w:rsidRPr="004B6BC2">
        <w:t xml:space="preserve"> les </w:t>
      </w:r>
      <w:r w:rsidRPr="004B6BC2">
        <w:t xml:space="preserve">principes </w:t>
      </w:r>
      <w:r w:rsidR="00BA3BEB" w:rsidRPr="004B6BC2">
        <w:t xml:space="preserve">directeurs </w:t>
      </w:r>
      <w:r w:rsidR="00F30B92" w:rsidRPr="004B6BC2">
        <w:t>selon lesquels</w:t>
      </w:r>
      <w:r w:rsidR="00BA3BEB" w:rsidRPr="004B6BC2">
        <w:t xml:space="preserve"> quelle que soit la solution trouvée, les réseaux à satellite du SFS et du SRS </w:t>
      </w:r>
      <w:r w:rsidRPr="004B6BC2">
        <w:t xml:space="preserve">OSG </w:t>
      </w:r>
      <w:r w:rsidR="00BA3BEB" w:rsidRPr="004B6BC2">
        <w:t>continueront d</w:t>
      </w:r>
      <w:r w:rsidR="00A44BB8" w:rsidRPr="004B6BC2">
        <w:t>'</w:t>
      </w:r>
      <w:r w:rsidR="00BA3BEB" w:rsidRPr="004B6BC2">
        <w:t xml:space="preserve">être protégés conformément au numéro </w:t>
      </w:r>
      <w:r w:rsidR="00BA3BEB" w:rsidRPr="004B6BC2">
        <w:rPr>
          <w:b/>
          <w:bCs/>
        </w:rPr>
        <w:t>22.2</w:t>
      </w:r>
      <w:r w:rsidR="00BA3BEB" w:rsidRPr="004B6BC2">
        <w:t xml:space="preserve"> du RR</w:t>
      </w:r>
      <w:r w:rsidR="00F30B92" w:rsidRPr="004B6BC2">
        <w:t>, sans qu</w:t>
      </w:r>
      <w:r w:rsidR="00A44BB8" w:rsidRPr="004B6BC2">
        <w:t>'</w:t>
      </w:r>
      <w:r w:rsidR="00BA3BEB" w:rsidRPr="004B6BC2">
        <w:t xml:space="preserve">aucune modification </w:t>
      </w:r>
      <w:r w:rsidRPr="004B6BC2">
        <w:t xml:space="preserve">ne </w:t>
      </w:r>
      <w:r w:rsidR="00F30B92" w:rsidRPr="004B6BC2">
        <w:t xml:space="preserve">soit </w:t>
      </w:r>
      <w:r w:rsidRPr="004B6BC2">
        <w:t xml:space="preserve">apportée </w:t>
      </w:r>
      <w:r w:rsidR="00F01D04" w:rsidRPr="004B6BC2">
        <w:t>à ce renvoi</w:t>
      </w:r>
      <w:r w:rsidR="00BA3BEB" w:rsidRPr="004B6BC2">
        <w:t>.</w:t>
      </w:r>
    </w:p>
    <w:p w14:paraId="0B04B810" w14:textId="553E91AA" w:rsidR="008C6B3C" w:rsidRPr="004B6BC2" w:rsidRDefault="008C6B3C" w:rsidP="00D23087">
      <w:r w:rsidRPr="004B6BC2">
        <w:t>Cette étude devrait comprendre l</w:t>
      </w:r>
      <w:r w:rsidR="00A44BB8" w:rsidRPr="004B6BC2">
        <w:t>'</w:t>
      </w:r>
      <w:r w:rsidRPr="004B6BC2">
        <w:t xml:space="preserve">élaboration de procédures permettant aux administrations notificatrices des systèmes du SFS non OSG de </w:t>
      </w:r>
      <w:r w:rsidR="00F30B92" w:rsidRPr="004B6BC2">
        <w:t>veiller au</w:t>
      </w:r>
      <w:r w:rsidRPr="004B6BC2">
        <w:t xml:space="preserve"> respect des limites d</w:t>
      </w:r>
      <w:r w:rsidR="00A44BB8" w:rsidRPr="004B6BC2">
        <w:t>'</w:t>
      </w:r>
      <w:r w:rsidRPr="004B6BC2">
        <w:t xml:space="preserve">epfd cumulative </w:t>
      </w:r>
      <w:r w:rsidR="00F30B92" w:rsidRPr="004B6BC2">
        <w:t xml:space="preserve">prescrites </w:t>
      </w:r>
      <w:r w:rsidRPr="004B6BC2">
        <w:t xml:space="preserve">dans la Résolution </w:t>
      </w:r>
      <w:r w:rsidRPr="004B6BC2">
        <w:rPr>
          <w:b/>
          <w:bCs/>
        </w:rPr>
        <w:t>76 (Rév.CMR-15)</w:t>
      </w:r>
      <w:r w:rsidRPr="004B6BC2">
        <w:t>. Les études menées ne doivent apporter aucune modification</w:t>
      </w:r>
      <w:r w:rsidR="00F30B92" w:rsidRPr="004B6BC2">
        <w:t xml:space="preserve"> aux </w:t>
      </w:r>
      <w:r w:rsidRPr="004B6BC2">
        <w:t>prescriptions ou</w:t>
      </w:r>
      <w:r w:rsidR="00F30B92" w:rsidRPr="004B6BC2">
        <w:t xml:space="preserve"> aux</w:t>
      </w:r>
      <w:r w:rsidRPr="004B6BC2">
        <w:t xml:space="preserve"> conditions régissant la coordination au titre des numéros</w:t>
      </w:r>
      <w:r w:rsidR="007E1BCB" w:rsidRPr="004B6BC2">
        <w:t> </w:t>
      </w:r>
      <w:r w:rsidRPr="004B6BC2">
        <w:rPr>
          <w:b/>
          <w:bCs/>
        </w:rPr>
        <w:t>9.7A</w:t>
      </w:r>
      <w:r w:rsidRPr="004B6BC2">
        <w:t xml:space="preserve"> et </w:t>
      </w:r>
      <w:r w:rsidRPr="004B6BC2">
        <w:rPr>
          <w:b/>
          <w:bCs/>
        </w:rPr>
        <w:t>9.7B</w:t>
      </w:r>
      <w:r w:rsidRPr="004B6BC2">
        <w:t>.</w:t>
      </w:r>
    </w:p>
    <w:p w14:paraId="61B6E694" w14:textId="177042C6" w:rsidR="004540A2" w:rsidRPr="004B6BC2" w:rsidRDefault="004540A2" w:rsidP="006A4D07">
      <w:r w:rsidRPr="004B6BC2">
        <w:rPr>
          <w:b/>
          <w:bCs/>
        </w:rPr>
        <w:t>Motifs:</w:t>
      </w:r>
      <w:r w:rsidRPr="004B6BC2">
        <w:tab/>
      </w:r>
      <w:r w:rsidR="008C6B3C" w:rsidRPr="004B6BC2">
        <w:t>L</w:t>
      </w:r>
      <w:r w:rsidR="00A44BB8" w:rsidRPr="004B6BC2">
        <w:t>'</w:t>
      </w:r>
      <w:r w:rsidR="008C6B3C" w:rsidRPr="004B6BC2">
        <w:t xml:space="preserve">Afrique reste le continent le moins connecté de la planète. Conformément aux objectifs des ODD </w:t>
      </w:r>
      <w:r w:rsidR="00F30B92" w:rsidRPr="004B6BC2">
        <w:t xml:space="preserve">fixés par les </w:t>
      </w:r>
      <w:r w:rsidR="008C6B3C" w:rsidRPr="004B6BC2">
        <w:t>Nations Unies</w:t>
      </w:r>
      <w:r w:rsidR="00F30B92" w:rsidRPr="004B6BC2">
        <w:t xml:space="preserve"> à l</w:t>
      </w:r>
      <w:r w:rsidR="00A44BB8" w:rsidRPr="004B6BC2">
        <w:t>'</w:t>
      </w:r>
      <w:r w:rsidR="00F30B92" w:rsidRPr="004B6BC2">
        <w:t>horizon 2030</w:t>
      </w:r>
      <w:r w:rsidR="008C6B3C" w:rsidRPr="004B6BC2">
        <w:t>, la réduction de la fracture numérique est l</w:t>
      </w:r>
      <w:r w:rsidR="00A44BB8" w:rsidRPr="004B6BC2">
        <w:t>'</w:t>
      </w:r>
      <w:r w:rsidR="008C6B3C" w:rsidRPr="004B6BC2">
        <w:t>une des priorités des pays d</w:t>
      </w:r>
      <w:r w:rsidR="00A44BB8" w:rsidRPr="004B6BC2">
        <w:t>'</w:t>
      </w:r>
      <w:r w:rsidR="008C6B3C" w:rsidRPr="004B6BC2">
        <w:t xml:space="preserve">Afrique. </w:t>
      </w:r>
      <w:r w:rsidR="00F30B92" w:rsidRPr="004B6BC2">
        <w:t>L</w:t>
      </w:r>
      <w:r w:rsidR="00A44BB8" w:rsidRPr="004B6BC2">
        <w:t>'</w:t>
      </w:r>
      <w:r w:rsidR="00F30B92" w:rsidRPr="004B6BC2">
        <w:t xml:space="preserve">objectif est de </w:t>
      </w:r>
      <w:r w:rsidR="00F01D04" w:rsidRPr="004B6BC2">
        <w:t>p</w:t>
      </w:r>
      <w:r w:rsidR="00972EBB" w:rsidRPr="004B6BC2">
        <w:t>ermettre une plus grande efficacité spectrale et une plus grande souplesse d</w:t>
      </w:r>
      <w:r w:rsidR="00A44BB8" w:rsidRPr="004B6BC2">
        <w:t>'</w:t>
      </w:r>
      <w:r w:rsidR="00972EBB" w:rsidRPr="004B6BC2">
        <w:t>exploitation pour la conception et l</w:t>
      </w:r>
      <w:r w:rsidR="00A44BB8" w:rsidRPr="004B6BC2">
        <w:t>'</w:t>
      </w:r>
      <w:r w:rsidR="00972EBB" w:rsidRPr="004B6BC2">
        <w:t xml:space="preserve">utilisation des systèmes non OSG, tout en assurant la protection des réseaux OSG, dans un délai déterminé, </w:t>
      </w:r>
      <w:r w:rsidR="00F30B92" w:rsidRPr="004B6BC2">
        <w:t xml:space="preserve">afin </w:t>
      </w:r>
      <w:r w:rsidR="00972EBB" w:rsidRPr="004B6BC2">
        <w:t xml:space="preserve">que toute modification </w:t>
      </w:r>
      <w:r w:rsidR="00F30B92" w:rsidRPr="004B6BC2">
        <w:t>d</w:t>
      </w:r>
      <w:r w:rsidR="00A44BB8" w:rsidRPr="004B6BC2">
        <w:t>'</w:t>
      </w:r>
      <w:r w:rsidR="00F30B92" w:rsidRPr="004B6BC2">
        <w:t xml:space="preserve">ordre </w:t>
      </w:r>
      <w:r w:rsidR="00972EBB" w:rsidRPr="004B6BC2">
        <w:t xml:space="preserve">réglementaire </w:t>
      </w:r>
      <w:r w:rsidR="00F30B92" w:rsidRPr="004B6BC2">
        <w:t xml:space="preserve">apportée aux </w:t>
      </w:r>
      <w:r w:rsidR="00972EBB" w:rsidRPr="004B6BC2">
        <w:t>dispositions de l</w:t>
      </w:r>
      <w:r w:rsidR="00A44BB8" w:rsidRPr="004B6BC2">
        <w:t>'</w:t>
      </w:r>
      <w:r w:rsidR="00972EBB" w:rsidRPr="004B6BC2">
        <w:t xml:space="preserve">Article </w:t>
      </w:r>
      <w:r w:rsidR="00972EBB" w:rsidRPr="004B6BC2">
        <w:rPr>
          <w:b/>
          <w:bCs/>
        </w:rPr>
        <w:t>22</w:t>
      </w:r>
      <w:r w:rsidR="00972EBB" w:rsidRPr="004B6BC2">
        <w:t xml:space="preserve"> du RR, telle qu</w:t>
      </w:r>
      <w:r w:rsidR="00A44BB8" w:rsidRPr="004B6BC2">
        <w:t>'</w:t>
      </w:r>
      <w:r w:rsidR="00972EBB" w:rsidRPr="004B6BC2">
        <w:t>identifiée par les résultats des études, puisse être apportée à la CMR-27 afin d</w:t>
      </w:r>
      <w:r w:rsidR="00A44BB8" w:rsidRPr="004B6BC2">
        <w:t>'</w:t>
      </w:r>
      <w:r w:rsidR="00972EBB" w:rsidRPr="004B6BC2">
        <w:t>atteindre d</w:t>
      </w:r>
      <w:r w:rsidR="00A44BB8" w:rsidRPr="004B6BC2">
        <w:t>'</w:t>
      </w:r>
      <w:r w:rsidR="00972EBB" w:rsidRPr="004B6BC2">
        <w:t>urgence les ODD à l</w:t>
      </w:r>
      <w:r w:rsidR="00A44BB8" w:rsidRPr="004B6BC2">
        <w:t>'</w:t>
      </w:r>
      <w:r w:rsidR="00972EBB" w:rsidRPr="004B6BC2">
        <w:t>horizon 2030.</w:t>
      </w:r>
    </w:p>
    <w:p w14:paraId="3FB61AD1" w14:textId="1C3B6D9F" w:rsidR="004540A2" w:rsidRPr="004B6BC2" w:rsidRDefault="004540A2" w:rsidP="00D52932">
      <w:pPr>
        <w:tabs>
          <w:tab w:val="clear" w:pos="1134"/>
          <w:tab w:val="clear" w:pos="1871"/>
          <w:tab w:val="clear" w:pos="2268"/>
        </w:tabs>
        <w:overflowPunct/>
        <w:autoSpaceDE/>
        <w:autoSpaceDN/>
        <w:adjustRightInd/>
        <w:spacing w:before="0" w:line="360" w:lineRule="auto"/>
        <w:textAlignment w:val="auto"/>
      </w:pPr>
      <w:r w:rsidRPr="004B6BC2">
        <w:br w:type="page"/>
      </w:r>
    </w:p>
    <w:p w14:paraId="00749602" w14:textId="69C14005" w:rsidR="00965E22" w:rsidRPr="004B6BC2" w:rsidRDefault="00B20948" w:rsidP="007E1BCB">
      <w:pPr>
        <w:pStyle w:val="Proposal"/>
      </w:pPr>
      <w:r w:rsidRPr="004B6BC2">
        <w:lastRenderedPageBreak/>
        <w:t>ADD</w:t>
      </w:r>
      <w:r w:rsidRPr="004B6BC2">
        <w:tab/>
        <w:t>BDI/CME/CAF/COG/GAB/GNE/MDG/</w:t>
      </w:r>
      <w:r w:rsidR="00593C7E">
        <w:t>NIG/</w:t>
      </w:r>
      <w:r w:rsidRPr="004B6BC2">
        <w:t>COD/STP/TCD/158/1</w:t>
      </w:r>
    </w:p>
    <w:p w14:paraId="13AB8A7E" w14:textId="24A87326" w:rsidR="00965E22" w:rsidRPr="004B6BC2" w:rsidRDefault="00B20948" w:rsidP="00D52932">
      <w:pPr>
        <w:pStyle w:val="ResNo"/>
      </w:pPr>
      <w:r w:rsidRPr="004B6BC2">
        <w:t>Projet de nouvelle Résolution [BDI/CME/CAF/COG/GAB/GNE/MDG/</w:t>
      </w:r>
      <w:r w:rsidR="00593C7E">
        <w:t>NIG/</w:t>
      </w:r>
      <w:r w:rsidRPr="004B6BC2">
        <w:t>COD/STP/TCD</w:t>
      </w:r>
      <w:r w:rsidR="004540A2" w:rsidRPr="004B6BC2">
        <w:t>-</w:t>
      </w:r>
      <w:r w:rsidR="00403003" w:rsidRPr="004B6BC2">
        <w:t>WRC-27 Agenda</w:t>
      </w:r>
      <w:r w:rsidRPr="004B6BC2">
        <w:t>]</w:t>
      </w:r>
      <w:r w:rsidR="004540A2" w:rsidRPr="004B6BC2">
        <w:t xml:space="preserve"> (cmr-23)</w:t>
      </w:r>
    </w:p>
    <w:p w14:paraId="09F403AF" w14:textId="77777777" w:rsidR="00C83486" w:rsidRPr="004B6BC2" w:rsidRDefault="00C83486" w:rsidP="00D52932">
      <w:pPr>
        <w:pStyle w:val="Restitle"/>
        <w:rPr>
          <w:sz w:val="24"/>
          <w:lang w:eastAsia="en-GB"/>
        </w:rPr>
      </w:pPr>
      <w:r w:rsidRPr="004B6BC2">
        <w:t>Ordre du jour de la Conférence mondiale des radiocommunications de 2027</w:t>
      </w:r>
    </w:p>
    <w:p w14:paraId="713E1043" w14:textId="77777777" w:rsidR="00C83486" w:rsidRPr="004B6BC2" w:rsidRDefault="00C83486" w:rsidP="00D52932">
      <w:pPr>
        <w:pStyle w:val="Normalaftertitle"/>
        <w:rPr>
          <w:lang w:eastAsia="en-GB"/>
        </w:rPr>
      </w:pPr>
      <w:r w:rsidRPr="004B6BC2">
        <w:t>La Conférence mondiale des radiocommunications (Dubaï, 2023),</w:t>
      </w:r>
    </w:p>
    <w:p w14:paraId="7502C350" w14:textId="77777777" w:rsidR="00C83486" w:rsidRPr="004B6BC2" w:rsidRDefault="00C83486" w:rsidP="007E1BCB">
      <w:pPr>
        <w:pStyle w:val="Call"/>
        <w:rPr>
          <w:lang w:eastAsia="en-GB"/>
        </w:rPr>
      </w:pPr>
      <w:r w:rsidRPr="004B6BC2">
        <w:t>considérant</w:t>
      </w:r>
    </w:p>
    <w:p w14:paraId="060BC056" w14:textId="0BA07BC1" w:rsidR="00C83486" w:rsidRPr="004B6BC2" w:rsidRDefault="00C83486" w:rsidP="007E1BCB">
      <w:pPr>
        <w:rPr>
          <w:lang w:eastAsia="en-GB"/>
        </w:rPr>
      </w:pPr>
      <w:r w:rsidRPr="004B6BC2">
        <w:rPr>
          <w:i/>
          <w:iCs/>
        </w:rPr>
        <w:t>a)</w:t>
      </w:r>
      <w:r w:rsidRPr="004B6BC2">
        <w:tab/>
        <w:t>que, conformément au numéro 118 de la Convention de l</w:t>
      </w:r>
      <w:r w:rsidR="00A44BB8" w:rsidRPr="004B6BC2">
        <w:t>'</w:t>
      </w:r>
      <w:r w:rsidRPr="004B6BC2">
        <w:t>UIT, le cadre général de l</w:t>
      </w:r>
      <w:r w:rsidR="00A44BB8" w:rsidRPr="004B6BC2">
        <w:t>'</w:t>
      </w:r>
      <w:r w:rsidRPr="004B6BC2">
        <w:t>ordre du jour d</w:t>
      </w:r>
      <w:r w:rsidR="00A44BB8" w:rsidRPr="004B6BC2">
        <w:t>'</w:t>
      </w:r>
      <w:r w:rsidRPr="004B6BC2">
        <w:t>une Conférence mondiale des radiocommunications (CMR) devrait être fixé de quatre à six ans à l</w:t>
      </w:r>
      <w:r w:rsidR="00A44BB8" w:rsidRPr="004B6BC2">
        <w:t>'</w:t>
      </w:r>
      <w:r w:rsidRPr="004B6BC2">
        <w:t>avance et que l</w:t>
      </w:r>
      <w:r w:rsidR="00A44BB8" w:rsidRPr="004B6BC2">
        <w:t>'</w:t>
      </w:r>
      <w:r w:rsidRPr="004B6BC2">
        <w:t>ordre du jour définitif est fixé par le Conseil de l</w:t>
      </w:r>
      <w:r w:rsidR="00A44BB8" w:rsidRPr="004B6BC2">
        <w:t>'</w:t>
      </w:r>
      <w:r w:rsidRPr="004B6BC2">
        <w:t>UIT deux ans avant la conférence;</w:t>
      </w:r>
    </w:p>
    <w:p w14:paraId="0BDE68DB" w14:textId="2C7448F4" w:rsidR="00C83486" w:rsidRPr="004B6BC2" w:rsidRDefault="00C83486" w:rsidP="007E1BCB">
      <w:r w:rsidRPr="004B6BC2">
        <w:rPr>
          <w:i/>
          <w:iCs/>
        </w:rPr>
        <w:t>b)</w:t>
      </w:r>
      <w:r w:rsidRPr="004B6BC2">
        <w:tab/>
        <w:t>l</w:t>
      </w:r>
      <w:r w:rsidR="00A44BB8" w:rsidRPr="004B6BC2">
        <w:t>'</w:t>
      </w:r>
      <w:r w:rsidRPr="004B6BC2">
        <w:t>article 13 de la Constitution de l</w:t>
      </w:r>
      <w:r w:rsidR="00A44BB8" w:rsidRPr="004B6BC2">
        <w:t>'</w:t>
      </w:r>
      <w:r w:rsidRPr="004B6BC2">
        <w:t>UIT, concernant la compétence et la fréquence des</w:t>
      </w:r>
      <w:r w:rsidR="007E1BCB" w:rsidRPr="004B6BC2">
        <w:t> </w:t>
      </w:r>
      <w:r w:rsidRPr="004B6BC2">
        <w:t>CMR, et l</w:t>
      </w:r>
      <w:r w:rsidR="00A44BB8" w:rsidRPr="004B6BC2">
        <w:t>'</w:t>
      </w:r>
      <w:r w:rsidRPr="004B6BC2">
        <w:t>article 7 de la Convention relatif à leur ordre du jour;</w:t>
      </w:r>
    </w:p>
    <w:p w14:paraId="6E694337" w14:textId="77777777" w:rsidR="00C83486" w:rsidRPr="004B6BC2" w:rsidRDefault="00C83486" w:rsidP="007E1BCB">
      <w:r w:rsidRPr="004B6BC2">
        <w:rPr>
          <w:i/>
          <w:iCs/>
        </w:rPr>
        <w:t>c)</w:t>
      </w:r>
      <w:r w:rsidRPr="004B6BC2">
        <w:tab/>
        <w:t>les résolutions et recommandations pertinentes des conférences administratives mondiales des radiocommunications (CAMR) et des CMR précédentes,</w:t>
      </w:r>
    </w:p>
    <w:p w14:paraId="574494E2" w14:textId="77777777" w:rsidR="00C83486" w:rsidRPr="004B6BC2" w:rsidRDefault="00C83486" w:rsidP="007E1BCB">
      <w:pPr>
        <w:pStyle w:val="Call"/>
        <w:rPr>
          <w:lang w:eastAsia="en-GB"/>
        </w:rPr>
      </w:pPr>
      <w:r w:rsidRPr="004B6BC2">
        <w:t>reconnaissant</w:t>
      </w:r>
    </w:p>
    <w:p w14:paraId="7D107E56" w14:textId="465851F2" w:rsidR="00C83486" w:rsidRPr="004B6BC2" w:rsidRDefault="00C83486" w:rsidP="007E1BCB">
      <w:r w:rsidRPr="004B6BC2">
        <w:rPr>
          <w:i/>
          <w:iCs/>
        </w:rPr>
        <w:t>a)</w:t>
      </w:r>
      <w:r w:rsidRPr="004B6BC2">
        <w:tab/>
        <w:t>que la présente Conférence a recensé un certain nombre de questions urgentes que la</w:t>
      </w:r>
      <w:r w:rsidR="007E1BCB" w:rsidRPr="004B6BC2">
        <w:t> </w:t>
      </w:r>
      <w:r w:rsidRPr="004B6BC2">
        <w:t>CMR</w:t>
      </w:r>
      <w:r w:rsidRPr="004B6BC2">
        <w:noBreakHyphen/>
        <w:t>27 devra examiner plus avant;</w:t>
      </w:r>
    </w:p>
    <w:p w14:paraId="7CCB9A15" w14:textId="50EC7CF1" w:rsidR="00C83486" w:rsidRPr="004B6BC2" w:rsidRDefault="00C83486" w:rsidP="007E1BCB">
      <w:r w:rsidRPr="004B6BC2">
        <w:rPr>
          <w:i/>
          <w:iCs/>
        </w:rPr>
        <w:t>b)</w:t>
      </w:r>
      <w:r w:rsidRPr="004B6BC2">
        <w:tab/>
        <w:t>que, lors de l</w:t>
      </w:r>
      <w:r w:rsidR="00A44BB8" w:rsidRPr="004B6BC2">
        <w:t>'</w:t>
      </w:r>
      <w:r w:rsidRPr="004B6BC2">
        <w:t>élaboration du présent ordre du jour, certains points proposés par des administrations n</w:t>
      </w:r>
      <w:r w:rsidR="00A44BB8" w:rsidRPr="004B6BC2">
        <w:t>'</w:t>
      </w:r>
      <w:r w:rsidRPr="004B6BC2">
        <w:t>ont pas pu être retenus et que leur inscription a dû être reportée à l</w:t>
      </w:r>
      <w:r w:rsidR="00A44BB8" w:rsidRPr="004B6BC2">
        <w:t>'</w:t>
      </w:r>
      <w:r w:rsidRPr="004B6BC2">
        <w:t>ordre du jour de conférences futures,</w:t>
      </w:r>
    </w:p>
    <w:p w14:paraId="29E306C0" w14:textId="77777777" w:rsidR="00C83486" w:rsidRPr="004B6BC2" w:rsidRDefault="00C83486" w:rsidP="007E1BCB">
      <w:pPr>
        <w:pStyle w:val="Call"/>
        <w:rPr>
          <w:lang w:eastAsia="en-GB"/>
        </w:rPr>
      </w:pPr>
      <w:r w:rsidRPr="004B6BC2">
        <w:t>décide</w:t>
      </w:r>
    </w:p>
    <w:p w14:paraId="0586B59E" w14:textId="33E8408C" w:rsidR="00C83486" w:rsidRPr="004B6BC2" w:rsidRDefault="00C83486" w:rsidP="007E1BCB">
      <w:r w:rsidRPr="004B6BC2">
        <w:t>de recommander au Conseil de convoquer en 2027 une CMR d</w:t>
      </w:r>
      <w:r w:rsidR="00A44BB8" w:rsidRPr="004B6BC2">
        <w:t>'</w:t>
      </w:r>
      <w:r w:rsidRPr="004B6BC2">
        <w:t>une durée maximale de quatre semaines, dont l</w:t>
      </w:r>
      <w:r w:rsidR="00A44BB8" w:rsidRPr="004B6BC2">
        <w:t>'</w:t>
      </w:r>
      <w:r w:rsidRPr="004B6BC2">
        <w:t>ordre du jour sera le suivant:</w:t>
      </w:r>
    </w:p>
    <w:p w14:paraId="1BF214EA" w14:textId="52A8EFC2" w:rsidR="00C83486" w:rsidRPr="004B6BC2" w:rsidRDefault="00C83486" w:rsidP="007E1BCB">
      <w:r w:rsidRPr="004B6BC2">
        <w:t>1</w:t>
      </w:r>
      <w:r w:rsidRPr="004B6BC2">
        <w:tab/>
        <w:t>sur la base des propositions des administrations, compte tenu des résultats de la</w:t>
      </w:r>
      <w:r w:rsidR="00A13474" w:rsidRPr="004B6BC2">
        <w:t> </w:t>
      </w:r>
      <w:r w:rsidRPr="004B6BC2">
        <w:t>CMR</w:t>
      </w:r>
      <w:r w:rsidRPr="004B6BC2">
        <w:noBreakHyphen/>
        <w:t>23 ainsi que du rapport de la Réunion de préparation à la Conférence et compte dûment tenu des besoins des services existants ou futurs dans les bandes de fréquences considérées, examiner les points suivants et prendre les mesures appropriées:</w:t>
      </w:r>
    </w:p>
    <w:p w14:paraId="5F01F3EF" w14:textId="2C13ACAE" w:rsidR="00C83486" w:rsidRPr="004B6BC2" w:rsidRDefault="00C83486" w:rsidP="007E1BCB">
      <w:r w:rsidRPr="004B6BC2">
        <w:t>...</w:t>
      </w:r>
    </w:p>
    <w:p w14:paraId="3119166C" w14:textId="6BFA0C5C" w:rsidR="00C83486" w:rsidRPr="004B6BC2" w:rsidRDefault="00C83486" w:rsidP="00D52932">
      <w:r w:rsidRPr="004B6BC2">
        <w:t>1.x</w:t>
      </w:r>
      <w:r w:rsidRPr="004B6BC2">
        <w:tab/>
        <w:t xml:space="preserve">étudier, </w:t>
      </w:r>
      <w:r w:rsidR="00F30B92" w:rsidRPr="004B6BC2">
        <w:t xml:space="preserve">examiner </w:t>
      </w:r>
      <w:r w:rsidR="00403003" w:rsidRPr="004B6BC2">
        <w:t>et</w:t>
      </w:r>
      <w:r w:rsidRPr="004B6BC2">
        <w:t xml:space="preserve"> mettre à jour, selon qu</w:t>
      </w:r>
      <w:r w:rsidR="00A44BB8" w:rsidRPr="004B6BC2">
        <w:t>'</w:t>
      </w:r>
      <w:r w:rsidRPr="004B6BC2">
        <w:t xml:space="preserve">il conviendra, les dispositions réglementaires </w:t>
      </w:r>
      <w:r w:rsidR="00F30B92" w:rsidRPr="004B6BC2">
        <w:t xml:space="preserve">relatives </w:t>
      </w:r>
      <w:r w:rsidRPr="004B6BC2">
        <w:t xml:space="preserve">à la protection des réseaux à satellite </w:t>
      </w:r>
      <w:r w:rsidR="00403003" w:rsidRPr="004B6BC2">
        <w:t xml:space="preserve">du </w:t>
      </w:r>
      <w:r w:rsidRPr="004B6BC2">
        <w:t>SFS et du SRS</w:t>
      </w:r>
      <w:r w:rsidR="00403003" w:rsidRPr="004B6BC2">
        <w:t xml:space="preserve"> OSG</w:t>
      </w:r>
      <w:r w:rsidRPr="004B6BC2">
        <w:t xml:space="preserve"> contre les brouillages inacceptables causés par les systèmes du SFS </w:t>
      </w:r>
      <w:r w:rsidR="00403003" w:rsidRPr="004B6BC2">
        <w:t xml:space="preserve">non OSG </w:t>
      </w:r>
      <w:r w:rsidRPr="004B6BC2">
        <w:t xml:space="preserve">dans </w:t>
      </w:r>
      <w:r w:rsidR="00403003" w:rsidRPr="004B6BC2">
        <w:t xml:space="preserve">les </w:t>
      </w:r>
      <w:r w:rsidRPr="004B6BC2">
        <w:t xml:space="preserve">bandes de fréquences </w:t>
      </w:r>
      <w:r w:rsidR="00403003" w:rsidRPr="004B6BC2">
        <w:t xml:space="preserve">au-dessous de </w:t>
      </w:r>
      <w:r w:rsidRPr="004B6BC2">
        <w:t>30</w:t>
      </w:r>
      <w:r w:rsidR="00403003" w:rsidRPr="004B6BC2">
        <w:t> </w:t>
      </w:r>
      <w:r w:rsidRPr="004B6BC2">
        <w:t>GHz dans lesquelles les limites d</w:t>
      </w:r>
      <w:r w:rsidR="00A44BB8" w:rsidRPr="004B6BC2">
        <w:t>'</w:t>
      </w:r>
      <w:r w:rsidRPr="004B6BC2">
        <w:t>epfd de</w:t>
      </w:r>
      <w:r w:rsidR="00F30B92" w:rsidRPr="004B6BC2">
        <w:t xml:space="preserve"> indiquées dans </w:t>
      </w:r>
      <w:r w:rsidRPr="004B6BC2">
        <w:t>l</w:t>
      </w:r>
      <w:r w:rsidR="00A44BB8" w:rsidRPr="004B6BC2">
        <w:t>'</w:t>
      </w:r>
      <w:r w:rsidRPr="004B6BC2">
        <w:t xml:space="preserve">Article </w:t>
      </w:r>
      <w:r w:rsidRPr="004B6BC2">
        <w:rPr>
          <w:b/>
          <w:bCs/>
        </w:rPr>
        <w:t>22</w:t>
      </w:r>
      <w:r w:rsidRPr="004B6BC2">
        <w:t xml:space="preserve"> s</w:t>
      </w:r>
      <w:r w:rsidR="00A44BB8" w:rsidRPr="004B6BC2">
        <w:t>'</w:t>
      </w:r>
      <w:r w:rsidRPr="004B6BC2">
        <w:t>appliquent, et mettre en</w:t>
      </w:r>
      <w:r w:rsidR="006A4D07" w:rsidRPr="004B6BC2">
        <w:t> </w:t>
      </w:r>
      <w:r w:rsidRPr="004B6BC2">
        <w:t xml:space="preserve">œuvre ces dispositions conformément à la Résolution </w:t>
      </w:r>
      <w:r w:rsidR="00403003" w:rsidRPr="004B6BC2">
        <w:rPr>
          <w:b/>
          <w:bCs/>
        </w:rPr>
        <w:t>[BDI/CME/CAF/COG/GAB/GNE/MDG</w:t>
      </w:r>
      <w:r w:rsidR="00593C7E">
        <w:rPr>
          <w:b/>
          <w:bCs/>
        </w:rPr>
        <w:t>/NIG</w:t>
      </w:r>
      <w:r w:rsidR="00403003" w:rsidRPr="004B6BC2">
        <w:rPr>
          <w:b/>
          <w:bCs/>
        </w:rPr>
        <w:t>/COD/STP/TCD-EPFD REVISION]</w:t>
      </w:r>
      <w:r w:rsidRPr="004B6BC2">
        <w:rPr>
          <w:b/>
          <w:bCs/>
        </w:rPr>
        <w:t xml:space="preserve"> (CMR-23)</w:t>
      </w:r>
      <w:r w:rsidR="00403003" w:rsidRPr="004B6BC2">
        <w:t>;</w:t>
      </w:r>
    </w:p>
    <w:p w14:paraId="7BE13409" w14:textId="43263C61" w:rsidR="00403003" w:rsidRPr="004B6BC2" w:rsidRDefault="00403003" w:rsidP="00D52932">
      <w:r w:rsidRPr="004B6BC2">
        <w:t>…</w:t>
      </w:r>
    </w:p>
    <w:p w14:paraId="2A7DF6AA" w14:textId="48F944C1" w:rsidR="00C83486" w:rsidRPr="004B6BC2" w:rsidRDefault="00C83486" w:rsidP="007E1BCB">
      <w:pPr>
        <w:pStyle w:val="Call"/>
        <w:rPr>
          <w:lang w:eastAsia="en-GB"/>
        </w:rPr>
      </w:pPr>
      <w:r w:rsidRPr="004B6BC2">
        <w:lastRenderedPageBreak/>
        <w:t>invite le Conseil de l</w:t>
      </w:r>
      <w:r w:rsidR="00A44BB8" w:rsidRPr="004B6BC2">
        <w:t>'</w:t>
      </w:r>
      <w:r w:rsidRPr="004B6BC2">
        <w:t>UIT</w:t>
      </w:r>
    </w:p>
    <w:p w14:paraId="3D6CB1E6" w14:textId="3CD0E871" w:rsidR="00C83486" w:rsidRPr="004B6BC2" w:rsidRDefault="00C83486" w:rsidP="007E1BCB">
      <w:r w:rsidRPr="004B6BC2">
        <w:t>à arrêter définitivement l</w:t>
      </w:r>
      <w:r w:rsidR="00A44BB8" w:rsidRPr="004B6BC2">
        <w:t>'</w:t>
      </w:r>
      <w:r w:rsidRPr="004B6BC2">
        <w:t>ordre du jour, à prendre les dispositions nécessaires en vue de la convocation de la CMR-27 et à engager dès que possible les consultations nécessaires avec les États Membres,</w:t>
      </w:r>
    </w:p>
    <w:p w14:paraId="0DF18BBD" w14:textId="77777777" w:rsidR="00C83486" w:rsidRPr="004B6BC2" w:rsidRDefault="00C83486" w:rsidP="007E1BCB">
      <w:pPr>
        <w:pStyle w:val="Call"/>
        <w:rPr>
          <w:lang w:eastAsia="en-GB"/>
        </w:rPr>
      </w:pPr>
      <w:r w:rsidRPr="004B6BC2">
        <w:t>charge le Directeur du Bureau des radiocommunications</w:t>
      </w:r>
    </w:p>
    <w:p w14:paraId="068A9A92" w14:textId="31C71A49" w:rsidR="00C83486" w:rsidRPr="004B6BC2" w:rsidRDefault="00C83486" w:rsidP="007E1BCB">
      <w:r w:rsidRPr="004B6BC2">
        <w:t>1</w:t>
      </w:r>
      <w:r w:rsidRPr="004B6BC2">
        <w:tab/>
        <w:t>de prendre les dispositions voulues pour la convocation des sessions de la Réunion de préparation à la Conférence (RPC) et d</w:t>
      </w:r>
      <w:r w:rsidR="00A44BB8" w:rsidRPr="004B6BC2">
        <w:t>'</w:t>
      </w:r>
      <w:r w:rsidRPr="004B6BC2">
        <w:t>élaborer un rapport à l</w:t>
      </w:r>
      <w:r w:rsidR="00A44BB8" w:rsidRPr="004B6BC2">
        <w:t>'</w:t>
      </w:r>
      <w:r w:rsidRPr="004B6BC2">
        <w:t>intention de la CMR-27;</w:t>
      </w:r>
    </w:p>
    <w:p w14:paraId="0E587C67" w14:textId="1E504A3B" w:rsidR="00C83486" w:rsidRPr="004B6BC2" w:rsidRDefault="00C83486" w:rsidP="007E1BCB">
      <w:r w:rsidRPr="004B6BC2">
        <w:t>2</w:t>
      </w:r>
      <w:r w:rsidRPr="004B6BC2">
        <w:tab/>
        <w:t>de soumettre à la seconde session de la RPC un projet du rapport sur les difficultés rencontrées ou les incohérences constatées dans l</w:t>
      </w:r>
      <w:r w:rsidR="00A44BB8" w:rsidRPr="004B6BC2">
        <w:t>'</w:t>
      </w:r>
      <w:r w:rsidRPr="004B6BC2">
        <w:t>application du Règlement des radiocommunications dont il est question au point 9.2 de l</w:t>
      </w:r>
      <w:r w:rsidR="00A44BB8" w:rsidRPr="004B6BC2">
        <w:t>'</w:t>
      </w:r>
      <w:r w:rsidRPr="004B6BC2">
        <w:t>ordre du jour et de soumettre le rapport final au moins cinq mois avant la CMR suivante,</w:t>
      </w:r>
    </w:p>
    <w:p w14:paraId="73A93915" w14:textId="77777777" w:rsidR="00C83486" w:rsidRPr="004B6BC2" w:rsidRDefault="00C83486" w:rsidP="007E1BCB">
      <w:pPr>
        <w:pStyle w:val="Call"/>
        <w:rPr>
          <w:lang w:eastAsia="en-GB"/>
        </w:rPr>
      </w:pPr>
      <w:r w:rsidRPr="004B6BC2">
        <w:t>charge le Secrétaire général</w:t>
      </w:r>
    </w:p>
    <w:p w14:paraId="3DFFC747" w14:textId="77777777" w:rsidR="00C83486" w:rsidRPr="004B6BC2" w:rsidRDefault="00C83486" w:rsidP="007E1BCB">
      <w:r w:rsidRPr="004B6BC2">
        <w:t>de communiquer la présente Résolution aux organisations internationales ou régionales concernées.</w:t>
      </w:r>
    </w:p>
    <w:p w14:paraId="188CB0F5" w14:textId="7471B90E" w:rsidR="00C83486" w:rsidRPr="004B6BC2" w:rsidRDefault="00C83486" w:rsidP="00D52932">
      <w:pPr>
        <w:pStyle w:val="Reasons"/>
      </w:pPr>
      <w:r w:rsidRPr="004B6BC2">
        <w:rPr>
          <w:b/>
        </w:rPr>
        <w:t>Motifs:</w:t>
      </w:r>
      <w:r w:rsidRPr="004B6BC2">
        <w:tab/>
        <w:t xml:space="preserve">Procéder à des études </w:t>
      </w:r>
      <w:r w:rsidR="00403003" w:rsidRPr="004B6BC2">
        <w:t xml:space="preserve">urgentes </w:t>
      </w:r>
      <w:r w:rsidRPr="004B6BC2">
        <w:t>en vue d</w:t>
      </w:r>
      <w:r w:rsidR="00A44BB8" w:rsidRPr="004B6BC2">
        <w:t>'</w:t>
      </w:r>
      <w:r w:rsidRPr="004B6BC2">
        <w:t xml:space="preserve">examiner et de réviser, </w:t>
      </w:r>
      <w:r w:rsidR="00F30B92" w:rsidRPr="004B6BC2">
        <w:t xml:space="preserve">selon </w:t>
      </w:r>
      <w:r w:rsidRPr="004B6BC2">
        <w:t>le cas, les dispositions réglementaires</w:t>
      </w:r>
      <w:r w:rsidR="00F30B92" w:rsidRPr="004B6BC2">
        <w:t xml:space="preserve"> relatives</w:t>
      </w:r>
      <w:r w:rsidRPr="004B6BC2">
        <w:t xml:space="preserve"> à la protection des réseaux du SFS et du SRS OSG contre les brouillages inacceptables causés par les systèmes du SFS non OSG dans les bandes de fréquences au</w:t>
      </w:r>
      <w:r w:rsidRPr="004B6BC2">
        <w:noBreakHyphen/>
        <w:t xml:space="preserve">dessous de 30 GHz dans lesquelles les limites de puissance surfacique équivalente </w:t>
      </w:r>
      <w:r w:rsidR="00F30B92" w:rsidRPr="004B6BC2">
        <w:t xml:space="preserve">indiquées dans </w:t>
      </w:r>
      <w:r w:rsidR="00B963FE" w:rsidRPr="004B6BC2">
        <w:t>l</w:t>
      </w:r>
      <w:r w:rsidR="00A44BB8" w:rsidRPr="004B6BC2">
        <w:t>'</w:t>
      </w:r>
      <w:r w:rsidRPr="004B6BC2">
        <w:t>Article </w:t>
      </w:r>
      <w:r w:rsidRPr="004B6BC2">
        <w:rPr>
          <w:b/>
          <w:bCs/>
        </w:rPr>
        <w:t>22</w:t>
      </w:r>
      <w:r w:rsidRPr="004B6BC2">
        <w:t xml:space="preserve"> s</w:t>
      </w:r>
      <w:r w:rsidR="00A44BB8" w:rsidRPr="004B6BC2">
        <w:t>'</w:t>
      </w:r>
      <w:r w:rsidRPr="004B6BC2">
        <w:t>appliquent.</w:t>
      </w:r>
    </w:p>
    <w:p w14:paraId="3DDF6589" w14:textId="1C12C987" w:rsidR="00C83486" w:rsidRPr="00D52932" w:rsidRDefault="00C83486" w:rsidP="007E1BCB">
      <w:pPr>
        <w:pStyle w:val="Proposal"/>
      </w:pPr>
      <w:r w:rsidRPr="004B6BC2">
        <w:t>ADD</w:t>
      </w:r>
      <w:r w:rsidRPr="004B6BC2">
        <w:tab/>
        <w:t>BDI/CME/CAF/COG/GAB/</w:t>
      </w:r>
      <w:r w:rsidRPr="00D52932">
        <w:t>GNE/MDG/</w:t>
      </w:r>
      <w:r w:rsidR="00593C7E" w:rsidRPr="00D52932">
        <w:t>NIG/</w:t>
      </w:r>
      <w:r w:rsidRPr="00D52932">
        <w:t>COD/STP/TCD/158/2</w:t>
      </w:r>
    </w:p>
    <w:p w14:paraId="3E471DD9" w14:textId="47367385" w:rsidR="00C83486" w:rsidRPr="004B6BC2" w:rsidRDefault="00C83486" w:rsidP="00D52932">
      <w:pPr>
        <w:pStyle w:val="ResNo"/>
      </w:pPr>
      <w:r w:rsidRPr="00D52932">
        <w:t>Projet de nouvelle Résolution [BDI/CME/CAF/COG/GAB/GNE/MDG</w:t>
      </w:r>
      <w:r w:rsidR="00593C7E" w:rsidRPr="00D52932">
        <w:t>/</w:t>
      </w:r>
      <w:r w:rsidR="00D52932" w:rsidRPr="00D52932">
        <w:t>NIG/</w:t>
      </w:r>
      <w:r w:rsidRPr="00D52932">
        <w:t>COD</w:t>
      </w:r>
      <w:r w:rsidR="00593C7E" w:rsidRPr="00D52932">
        <w:t>/</w:t>
      </w:r>
      <w:r w:rsidRPr="00D52932">
        <w:t>STP</w:t>
      </w:r>
      <w:r w:rsidRPr="004B6BC2">
        <w:t>/TCD-epfd</w:t>
      </w:r>
      <w:r w:rsidR="002607C5" w:rsidRPr="004B6BC2">
        <w:t xml:space="preserve"> </w:t>
      </w:r>
      <w:r w:rsidR="002607C5" w:rsidRPr="004B6BC2">
        <w:br/>
        <w:t>REVISION</w:t>
      </w:r>
      <w:r w:rsidRPr="004B6BC2">
        <w:t>] (cmr-23)</w:t>
      </w:r>
    </w:p>
    <w:p w14:paraId="2A31154C" w14:textId="6208FB31" w:rsidR="00487B09" w:rsidRPr="004B6BC2" w:rsidRDefault="00EC5A72" w:rsidP="00D52932">
      <w:pPr>
        <w:pStyle w:val="Restitle"/>
      </w:pPr>
      <w:r w:rsidRPr="004B6BC2">
        <w:t xml:space="preserve">Examen et mise à jour </w:t>
      </w:r>
      <w:r w:rsidR="00487B09" w:rsidRPr="004B6BC2">
        <w:t xml:space="preserve">des dispositions réglementaires </w:t>
      </w:r>
      <w:r w:rsidR="004B6877" w:rsidRPr="004B6BC2">
        <w:t>applicables</w:t>
      </w:r>
      <w:r w:rsidR="00487B09" w:rsidRPr="004B6BC2">
        <w:t xml:space="preserve"> à la</w:t>
      </w:r>
      <w:r w:rsidR="006A4D07" w:rsidRPr="004B6BC2">
        <w:t xml:space="preserve"> </w:t>
      </w:r>
      <w:r w:rsidR="00487B09" w:rsidRPr="004B6BC2">
        <w:t xml:space="preserve">protection des réseaux </w:t>
      </w:r>
      <w:r w:rsidR="00F30B92" w:rsidRPr="004B6BC2">
        <w:t xml:space="preserve">à satellite géostationnaire </w:t>
      </w:r>
      <w:r w:rsidR="00487B09" w:rsidRPr="004B6BC2">
        <w:t>du service fixe par</w:t>
      </w:r>
      <w:r w:rsidR="006A4D07" w:rsidRPr="004B6BC2">
        <w:t xml:space="preserve"> </w:t>
      </w:r>
      <w:r w:rsidR="00487B09" w:rsidRPr="004B6BC2">
        <w:t>satellite</w:t>
      </w:r>
      <w:r w:rsidR="006A4D07" w:rsidRPr="004B6BC2">
        <w:br/>
      </w:r>
      <w:r w:rsidR="00487B09" w:rsidRPr="004B6BC2">
        <w:t>et du service de radiodiffusion par satellite contre les</w:t>
      </w:r>
      <w:r w:rsidR="006A4D07" w:rsidRPr="004B6BC2">
        <w:t xml:space="preserve"> </w:t>
      </w:r>
      <w:r w:rsidR="00487B09" w:rsidRPr="004B6BC2">
        <w:t>brouillages inacceptables</w:t>
      </w:r>
      <w:r w:rsidR="006A4D07" w:rsidRPr="004B6BC2">
        <w:br/>
      </w:r>
      <w:r w:rsidR="00487B09" w:rsidRPr="004B6BC2">
        <w:t xml:space="preserve">causés par des systèmes à satellites </w:t>
      </w:r>
      <w:r w:rsidR="002607C5" w:rsidRPr="004B6BC2">
        <w:t xml:space="preserve">non géostationnaires </w:t>
      </w:r>
      <w:r w:rsidR="000542FF" w:rsidRPr="004B6BC2">
        <w:t>du service fixe par</w:t>
      </w:r>
      <w:r w:rsidR="006A4D07" w:rsidRPr="004B6BC2">
        <w:br/>
      </w:r>
      <w:r w:rsidR="000542FF" w:rsidRPr="004B6BC2">
        <w:t xml:space="preserve">satellite </w:t>
      </w:r>
      <w:r w:rsidR="00487B09" w:rsidRPr="004B6BC2">
        <w:t xml:space="preserve">dans </w:t>
      </w:r>
      <w:r w:rsidRPr="004B6BC2">
        <w:t>les</w:t>
      </w:r>
      <w:r w:rsidR="00487B09" w:rsidRPr="004B6BC2">
        <w:t xml:space="preserve"> bandes de fréquences</w:t>
      </w:r>
      <w:r w:rsidRPr="004B6BC2">
        <w:t xml:space="preserve"> au-dessous de </w:t>
      </w:r>
      <w:r w:rsidR="00487B09" w:rsidRPr="004B6BC2">
        <w:t>30</w:t>
      </w:r>
      <w:r w:rsidRPr="004B6BC2">
        <w:t> </w:t>
      </w:r>
      <w:r w:rsidR="00487B09" w:rsidRPr="004B6BC2">
        <w:t>GHz dans lesquelles</w:t>
      </w:r>
      <w:r w:rsidR="006A4D07" w:rsidRPr="004B6BC2">
        <w:br/>
      </w:r>
      <w:r w:rsidR="00487B09" w:rsidRPr="004B6BC2">
        <w:t>les</w:t>
      </w:r>
      <w:r w:rsidRPr="004B6BC2">
        <w:t xml:space="preserve"> </w:t>
      </w:r>
      <w:r w:rsidR="00487B09" w:rsidRPr="004B6BC2">
        <w:t>limites de puissance surfacique équivalente</w:t>
      </w:r>
      <w:r w:rsidR="002607C5" w:rsidRPr="004B6BC2">
        <w:t xml:space="preserve"> </w:t>
      </w:r>
      <w:r w:rsidR="00487B09" w:rsidRPr="004B6BC2">
        <w:t>de l</w:t>
      </w:r>
      <w:r w:rsidR="00A44BB8" w:rsidRPr="004B6BC2">
        <w:t>'</w:t>
      </w:r>
      <w:r w:rsidR="00487B09" w:rsidRPr="004B6BC2">
        <w:t>Article 22 s</w:t>
      </w:r>
      <w:r w:rsidR="00A44BB8" w:rsidRPr="004B6BC2">
        <w:t>'</w:t>
      </w:r>
      <w:r w:rsidR="00487B09" w:rsidRPr="004B6BC2">
        <w:t>appliquent</w:t>
      </w:r>
    </w:p>
    <w:p w14:paraId="380AC041" w14:textId="77777777" w:rsidR="00487B09" w:rsidRPr="004B6BC2" w:rsidRDefault="00487B09" w:rsidP="007E1BCB">
      <w:pPr>
        <w:pStyle w:val="Normalaftertitle"/>
        <w:rPr>
          <w:lang w:eastAsia="en-GB"/>
        </w:rPr>
      </w:pPr>
      <w:r w:rsidRPr="004B6BC2">
        <w:t>La Conférence mondiale des radiocommunications (Dubaï, 2023),</w:t>
      </w:r>
    </w:p>
    <w:p w14:paraId="0F7E4792" w14:textId="77777777" w:rsidR="00487B09" w:rsidRPr="004B6BC2" w:rsidRDefault="00487B09" w:rsidP="007E1BCB">
      <w:pPr>
        <w:pStyle w:val="Call"/>
      </w:pPr>
      <w:r w:rsidRPr="004B6BC2">
        <w:t>considérant</w:t>
      </w:r>
    </w:p>
    <w:p w14:paraId="7A8C6A3A" w14:textId="423172DF" w:rsidR="00487B09" w:rsidRPr="004B6BC2" w:rsidRDefault="00487B09" w:rsidP="00D52932">
      <w:r w:rsidRPr="004B6BC2">
        <w:rPr>
          <w:i/>
          <w:iCs/>
        </w:rPr>
        <w:t>a)</w:t>
      </w:r>
      <w:r w:rsidRPr="004B6BC2">
        <w:tab/>
        <w:t>que les systèmes fondés sur l</w:t>
      </w:r>
      <w:r w:rsidR="00A44BB8" w:rsidRPr="004B6BC2">
        <w:t>'</w:t>
      </w:r>
      <w:r w:rsidRPr="004B6BC2">
        <w:t>utilisation de nouvelles technologies associés à la fois aux réseaux</w:t>
      </w:r>
      <w:r w:rsidR="000542FF" w:rsidRPr="004B6BC2">
        <w:t xml:space="preserve"> à satellite géostationnaire (OSG) </w:t>
      </w:r>
      <w:r w:rsidRPr="004B6BC2">
        <w:t>du service fixe par satellite (SFS) et du service de radiodiffusion par satellite (SRS) et aux constellations de satellites non géostationnaire</w:t>
      </w:r>
      <w:r w:rsidR="000542FF" w:rsidRPr="004B6BC2">
        <w:t>s</w:t>
      </w:r>
      <w:r w:rsidRPr="004B6BC2">
        <w:t xml:space="preserve"> (non OSG) du SFS dans les bandes de fréquences inférieures à 30 GHz dans lesquelles les limites de puissance surfacique équivalente (epfd) établies dans l</w:t>
      </w:r>
      <w:r w:rsidR="00A44BB8" w:rsidRPr="004B6BC2">
        <w:t>'</w:t>
      </w:r>
      <w:r w:rsidRPr="004B6BC2">
        <w:t xml:space="preserve">Article </w:t>
      </w:r>
      <w:r w:rsidRPr="004B6BC2">
        <w:rPr>
          <w:b/>
          <w:bCs/>
        </w:rPr>
        <w:t>22</w:t>
      </w:r>
      <w:r w:rsidRPr="004B6BC2">
        <w:t xml:space="preserve"> s</w:t>
      </w:r>
      <w:r w:rsidR="00A44BB8" w:rsidRPr="004B6BC2">
        <w:t>'</w:t>
      </w:r>
      <w:r w:rsidRPr="004B6BC2">
        <w:t xml:space="preserve">appliquent </w:t>
      </w:r>
      <w:r w:rsidR="000542FF" w:rsidRPr="004B6BC2">
        <w:t>permettent d</w:t>
      </w:r>
      <w:r w:rsidR="00A44BB8" w:rsidRPr="004B6BC2">
        <w:t>'</w:t>
      </w:r>
      <w:r w:rsidR="000542FF" w:rsidRPr="004B6BC2">
        <w:t>offrir</w:t>
      </w:r>
      <w:r w:rsidRPr="004B6BC2">
        <w:t xml:space="preserve"> des moyens de communication de grande capacité dans les régions rurales et isolées </w:t>
      </w:r>
      <w:r w:rsidR="000542FF" w:rsidRPr="004B6BC2">
        <w:t>du</w:t>
      </w:r>
      <w:r w:rsidRPr="004B6BC2">
        <w:t xml:space="preserve"> monde</w:t>
      </w:r>
      <w:r w:rsidR="00EC5A72" w:rsidRPr="004B6BC2">
        <w:t xml:space="preserve"> afin d</w:t>
      </w:r>
      <w:r w:rsidR="00A44BB8" w:rsidRPr="004B6BC2">
        <w:t>'</w:t>
      </w:r>
      <w:r w:rsidR="00EC5A72" w:rsidRPr="004B6BC2">
        <w:t>assurer la connectivité dans ces régions</w:t>
      </w:r>
      <w:r w:rsidRPr="004B6BC2">
        <w:t>;</w:t>
      </w:r>
    </w:p>
    <w:p w14:paraId="77D42A21" w14:textId="6B15503A" w:rsidR="00487B09" w:rsidRPr="004B6BC2" w:rsidRDefault="00487B09" w:rsidP="00D52932">
      <w:pPr>
        <w:rPr>
          <w:rFonts w:eastAsia="BatangChe"/>
        </w:rPr>
      </w:pPr>
      <w:r w:rsidRPr="004B6BC2">
        <w:rPr>
          <w:bCs/>
          <w:i/>
          <w:iCs/>
        </w:rPr>
        <w:lastRenderedPageBreak/>
        <w:t>b)</w:t>
      </w:r>
      <w:r w:rsidRPr="004B6BC2">
        <w:rPr>
          <w:bCs/>
        </w:rPr>
        <w:tab/>
      </w:r>
      <w:r w:rsidR="00E13D50" w:rsidRPr="004B6BC2">
        <w:rPr>
          <w:rFonts w:eastAsia="BatangChe"/>
        </w:rPr>
        <w:t>que les orbites de satellites OSG et non OSG ainsi que les bandes de fréquences associées constituent de précieuses ressources et qu</w:t>
      </w:r>
      <w:r w:rsidR="00A44BB8" w:rsidRPr="004B6BC2">
        <w:rPr>
          <w:rFonts w:eastAsia="BatangChe"/>
        </w:rPr>
        <w:t>'</w:t>
      </w:r>
      <w:r w:rsidR="00E13D50" w:rsidRPr="004B6BC2">
        <w:rPr>
          <w:rFonts w:eastAsia="BatangChe"/>
        </w:rPr>
        <w:t>il convient d</w:t>
      </w:r>
      <w:r w:rsidR="00A44BB8" w:rsidRPr="004B6BC2">
        <w:rPr>
          <w:rFonts w:eastAsia="BatangChe"/>
        </w:rPr>
        <w:t>'</w:t>
      </w:r>
      <w:r w:rsidR="00E13D50" w:rsidRPr="004B6BC2">
        <w:rPr>
          <w:rFonts w:eastAsia="BatangChe"/>
        </w:rPr>
        <w:t>assurer un accès équitable à ces ressources, dans l</w:t>
      </w:r>
      <w:r w:rsidR="00A44BB8" w:rsidRPr="004B6BC2">
        <w:rPr>
          <w:rFonts w:eastAsia="BatangChe"/>
        </w:rPr>
        <w:t>'</w:t>
      </w:r>
      <w:r w:rsidR="00E13D50" w:rsidRPr="004B6BC2">
        <w:rPr>
          <w:rFonts w:eastAsia="BatangChe"/>
        </w:rPr>
        <w:t>intérêt de tous les pays;</w:t>
      </w:r>
    </w:p>
    <w:p w14:paraId="5BB67183" w14:textId="3586FE96" w:rsidR="00487B09" w:rsidRPr="004B6BC2" w:rsidRDefault="00487B09" w:rsidP="00D52932">
      <w:r w:rsidRPr="004B6BC2">
        <w:rPr>
          <w:bCs/>
          <w:i/>
          <w:iCs/>
        </w:rPr>
        <w:t>c)</w:t>
      </w:r>
      <w:r w:rsidRPr="004B6BC2">
        <w:rPr>
          <w:bCs/>
          <w:i/>
          <w:iCs/>
        </w:rPr>
        <w:tab/>
      </w:r>
      <w:r w:rsidRPr="004B6BC2">
        <w:t>qu</w:t>
      </w:r>
      <w:r w:rsidR="00A44BB8" w:rsidRPr="004B6BC2">
        <w:t>'</w:t>
      </w:r>
      <w:r w:rsidRPr="004B6BC2">
        <w:t>il est nécessaire d</w:t>
      </w:r>
      <w:r w:rsidR="00A44BB8" w:rsidRPr="004B6BC2">
        <w:t>'</w:t>
      </w:r>
      <w:r w:rsidRPr="004B6BC2">
        <w:t>encourager le développement et la mise en œuvre de technologies OSG ou non OSG dans les bandes de fréquences inférieures à 30 GHz, conformément au numéro </w:t>
      </w:r>
      <w:r w:rsidRPr="004B6BC2">
        <w:rPr>
          <w:b/>
          <w:bCs/>
        </w:rPr>
        <w:t>5.484A</w:t>
      </w:r>
      <w:r w:rsidRPr="004B6BC2">
        <w:t>;</w:t>
      </w:r>
    </w:p>
    <w:p w14:paraId="012D9698" w14:textId="5C3DA9AC" w:rsidR="00487B09" w:rsidRPr="004B6BC2" w:rsidRDefault="00487B09" w:rsidP="007E1BCB">
      <w:r w:rsidRPr="004B6BC2">
        <w:rPr>
          <w:bCs/>
          <w:i/>
          <w:iCs/>
        </w:rPr>
        <w:t>d)</w:t>
      </w:r>
      <w:r w:rsidRPr="004B6BC2">
        <w:rPr>
          <w:bCs/>
          <w:i/>
          <w:iCs/>
        </w:rPr>
        <w:tab/>
      </w:r>
      <w:r w:rsidR="00E13D50" w:rsidRPr="004B6BC2">
        <w:rPr>
          <w:bCs/>
        </w:rPr>
        <w:t>qu</w:t>
      </w:r>
      <w:r w:rsidR="00A44BB8" w:rsidRPr="004B6BC2">
        <w:rPr>
          <w:bCs/>
        </w:rPr>
        <w:t>'</w:t>
      </w:r>
      <w:r w:rsidR="00E13D50" w:rsidRPr="004B6BC2">
        <w:rPr>
          <w:bCs/>
        </w:rPr>
        <w:t>il</w:t>
      </w:r>
      <w:r w:rsidR="00E13D50" w:rsidRPr="004B6BC2">
        <w:rPr>
          <w:bCs/>
          <w:i/>
          <w:iCs/>
        </w:rPr>
        <w:t xml:space="preserve"> </w:t>
      </w:r>
      <w:r w:rsidRPr="004B6BC2">
        <w:t>est nécessaire de garantir l</w:t>
      </w:r>
      <w:r w:rsidR="00A44BB8" w:rsidRPr="004B6BC2">
        <w:t>'</w:t>
      </w:r>
      <w:r w:rsidRPr="004B6BC2">
        <w:t>utilisation efficace des ressources spectrales sur la même fréquence pour les systèmes du SFS non OSG et les réseaux du SFS et du SRS OSG;</w:t>
      </w:r>
    </w:p>
    <w:p w14:paraId="639BBF74" w14:textId="4190BEF7" w:rsidR="00487B09" w:rsidRPr="004B6BC2" w:rsidRDefault="00487B09" w:rsidP="007E1BCB">
      <w:pPr>
        <w:rPr>
          <w:bCs/>
        </w:rPr>
      </w:pPr>
      <w:r w:rsidRPr="004B6BC2">
        <w:rPr>
          <w:bCs/>
          <w:i/>
          <w:iCs/>
        </w:rPr>
        <w:t>e)</w:t>
      </w:r>
      <w:r w:rsidRPr="004B6BC2">
        <w:rPr>
          <w:bCs/>
          <w:i/>
          <w:iCs/>
        </w:rPr>
        <w:tab/>
      </w:r>
      <w:r w:rsidR="00E13D50" w:rsidRPr="004B6BC2">
        <w:rPr>
          <w:bCs/>
        </w:rPr>
        <w:t>que l</w:t>
      </w:r>
      <w:r w:rsidR="00A44BB8" w:rsidRPr="004B6BC2">
        <w:rPr>
          <w:bCs/>
        </w:rPr>
        <w:t>'</w:t>
      </w:r>
      <w:r w:rsidR="00E13D50" w:rsidRPr="004B6BC2">
        <w:rPr>
          <w:bCs/>
        </w:rPr>
        <w:t xml:space="preserve">Article </w:t>
      </w:r>
      <w:r w:rsidR="00E13D50" w:rsidRPr="004B6BC2">
        <w:rPr>
          <w:b/>
        </w:rPr>
        <w:t>22</w:t>
      </w:r>
      <w:r w:rsidR="00E13D50" w:rsidRPr="004B6BC2">
        <w:rPr>
          <w:bCs/>
        </w:rPr>
        <w:t xml:space="preserve"> </w:t>
      </w:r>
      <w:r w:rsidR="00980B16" w:rsidRPr="004B6BC2">
        <w:rPr>
          <w:bCs/>
        </w:rPr>
        <w:t xml:space="preserve">renferme </w:t>
      </w:r>
      <w:r w:rsidR="00E13D50" w:rsidRPr="004B6BC2">
        <w:rPr>
          <w:bCs/>
        </w:rPr>
        <w:t xml:space="preserve">des dispositions visant à garantir la compatibilité </w:t>
      </w:r>
      <w:r w:rsidR="00980B16" w:rsidRPr="004B6BC2">
        <w:rPr>
          <w:bCs/>
        </w:rPr>
        <w:t xml:space="preserve">du fonctionnement </w:t>
      </w:r>
      <w:r w:rsidR="00321A68" w:rsidRPr="004B6BC2">
        <w:rPr>
          <w:bCs/>
        </w:rPr>
        <w:t>des</w:t>
      </w:r>
      <w:r w:rsidR="00E13D50" w:rsidRPr="004B6BC2">
        <w:rPr>
          <w:bCs/>
        </w:rPr>
        <w:t xml:space="preserve"> systèmes du SFS non OSG et </w:t>
      </w:r>
      <w:r w:rsidR="00321A68" w:rsidRPr="004B6BC2">
        <w:rPr>
          <w:bCs/>
        </w:rPr>
        <w:t xml:space="preserve">des </w:t>
      </w:r>
      <w:r w:rsidR="00E13D50" w:rsidRPr="004B6BC2">
        <w:rPr>
          <w:bCs/>
        </w:rPr>
        <w:t xml:space="preserve">réseaux du SFS et du SRS OSG dans les bandes de fréquences inférieures à 30 GHz, y compris les dispositions </w:t>
      </w:r>
      <w:r w:rsidR="004B6877" w:rsidRPr="004B6BC2">
        <w:rPr>
          <w:bCs/>
        </w:rPr>
        <w:t>applicables</w:t>
      </w:r>
      <w:r w:rsidR="00E13D50" w:rsidRPr="004B6BC2">
        <w:rPr>
          <w:bCs/>
        </w:rPr>
        <w:t xml:space="preserve"> aux limites de puissance surfacique équivalente (epfd↑, epfd↓ et epfd</w:t>
      </w:r>
      <w:r w:rsidR="00E13D50" w:rsidRPr="004B6BC2">
        <w:rPr>
          <w:bCs/>
          <w:vertAlign w:val="subscript"/>
        </w:rPr>
        <w:t>is</w:t>
      </w:r>
      <w:r w:rsidR="00E13D50" w:rsidRPr="004B6BC2">
        <w:rPr>
          <w:bCs/>
        </w:rPr>
        <w:t>) sur les liaisons montantes, les liaisons descendantes et les liaisons inter-satellites</w:t>
      </w:r>
      <w:r w:rsidRPr="004B6BC2">
        <w:rPr>
          <w:bCs/>
        </w:rPr>
        <w:t>; et</w:t>
      </w:r>
    </w:p>
    <w:p w14:paraId="0B506DE2" w14:textId="7690D882" w:rsidR="00E13D50" w:rsidRPr="004B6BC2" w:rsidRDefault="00487B09" w:rsidP="007E1BCB">
      <w:pPr>
        <w:rPr>
          <w:bCs/>
          <w:i/>
          <w:iCs/>
        </w:rPr>
      </w:pPr>
      <w:r w:rsidRPr="004B6BC2">
        <w:rPr>
          <w:bCs/>
          <w:i/>
          <w:iCs/>
        </w:rPr>
        <w:t>f)</w:t>
      </w:r>
      <w:r w:rsidRPr="004B6BC2">
        <w:rPr>
          <w:bCs/>
        </w:rPr>
        <w:tab/>
      </w:r>
      <w:r w:rsidR="00E13D50" w:rsidRPr="004B6BC2">
        <w:rPr>
          <w:bCs/>
        </w:rPr>
        <w:t>que, par sa Résolution 219 (Bucarest, 2022), la Conférence de plénipotentiaires de l</w:t>
      </w:r>
      <w:r w:rsidR="00A44BB8" w:rsidRPr="004B6BC2">
        <w:rPr>
          <w:bCs/>
        </w:rPr>
        <w:t>'</w:t>
      </w:r>
      <w:r w:rsidR="00E13D50" w:rsidRPr="004B6BC2">
        <w:rPr>
          <w:bCs/>
        </w:rPr>
        <w:t>UIT a chargé d</w:t>
      </w:r>
      <w:r w:rsidR="00A44BB8" w:rsidRPr="004B6BC2">
        <w:rPr>
          <w:bCs/>
        </w:rPr>
        <w:t>'</w:t>
      </w:r>
      <w:r w:rsidR="00E13D50" w:rsidRPr="004B6BC2">
        <w:rPr>
          <w:bCs/>
        </w:rPr>
        <w:t>urgence les commissions d</w:t>
      </w:r>
      <w:r w:rsidR="00A44BB8" w:rsidRPr="004B6BC2">
        <w:rPr>
          <w:bCs/>
        </w:rPr>
        <w:t>'</w:t>
      </w:r>
      <w:r w:rsidR="00E13D50" w:rsidRPr="004B6BC2">
        <w:rPr>
          <w:bCs/>
        </w:rPr>
        <w:t>études compétentes du Secteur des radiocommunications de l</w:t>
      </w:r>
      <w:r w:rsidR="00A44BB8" w:rsidRPr="004B6BC2">
        <w:rPr>
          <w:bCs/>
        </w:rPr>
        <w:t>'</w:t>
      </w:r>
      <w:r w:rsidR="00E13D50" w:rsidRPr="004B6BC2">
        <w:rPr>
          <w:bCs/>
        </w:rPr>
        <w:t>UIT (UIT-R) de procéder à des études sur la question de l</w:t>
      </w:r>
      <w:r w:rsidR="00A44BB8" w:rsidRPr="004B6BC2">
        <w:rPr>
          <w:bCs/>
        </w:rPr>
        <w:t>'</w:t>
      </w:r>
      <w:r w:rsidR="00E13D50" w:rsidRPr="004B6BC2">
        <w:rPr>
          <w:bCs/>
        </w:rPr>
        <w:t>utilisation croissante des ressources que constituent le spectre des fréquences radioélectriques et les orbites associées sur les orbites non</w:t>
      </w:r>
      <w:r w:rsidR="00A44BB8" w:rsidRPr="004B6BC2">
        <w:rPr>
          <w:bCs/>
        </w:rPr>
        <w:t> </w:t>
      </w:r>
      <w:r w:rsidR="00E13D50" w:rsidRPr="004B6BC2">
        <w:rPr>
          <w:bCs/>
        </w:rPr>
        <w:t>OSG, ainsi que sur l</w:t>
      </w:r>
      <w:r w:rsidR="00A44BB8" w:rsidRPr="004B6BC2">
        <w:rPr>
          <w:bCs/>
        </w:rPr>
        <w:t>'</w:t>
      </w:r>
      <w:r w:rsidR="00E13D50" w:rsidRPr="004B6BC2">
        <w:rPr>
          <w:bCs/>
        </w:rPr>
        <w:t>accès équitable aux ressources que sont le spectre et les orbites OSG et non</w:t>
      </w:r>
      <w:r w:rsidR="00A44BB8" w:rsidRPr="004B6BC2">
        <w:rPr>
          <w:bCs/>
        </w:rPr>
        <w:t> </w:t>
      </w:r>
      <w:r w:rsidR="00E13D50" w:rsidRPr="004B6BC2">
        <w:rPr>
          <w:bCs/>
        </w:rPr>
        <w:t>OSG et leur utilisation rationnelle et compatible, conformément aux objectifs de l</w:t>
      </w:r>
      <w:r w:rsidR="00A44BB8" w:rsidRPr="004B6BC2">
        <w:rPr>
          <w:bCs/>
        </w:rPr>
        <w:t>'</w:t>
      </w:r>
      <w:r w:rsidR="00E13D50" w:rsidRPr="004B6BC2">
        <w:rPr>
          <w:bCs/>
        </w:rPr>
        <w:t>article 44 de la Constitution</w:t>
      </w:r>
      <w:r w:rsidR="00A13474" w:rsidRPr="004B6BC2">
        <w:rPr>
          <w:bCs/>
        </w:rPr>
        <w:t>;</w:t>
      </w:r>
    </w:p>
    <w:p w14:paraId="77EBA9BA" w14:textId="16D1B5FD" w:rsidR="00487B09" w:rsidRPr="004B6BC2" w:rsidRDefault="00487B09" w:rsidP="007E1BCB">
      <w:pPr>
        <w:rPr>
          <w:bCs/>
        </w:rPr>
      </w:pPr>
      <w:r w:rsidRPr="004B6BC2">
        <w:rPr>
          <w:bCs/>
          <w:i/>
          <w:iCs/>
        </w:rPr>
        <w:t>g)</w:t>
      </w:r>
      <w:r w:rsidRPr="004B6BC2">
        <w:rPr>
          <w:bCs/>
        </w:rPr>
        <w:tab/>
      </w:r>
      <w:r w:rsidR="007F4B73" w:rsidRPr="004B6BC2">
        <w:rPr>
          <w:bCs/>
        </w:rPr>
        <w:t>que, selon l</w:t>
      </w:r>
      <w:r w:rsidR="00A44BB8" w:rsidRPr="004B6BC2">
        <w:rPr>
          <w:bCs/>
        </w:rPr>
        <w:t>'</w:t>
      </w:r>
      <w:r w:rsidR="007F4B73" w:rsidRPr="004B6BC2">
        <w:rPr>
          <w:bCs/>
        </w:rPr>
        <w:t>UIT, près de 2,7 milliards de personnes dans le monde ne sont toujours pas connectées, la connectivité universelle étant encore une perspective lointaine dans les pays les moins avancés et les pays en développement sans littoral où, en moyenne, 36% seulement de la population est connectée</w:t>
      </w:r>
      <w:r w:rsidRPr="004B6BC2">
        <w:rPr>
          <w:bCs/>
        </w:rPr>
        <w:t>;</w:t>
      </w:r>
    </w:p>
    <w:p w14:paraId="6CD0EB12" w14:textId="24CA277B" w:rsidR="00487B09" w:rsidRPr="004B6BC2" w:rsidRDefault="00487B09" w:rsidP="007E1BCB">
      <w:pPr>
        <w:rPr>
          <w:bCs/>
        </w:rPr>
      </w:pPr>
      <w:r w:rsidRPr="004B6BC2">
        <w:rPr>
          <w:bCs/>
          <w:i/>
          <w:iCs/>
        </w:rPr>
        <w:t>h)</w:t>
      </w:r>
      <w:r w:rsidRPr="004B6BC2">
        <w:rPr>
          <w:bCs/>
        </w:rPr>
        <w:tab/>
      </w:r>
      <w:r w:rsidR="007F4B73" w:rsidRPr="004B6BC2">
        <w:rPr>
          <w:bCs/>
        </w:rPr>
        <w:t>qu</w:t>
      </w:r>
      <w:r w:rsidR="00A44BB8" w:rsidRPr="004B6BC2">
        <w:rPr>
          <w:bCs/>
        </w:rPr>
        <w:t>'</w:t>
      </w:r>
      <w:r w:rsidR="007F4B73" w:rsidRPr="004B6BC2">
        <w:rPr>
          <w:bCs/>
        </w:rPr>
        <w:t xml:space="preserve">il ne reste que sept ans pour atteindre les Objectifs de développement durable (ODD) </w:t>
      </w:r>
      <w:r w:rsidR="00321A68" w:rsidRPr="004B6BC2">
        <w:rPr>
          <w:bCs/>
        </w:rPr>
        <w:t xml:space="preserve">fixés </w:t>
      </w:r>
      <w:r w:rsidR="007F4B73" w:rsidRPr="004B6BC2">
        <w:rPr>
          <w:bCs/>
        </w:rPr>
        <w:t>à l</w:t>
      </w:r>
      <w:r w:rsidR="00A44BB8" w:rsidRPr="004B6BC2">
        <w:rPr>
          <w:bCs/>
        </w:rPr>
        <w:t>'</w:t>
      </w:r>
      <w:r w:rsidR="007F4B73" w:rsidRPr="004B6BC2">
        <w:rPr>
          <w:bCs/>
        </w:rPr>
        <w:t>horizon 2030</w:t>
      </w:r>
      <w:r w:rsidRPr="004B6BC2">
        <w:rPr>
          <w:bCs/>
        </w:rPr>
        <w:t>;</w:t>
      </w:r>
    </w:p>
    <w:p w14:paraId="64FCC5D0" w14:textId="51A3D087" w:rsidR="00487B09" w:rsidRPr="004B6BC2" w:rsidRDefault="00487B09" w:rsidP="007E1BCB">
      <w:r w:rsidRPr="004B6BC2">
        <w:rPr>
          <w:bCs/>
          <w:i/>
          <w:iCs/>
        </w:rPr>
        <w:t>i)</w:t>
      </w:r>
      <w:r w:rsidRPr="004B6BC2">
        <w:rPr>
          <w:bCs/>
        </w:rPr>
        <w:tab/>
      </w:r>
      <w:r w:rsidR="007F4B73" w:rsidRPr="004B6BC2">
        <w:rPr>
          <w:bCs/>
        </w:rPr>
        <w:t>qu</w:t>
      </w:r>
      <w:r w:rsidR="006B3D07" w:rsidRPr="004B6BC2">
        <w:rPr>
          <w:bCs/>
        </w:rPr>
        <w:t>e</w:t>
      </w:r>
      <w:r w:rsidR="007F4B73" w:rsidRPr="004B6BC2">
        <w:rPr>
          <w:bCs/>
        </w:rPr>
        <w:t xml:space="preserve"> les systèmes du SFS non OSG </w:t>
      </w:r>
      <w:r w:rsidR="006B3D07" w:rsidRPr="004B6BC2">
        <w:rPr>
          <w:bCs/>
        </w:rPr>
        <w:t>bénéficieraient d</w:t>
      </w:r>
      <w:r w:rsidR="00A44BB8" w:rsidRPr="004B6BC2">
        <w:rPr>
          <w:bCs/>
        </w:rPr>
        <w:t>'</w:t>
      </w:r>
      <w:r w:rsidR="006B3D07" w:rsidRPr="004B6BC2">
        <w:rPr>
          <w:bCs/>
        </w:rPr>
        <w:t xml:space="preserve">un </w:t>
      </w:r>
      <w:r w:rsidR="007F4B73" w:rsidRPr="004B6BC2">
        <w:rPr>
          <w:bCs/>
        </w:rPr>
        <w:t xml:space="preserve">examen actualisé et de </w:t>
      </w:r>
      <w:r w:rsidR="006B3D07" w:rsidRPr="004B6BC2">
        <w:rPr>
          <w:bCs/>
        </w:rPr>
        <w:t xml:space="preserve">la définition des </w:t>
      </w:r>
      <w:r w:rsidR="007F4B73" w:rsidRPr="004B6BC2">
        <w:rPr>
          <w:bCs/>
        </w:rPr>
        <w:t xml:space="preserve">mesures à prendre pour protéger les réseaux à satellite </w:t>
      </w:r>
      <w:r w:rsidR="006B3D07" w:rsidRPr="004B6BC2">
        <w:rPr>
          <w:bCs/>
        </w:rPr>
        <w:t xml:space="preserve">du </w:t>
      </w:r>
      <w:r w:rsidR="007F4B73" w:rsidRPr="004B6BC2">
        <w:rPr>
          <w:bCs/>
        </w:rPr>
        <w:t xml:space="preserve">SFS et du SRS OSG conformément au numéro </w:t>
      </w:r>
      <w:r w:rsidR="007F4B73" w:rsidRPr="004B6BC2">
        <w:rPr>
          <w:b/>
        </w:rPr>
        <w:t>22.2</w:t>
      </w:r>
      <w:r w:rsidRPr="004B6BC2">
        <w:rPr>
          <w:bCs/>
        </w:rPr>
        <w:t>,</w:t>
      </w:r>
    </w:p>
    <w:p w14:paraId="690CB981" w14:textId="77777777" w:rsidR="00487B09" w:rsidRPr="004B6BC2" w:rsidRDefault="00487B09" w:rsidP="007E1BCB">
      <w:pPr>
        <w:pStyle w:val="Call"/>
      </w:pPr>
      <w:r w:rsidRPr="004B6BC2">
        <w:t>notant</w:t>
      </w:r>
    </w:p>
    <w:p w14:paraId="28356713" w14:textId="1A8FB5CF" w:rsidR="00487B09" w:rsidRPr="004B6BC2" w:rsidRDefault="00487B09" w:rsidP="00D52932">
      <w:r w:rsidRPr="004B6BC2">
        <w:t>que les Recommandations UIT-R 1432, UIT-R S.1323, UIT-R S.1325, UIT-R S.1328, UIT</w:t>
      </w:r>
      <w:r w:rsidR="00A13474" w:rsidRPr="004B6BC2">
        <w:noBreakHyphen/>
      </w:r>
      <w:r w:rsidRPr="004B6BC2">
        <w:t>R</w:t>
      </w:r>
      <w:r w:rsidR="00A13474" w:rsidRPr="004B6BC2">
        <w:t> </w:t>
      </w:r>
      <w:r w:rsidRPr="004B6BC2">
        <w:t>S.1529, UIT</w:t>
      </w:r>
      <w:r w:rsidRPr="004B6BC2">
        <w:noBreakHyphen/>
        <w:t>R S.1557 et UIT-R S.2131, notamment, fournissent des informations sur les caractéristiques des systèmes, les exigences opérationnelles et les critères de protection susceptibles d</w:t>
      </w:r>
      <w:r w:rsidR="00A44BB8" w:rsidRPr="004B6BC2">
        <w:t>'</w:t>
      </w:r>
      <w:r w:rsidRPr="004B6BC2">
        <w:t>être utilisés dans les études de partage,</w:t>
      </w:r>
    </w:p>
    <w:p w14:paraId="23C01C3F" w14:textId="77777777" w:rsidR="00487B09" w:rsidRPr="004B6BC2" w:rsidRDefault="00487B09" w:rsidP="00A13474">
      <w:pPr>
        <w:pStyle w:val="Call"/>
      </w:pPr>
      <w:r w:rsidRPr="004B6BC2">
        <w:t>reconnaissant</w:t>
      </w:r>
    </w:p>
    <w:p w14:paraId="1C085649" w14:textId="7807D9E9" w:rsidR="00487B09" w:rsidRPr="004B6BC2" w:rsidRDefault="00487B09" w:rsidP="00D52932">
      <w:r w:rsidRPr="004B6BC2">
        <w:rPr>
          <w:i/>
          <w:iCs/>
        </w:rPr>
        <w:t>a)</w:t>
      </w:r>
      <w:r w:rsidRPr="004B6BC2">
        <w:tab/>
        <w:t xml:space="preserve">que conformément au numéro </w:t>
      </w:r>
      <w:r w:rsidRPr="004B6BC2">
        <w:rPr>
          <w:b/>
          <w:bCs/>
        </w:rPr>
        <w:t>22.2</w:t>
      </w:r>
      <w:r w:rsidRPr="004B6BC2">
        <w:t xml:space="preserve">, les systèmes non </w:t>
      </w:r>
      <w:r w:rsidR="00321A68" w:rsidRPr="004B6BC2">
        <w:t xml:space="preserve">OSG </w:t>
      </w:r>
      <w:r w:rsidRPr="004B6BC2">
        <w:t xml:space="preserve">ne doivent pas causer de brouillages inacceptables aux réseaux </w:t>
      </w:r>
      <w:r w:rsidR="00321A68" w:rsidRPr="004B6BC2">
        <w:t>OSG</w:t>
      </w:r>
      <w:r w:rsidRPr="004B6BC2">
        <w:t xml:space="preserve"> du </w:t>
      </w:r>
      <w:r w:rsidR="00321A68" w:rsidRPr="004B6BC2">
        <w:t>SFS</w:t>
      </w:r>
      <w:r w:rsidR="006B3D07" w:rsidRPr="004B6BC2">
        <w:t xml:space="preserve"> </w:t>
      </w:r>
      <w:r w:rsidRPr="004B6BC2">
        <w:t>et du </w:t>
      </w:r>
      <w:r w:rsidR="00321A68" w:rsidRPr="004B6BC2">
        <w:t>SRS</w:t>
      </w:r>
      <w:r w:rsidRPr="004B6BC2">
        <w:t xml:space="preserve"> et ne doivent pas demander à bénéficier d</w:t>
      </w:r>
      <w:r w:rsidR="00A44BB8" w:rsidRPr="004B6BC2">
        <w:t>'</w:t>
      </w:r>
      <w:r w:rsidRPr="004B6BC2">
        <w:t>une protection vis-à-vis de ces réseaux;</w:t>
      </w:r>
    </w:p>
    <w:p w14:paraId="06E2E73E" w14:textId="14DD21BE" w:rsidR="00487B09" w:rsidRPr="004B6BC2" w:rsidRDefault="00487B09" w:rsidP="00D52932">
      <w:r w:rsidRPr="004B6BC2">
        <w:rPr>
          <w:bCs/>
          <w:i/>
          <w:iCs/>
        </w:rPr>
        <w:t>b)</w:t>
      </w:r>
      <w:r w:rsidRPr="004B6BC2">
        <w:rPr>
          <w:bCs/>
        </w:rPr>
        <w:tab/>
      </w:r>
      <w:r w:rsidRPr="004B6BC2">
        <w:t>que les limites d</w:t>
      </w:r>
      <w:r w:rsidR="00A44BB8" w:rsidRPr="004B6BC2">
        <w:t>'</w:t>
      </w:r>
      <w:r w:rsidRPr="004B6BC2">
        <w:t>epfd établies dans l</w:t>
      </w:r>
      <w:r w:rsidR="00A44BB8" w:rsidRPr="004B6BC2">
        <w:t>'</w:t>
      </w:r>
      <w:r w:rsidRPr="004B6BC2">
        <w:t xml:space="preserve">Article </w:t>
      </w:r>
      <w:r w:rsidRPr="004B6BC2">
        <w:rPr>
          <w:b/>
          <w:bCs/>
        </w:rPr>
        <w:t xml:space="preserve">22 </w:t>
      </w:r>
      <w:r w:rsidRPr="004B6BC2">
        <w:rPr>
          <w:bCs/>
        </w:rPr>
        <w:t xml:space="preserve">et dans la Résolution </w:t>
      </w:r>
      <w:r w:rsidRPr="004B6BC2">
        <w:rPr>
          <w:b/>
        </w:rPr>
        <w:t>76 (Rév.CMR-15)</w:t>
      </w:r>
      <w:r w:rsidRPr="004B6BC2">
        <w:rPr>
          <w:bCs/>
        </w:rPr>
        <w:t xml:space="preserve"> </w:t>
      </w:r>
      <w:r w:rsidRPr="004B6BC2">
        <w:t>s</w:t>
      </w:r>
      <w:r w:rsidR="00A44BB8" w:rsidRPr="004B6BC2">
        <w:t>'</w:t>
      </w:r>
      <w:r w:rsidRPr="004B6BC2">
        <w:t>appliquent aux systèmes du SFS non OSG afin de protéger les réseaux à satellite OSG du SFS et du SRS contre les brouillages inacceptables causés par des systèmes à satellites non OSG du SFS;</w:t>
      </w:r>
    </w:p>
    <w:p w14:paraId="49CDFC41" w14:textId="042221F8" w:rsidR="00487B09" w:rsidRPr="004B6BC2" w:rsidRDefault="00487B09" w:rsidP="00D52932">
      <w:pPr>
        <w:keepLines/>
        <w:rPr>
          <w:rFonts w:eastAsia="BatangChe"/>
          <w:szCs w:val="24"/>
        </w:rPr>
      </w:pPr>
      <w:r w:rsidRPr="004B6BC2">
        <w:rPr>
          <w:bCs/>
          <w:i/>
          <w:iCs/>
        </w:rPr>
        <w:lastRenderedPageBreak/>
        <w:t>c)</w:t>
      </w:r>
      <w:r w:rsidRPr="004B6BC2">
        <w:rPr>
          <w:bCs/>
        </w:rPr>
        <w:tab/>
      </w:r>
      <w:r w:rsidRPr="004B6BC2">
        <w:rPr>
          <w:szCs w:val="24"/>
        </w:rPr>
        <w:t>que la CMR-2000 a adopté des dispositions, y compris des limites d</w:t>
      </w:r>
      <w:r w:rsidR="00A44BB8" w:rsidRPr="004B6BC2">
        <w:rPr>
          <w:szCs w:val="24"/>
        </w:rPr>
        <w:t>'</w:t>
      </w:r>
      <w:r w:rsidRPr="004B6BC2">
        <w:rPr>
          <w:szCs w:val="24"/>
        </w:rPr>
        <w:t>epfd, dans les dispositions pertinentes du numéro</w:t>
      </w:r>
      <w:r w:rsidRPr="004B6BC2">
        <w:rPr>
          <w:b/>
          <w:bCs/>
          <w:szCs w:val="24"/>
        </w:rPr>
        <w:t xml:space="preserve"> 22.5</w:t>
      </w:r>
      <w:r w:rsidRPr="004B6BC2">
        <w:rPr>
          <w:szCs w:val="24"/>
        </w:rPr>
        <w:t xml:space="preserve"> visant à quantifier le contenu du numéro </w:t>
      </w:r>
      <w:r w:rsidRPr="004B6BC2">
        <w:rPr>
          <w:b/>
          <w:bCs/>
          <w:szCs w:val="24"/>
        </w:rPr>
        <w:t>22.2</w:t>
      </w:r>
      <w:r w:rsidRPr="004B6BC2">
        <w:rPr>
          <w:szCs w:val="24"/>
        </w:rPr>
        <w:t>, afin de protéger les réseaux à satellite OSG du SFS et du SRS vis-à-vis des systèmes à satellites non OSG du SFS dans les bandes de fréquences au-dessous de 30 GHz dans lesquelles les limites d</w:t>
      </w:r>
      <w:r w:rsidR="00A44BB8" w:rsidRPr="004B6BC2">
        <w:rPr>
          <w:szCs w:val="24"/>
        </w:rPr>
        <w:t>'</w:t>
      </w:r>
      <w:r w:rsidRPr="004B6BC2">
        <w:rPr>
          <w:szCs w:val="24"/>
        </w:rPr>
        <w:t>epfd de l</w:t>
      </w:r>
      <w:r w:rsidR="00A44BB8" w:rsidRPr="004B6BC2">
        <w:rPr>
          <w:szCs w:val="24"/>
        </w:rPr>
        <w:t>'</w:t>
      </w:r>
      <w:r w:rsidRPr="004B6BC2">
        <w:rPr>
          <w:szCs w:val="24"/>
        </w:rPr>
        <w:t>Article </w:t>
      </w:r>
      <w:r w:rsidRPr="004B6BC2">
        <w:rPr>
          <w:b/>
          <w:bCs/>
          <w:szCs w:val="24"/>
        </w:rPr>
        <w:t>22</w:t>
      </w:r>
      <w:r w:rsidRPr="004B6BC2">
        <w:rPr>
          <w:szCs w:val="24"/>
        </w:rPr>
        <w:t xml:space="preserve"> s</w:t>
      </w:r>
      <w:r w:rsidR="00A44BB8" w:rsidRPr="004B6BC2">
        <w:rPr>
          <w:szCs w:val="24"/>
        </w:rPr>
        <w:t>'</w:t>
      </w:r>
      <w:r w:rsidRPr="004B6BC2">
        <w:rPr>
          <w:szCs w:val="24"/>
        </w:rPr>
        <w:t>appliquent</w:t>
      </w:r>
      <w:r w:rsidRPr="004B6BC2">
        <w:rPr>
          <w:rFonts w:eastAsia="BatangChe"/>
          <w:szCs w:val="24"/>
        </w:rPr>
        <w:t>;</w:t>
      </w:r>
    </w:p>
    <w:p w14:paraId="7E53356E" w14:textId="1486427C" w:rsidR="00487B09" w:rsidRPr="004B6BC2" w:rsidRDefault="00487B09" w:rsidP="00D52932">
      <w:pPr>
        <w:rPr>
          <w:bCs/>
        </w:rPr>
      </w:pPr>
      <w:r w:rsidRPr="004B6BC2">
        <w:rPr>
          <w:bCs/>
          <w:i/>
          <w:iCs/>
        </w:rPr>
        <w:t>d)</w:t>
      </w:r>
      <w:r w:rsidRPr="004B6BC2">
        <w:rPr>
          <w:bCs/>
        </w:rPr>
        <w:tab/>
        <w:t>que l</w:t>
      </w:r>
      <w:r w:rsidR="00A44BB8" w:rsidRPr="004B6BC2">
        <w:rPr>
          <w:bCs/>
        </w:rPr>
        <w:t>'</w:t>
      </w:r>
      <w:r w:rsidRPr="004B6BC2">
        <w:rPr>
          <w:bCs/>
        </w:rPr>
        <w:t xml:space="preserve">Article </w:t>
      </w:r>
      <w:r w:rsidRPr="004B6BC2">
        <w:rPr>
          <w:b/>
          <w:bCs/>
        </w:rPr>
        <w:t>22</w:t>
      </w:r>
      <w:r w:rsidRPr="004B6BC2">
        <w:rPr>
          <w:bCs/>
        </w:rPr>
        <w:t xml:space="preserve"> et la Résolution </w:t>
      </w:r>
      <w:r w:rsidRPr="004B6BC2">
        <w:rPr>
          <w:b/>
        </w:rPr>
        <w:t>76 (CMR-</w:t>
      </w:r>
      <w:r w:rsidR="006B3D07" w:rsidRPr="004B6BC2">
        <w:rPr>
          <w:b/>
        </w:rPr>
        <w:t>19</w:t>
      </w:r>
      <w:r w:rsidRPr="004B6BC2">
        <w:rPr>
          <w:b/>
        </w:rPr>
        <w:t>)</w:t>
      </w:r>
      <w:r w:rsidRPr="004B6BC2">
        <w:rPr>
          <w:bCs/>
        </w:rPr>
        <w:t xml:space="preserve"> du Règlement des radiocommunications contiennent des dispositions qui portent sur l</w:t>
      </w:r>
      <w:r w:rsidR="00A44BB8" w:rsidRPr="004B6BC2">
        <w:rPr>
          <w:bCs/>
        </w:rPr>
        <w:t>'</w:t>
      </w:r>
      <w:r w:rsidR="006B3D07" w:rsidRPr="004B6BC2">
        <w:rPr>
          <w:bCs/>
        </w:rPr>
        <w:t>epfd↑, l</w:t>
      </w:r>
      <w:r w:rsidR="00A44BB8" w:rsidRPr="004B6BC2">
        <w:rPr>
          <w:bCs/>
        </w:rPr>
        <w:t>'</w:t>
      </w:r>
      <w:r w:rsidR="006B3D07" w:rsidRPr="004B6BC2">
        <w:rPr>
          <w:bCs/>
        </w:rPr>
        <w:t>epfd↓, et l</w:t>
      </w:r>
      <w:r w:rsidR="00A44BB8" w:rsidRPr="004B6BC2">
        <w:rPr>
          <w:bCs/>
        </w:rPr>
        <w:t>'</w:t>
      </w:r>
      <w:r w:rsidR="006B3D07" w:rsidRPr="004B6BC2">
        <w:rPr>
          <w:bCs/>
        </w:rPr>
        <w:t>epfd</w:t>
      </w:r>
      <w:r w:rsidR="006B3D07" w:rsidRPr="004B6BC2">
        <w:rPr>
          <w:bCs/>
          <w:vertAlign w:val="subscript"/>
        </w:rPr>
        <w:t>is</w:t>
      </w:r>
      <w:r w:rsidRPr="004B6BC2">
        <w:rPr>
          <w:bCs/>
        </w:rPr>
        <w:t xml:space="preserve"> sur la liaison montante, la liaison descendante et les liaisons inter-satellites; et qu</w:t>
      </w:r>
      <w:r w:rsidR="00A44BB8" w:rsidRPr="004B6BC2">
        <w:rPr>
          <w:bCs/>
        </w:rPr>
        <w:t>'</w:t>
      </w:r>
      <w:r w:rsidRPr="004B6BC2">
        <w:rPr>
          <w:bCs/>
        </w:rPr>
        <w:t>une administration exploitant un système du</w:t>
      </w:r>
      <w:r w:rsidR="00A13474" w:rsidRPr="004B6BC2">
        <w:rPr>
          <w:bCs/>
        </w:rPr>
        <w:t> </w:t>
      </w:r>
      <w:r w:rsidRPr="004B6BC2">
        <w:rPr>
          <w:bCs/>
        </w:rPr>
        <w:t xml:space="preserve">SFS non OSG conformément à ces limites est réputée avoir rempli ses obligations au titre du numéro </w:t>
      </w:r>
      <w:r w:rsidRPr="004B6BC2">
        <w:rPr>
          <w:b/>
        </w:rPr>
        <w:t>22.2</w:t>
      </w:r>
      <w:r w:rsidRPr="004B6BC2">
        <w:rPr>
          <w:bCs/>
        </w:rPr>
        <w:t>;</w:t>
      </w:r>
    </w:p>
    <w:p w14:paraId="429F7293" w14:textId="5686D7A8" w:rsidR="00BC22C6" w:rsidRPr="004B6BC2" w:rsidRDefault="00BC22C6" w:rsidP="00A13474">
      <w:pPr>
        <w:rPr>
          <w:i/>
          <w:iCs/>
        </w:rPr>
      </w:pPr>
      <w:r w:rsidRPr="004B6BC2">
        <w:rPr>
          <w:bCs/>
          <w:i/>
          <w:iCs/>
        </w:rPr>
        <w:t>e)</w:t>
      </w:r>
      <w:r w:rsidRPr="004B6BC2">
        <w:rPr>
          <w:bCs/>
          <w:i/>
          <w:iCs/>
        </w:rPr>
        <w:tab/>
      </w:r>
      <w:r w:rsidR="00AC5A5E" w:rsidRPr="004B6BC2">
        <w:rPr>
          <w:bCs/>
        </w:rPr>
        <w:t>que les systèmes du SFS non OSG et les réseaux du SFS et du SRS OSG sont aujourd</w:t>
      </w:r>
      <w:r w:rsidR="00A44BB8" w:rsidRPr="004B6BC2">
        <w:rPr>
          <w:bCs/>
        </w:rPr>
        <w:t>'</w:t>
      </w:r>
      <w:r w:rsidR="00AC5A5E" w:rsidRPr="004B6BC2">
        <w:rPr>
          <w:bCs/>
        </w:rPr>
        <w:t>hui très différents des systèmes qui ont été pris en considération pour élaborer les limites d</w:t>
      </w:r>
      <w:r w:rsidR="00A44BB8" w:rsidRPr="004B6BC2">
        <w:rPr>
          <w:bCs/>
        </w:rPr>
        <w:t>'</w:t>
      </w:r>
      <w:r w:rsidR="00AC5A5E" w:rsidRPr="004B6BC2">
        <w:rPr>
          <w:bCs/>
        </w:rPr>
        <w:t>epfd de l</w:t>
      </w:r>
      <w:r w:rsidR="00A44BB8" w:rsidRPr="004B6BC2">
        <w:rPr>
          <w:bCs/>
        </w:rPr>
        <w:t>'</w:t>
      </w:r>
      <w:r w:rsidR="00AC5A5E" w:rsidRPr="004B6BC2">
        <w:rPr>
          <w:bCs/>
        </w:rPr>
        <w:t xml:space="preserve">Article </w:t>
      </w:r>
      <w:r w:rsidR="00AC5A5E" w:rsidRPr="004B6BC2">
        <w:rPr>
          <w:b/>
        </w:rPr>
        <w:t>22</w:t>
      </w:r>
      <w:r w:rsidR="00AC5A5E" w:rsidRPr="004B6BC2">
        <w:rPr>
          <w:bCs/>
        </w:rPr>
        <w:t xml:space="preserve"> en 1997 et 2000 et que les connaissances sur le fonctionnement de ces systèmes dans la pratique ont considérablement évolué depuis</w:t>
      </w:r>
      <w:r w:rsidRPr="004B6BC2">
        <w:rPr>
          <w:bCs/>
        </w:rPr>
        <w:t>;</w:t>
      </w:r>
    </w:p>
    <w:p w14:paraId="7FD74CDB" w14:textId="53DB8944" w:rsidR="00487B09" w:rsidRPr="004B6BC2" w:rsidRDefault="00487B09" w:rsidP="00D52932">
      <w:r w:rsidRPr="004B6BC2">
        <w:rPr>
          <w:bCs/>
          <w:i/>
          <w:iCs/>
        </w:rPr>
        <w:t>f)</w:t>
      </w:r>
      <w:r w:rsidRPr="004B6BC2">
        <w:rPr>
          <w:bCs/>
        </w:rPr>
        <w:tab/>
      </w:r>
      <w:r w:rsidRPr="004B6BC2">
        <w:t>que la CMR-2000 est convenue qu</w:t>
      </w:r>
      <w:r w:rsidR="00A44BB8" w:rsidRPr="004B6BC2">
        <w:t>'</w:t>
      </w:r>
      <w:r w:rsidRPr="004B6BC2">
        <w:t>une protection supplémentaire supérieure à celle permise par les limites d</w:t>
      </w:r>
      <w:r w:rsidR="00A44BB8" w:rsidRPr="004B6BC2">
        <w:t>'</w:t>
      </w:r>
      <w:r w:rsidRPr="004B6BC2">
        <w:t>epfd</w:t>
      </w:r>
      <w:r w:rsidRPr="004B6BC2">
        <w:rPr>
          <w:vertAlign w:val="subscript"/>
        </w:rPr>
        <w:sym w:font="Symbol" w:char="F0AF"/>
      </w:r>
      <w:r w:rsidRPr="004B6BC2">
        <w:t xml:space="preserve"> dans </w:t>
      </w:r>
      <w:r w:rsidRPr="004B6BC2">
        <w:rPr>
          <w:iCs/>
        </w:rPr>
        <w:t xml:space="preserve">les parties des bandes de fréquences </w:t>
      </w:r>
      <w:r w:rsidR="00AC5A5E" w:rsidRPr="004B6BC2">
        <w:rPr>
          <w:iCs/>
        </w:rPr>
        <w:t xml:space="preserve">au-dessous de </w:t>
      </w:r>
      <w:r w:rsidRPr="004B6BC2">
        <w:rPr>
          <w:iCs/>
        </w:rPr>
        <w:t>30</w:t>
      </w:r>
      <w:r w:rsidR="00AC5A5E" w:rsidRPr="004B6BC2">
        <w:rPr>
          <w:iCs/>
        </w:rPr>
        <w:t> </w:t>
      </w:r>
      <w:r w:rsidRPr="004B6BC2">
        <w:rPr>
          <w:iCs/>
        </w:rPr>
        <w:t>GHz dans lesquelles les limites d</w:t>
      </w:r>
      <w:r w:rsidR="00A44BB8" w:rsidRPr="004B6BC2">
        <w:rPr>
          <w:iCs/>
        </w:rPr>
        <w:t>'</w:t>
      </w:r>
      <w:r w:rsidRPr="004B6BC2">
        <w:rPr>
          <w:iCs/>
        </w:rPr>
        <w:t>epfd</w:t>
      </w:r>
      <w:r w:rsidRPr="004B6BC2">
        <w:t xml:space="preserve"> de l</w:t>
      </w:r>
      <w:r w:rsidR="00A44BB8" w:rsidRPr="004B6BC2">
        <w:t>'</w:t>
      </w:r>
      <w:r w:rsidRPr="004B6BC2">
        <w:t xml:space="preserve">Article </w:t>
      </w:r>
      <w:r w:rsidRPr="004B6BC2">
        <w:rPr>
          <w:b/>
          <w:bCs/>
        </w:rPr>
        <w:t>22</w:t>
      </w:r>
      <w:r w:rsidRPr="004B6BC2">
        <w:t xml:space="preserve"> s</w:t>
      </w:r>
      <w:r w:rsidR="00A44BB8" w:rsidRPr="004B6BC2">
        <w:t>'</w:t>
      </w:r>
      <w:r w:rsidRPr="004B6BC2">
        <w:t>appliquent est nécessaire pour certains réseaux du</w:t>
      </w:r>
      <w:r w:rsidR="00A44BB8" w:rsidRPr="004B6BC2">
        <w:t> </w:t>
      </w:r>
      <w:r w:rsidRPr="004B6BC2">
        <w:t>SFS OSG avec des stations terriennes de réception spécifiques ayant de très grandes antennes et que, pour assurer cette protection supplémentaire, la CMR-2000 a adopté une procédure permettant de déterminer la nécessité d</w:t>
      </w:r>
      <w:r w:rsidR="00A44BB8" w:rsidRPr="004B6BC2">
        <w:t>'</w:t>
      </w:r>
      <w:r w:rsidRPr="004B6BC2">
        <w:t xml:space="preserve">une coordination au titre des numéros </w:t>
      </w:r>
      <w:r w:rsidRPr="004B6BC2">
        <w:rPr>
          <w:rStyle w:val="Artref"/>
          <w:b/>
          <w:bCs/>
        </w:rPr>
        <w:t>9.7A</w:t>
      </w:r>
      <w:r w:rsidRPr="004B6BC2">
        <w:t xml:space="preserve"> et </w:t>
      </w:r>
      <w:r w:rsidRPr="004B6BC2">
        <w:rPr>
          <w:rStyle w:val="Artref"/>
          <w:b/>
          <w:bCs/>
        </w:rPr>
        <w:t>9.7B</w:t>
      </w:r>
      <w:r w:rsidRPr="004B6BC2">
        <w:t>;</w:t>
      </w:r>
    </w:p>
    <w:p w14:paraId="27587BFA" w14:textId="09E6CC23" w:rsidR="00E5384C" w:rsidRPr="004B6BC2" w:rsidRDefault="00E5384C" w:rsidP="00A13474">
      <w:pPr>
        <w:rPr>
          <w:i/>
          <w:iCs/>
        </w:rPr>
      </w:pPr>
      <w:r w:rsidRPr="004B6BC2">
        <w:rPr>
          <w:i/>
          <w:iCs/>
        </w:rPr>
        <w:t>g)</w:t>
      </w:r>
      <w:r w:rsidRPr="004B6BC2">
        <w:rPr>
          <w:i/>
          <w:iCs/>
        </w:rPr>
        <w:tab/>
      </w:r>
      <w:r w:rsidR="00AC5A5E" w:rsidRPr="004B6BC2">
        <w:t>que, pour assurer cette protection additionnelle, la CMR-2000 a adopté une procédure permettant d</w:t>
      </w:r>
      <w:r w:rsidR="00A44BB8" w:rsidRPr="004B6BC2">
        <w:t>'</w:t>
      </w:r>
      <w:r w:rsidR="00AC5A5E" w:rsidRPr="004B6BC2">
        <w:t>identifier la nécessité d</w:t>
      </w:r>
      <w:r w:rsidR="00A44BB8" w:rsidRPr="004B6BC2">
        <w:t>'</w:t>
      </w:r>
      <w:r w:rsidR="00AC5A5E" w:rsidRPr="004B6BC2">
        <w:t xml:space="preserve">une coordination au titre des numéros </w:t>
      </w:r>
      <w:r w:rsidR="00AC5A5E" w:rsidRPr="004B6BC2">
        <w:rPr>
          <w:b/>
          <w:bCs/>
        </w:rPr>
        <w:t>9.7A</w:t>
      </w:r>
      <w:r w:rsidR="00AC5A5E" w:rsidRPr="004B6BC2">
        <w:t xml:space="preserve"> et </w:t>
      </w:r>
      <w:r w:rsidR="00AC5A5E" w:rsidRPr="004B6BC2">
        <w:rPr>
          <w:b/>
          <w:bCs/>
        </w:rPr>
        <w:t>9.7B</w:t>
      </w:r>
      <w:r w:rsidRPr="004B6BC2">
        <w:t>;</w:t>
      </w:r>
    </w:p>
    <w:p w14:paraId="08E9CFD3" w14:textId="484C7578" w:rsidR="00E5384C" w:rsidRPr="004B6BC2" w:rsidRDefault="00E5384C" w:rsidP="00A13474">
      <w:pPr>
        <w:rPr>
          <w:i/>
          <w:iCs/>
        </w:rPr>
      </w:pPr>
      <w:r w:rsidRPr="004B6BC2">
        <w:rPr>
          <w:i/>
          <w:iCs/>
        </w:rPr>
        <w:t>h)</w:t>
      </w:r>
      <w:r w:rsidRPr="004B6BC2">
        <w:rPr>
          <w:i/>
          <w:iCs/>
        </w:rPr>
        <w:tab/>
      </w:r>
      <w:r w:rsidR="00AC5A5E" w:rsidRPr="004B6BC2">
        <w:t xml:space="preserve">que les stations terriennes inscrites au titre des numéros </w:t>
      </w:r>
      <w:r w:rsidR="00AC5A5E" w:rsidRPr="004B6BC2">
        <w:rPr>
          <w:b/>
          <w:bCs/>
        </w:rPr>
        <w:t>9.7A</w:t>
      </w:r>
      <w:r w:rsidR="00AC5A5E" w:rsidRPr="004B6BC2">
        <w:t xml:space="preserve"> et </w:t>
      </w:r>
      <w:r w:rsidR="00AC5A5E" w:rsidRPr="004B6BC2">
        <w:rPr>
          <w:b/>
          <w:bCs/>
        </w:rPr>
        <w:t>9.7B</w:t>
      </w:r>
      <w:r w:rsidR="00AC5A5E" w:rsidRPr="004B6BC2">
        <w:t xml:space="preserve"> sont associées à des réseaux à satellite OSG qui ont été notifiés et qui fonctionnent avec une inclinaison non nulle</w:t>
      </w:r>
      <w:r w:rsidRPr="004B6BC2">
        <w:t>;</w:t>
      </w:r>
    </w:p>
    <w:p w14:paraId="01AC7D46" w14:textId="6E0B8C39" w:rsidR="00487B09" w:rsidRPr="004B6BC2" w:rsidRDefault="00E5384C" w:rsidP="00A13474">
      <w:r w:rsidRPr="004B6BC2">
        <w:rPr>
          <w:bCs/>
          <w:i/>
          <w:iCs/>
        </w:rPr>
        <w:t>i</w:t>
      </w:r>
      <w:r w:rsidR="00487B09" w:rsidRPr="004B6BC2">
        <w:rPr>
          <w:bCs/>
          <w:i/>
          <w:iCs/>
        </w:rPr>
        <w:t>)</w:t>
      </w:r>
      <w:r w:rsidR="00487B09" w:rsidRPr="004B6BC2">
        <w:rPr>
          <w:bCs/>
        </w:rPr>
        <w:tab/>
      </w:r>
      <w:r w:rsidR="00487B09" w:rsidRPr="004B6BC2">
        <w:t>que la procédure permettant de déterminer si une coordination est nécessaire au titre des numéros </w:t>
      </w:r>
      <w:r w:rsidR="00487B09" w:rsidRPr="004B6BC2">
        <w:rPr>
          <w:rStyle w:val="Artref"/>
          <w:b/>
          <w:bCs/>
        </w:rPr>
        <w:t>9.7A</w:t>
      </w:r>
      <w:r w:rsidR="00487B09" w:rsidRPr="004B6BC2">
        <w:t xml:space="preserve"> et </w:t>
      </w:r>
      <w:r w:rsidR="00487B09" w:rsidRPr="004B6BC2">
        <w:rPr>
          <w:rStyle w:val="Artref"/>
          <w:b/>
          <w:bCs/>
        </w:rPr>
        <w:t>9.7B</w:t>
      </w:r>
      <w:r w:rsidR="00487B09" w:rsidRPr="004B6BC2">
        <w:t xml:space="preserve"> est </w:t>
      </w:r>
      <w:r w:rsidR="00487B09" w:rsidRPr="004B6BC2">
        <w:rPr>
          <w:lang w:eastAsia="ko-KR"/>
        </w:rPr>
        <w:t xml:space="preserve">fondée sur le chevauchement des largeurs de bande et </w:t>
      </w:r>
      <w:r w:rsidR="00487B09" w:rsidRPr="004B6BC2">
        <w:t>les conditions établies dans l</w:t>
      </w:r>
      <w:r w:rsidR="00A44BB8" w:rsidRPr="004B6BC2">
        <w:t>'</w:t>
      </w:r>
      <w:r w:rsidR="00487B09" w:rsidRPr="004B6BC2">
        <w:rPr>
          <w:bCs/>
        </w:rPr>
        <w:t xml:space="preserve">Appendice </w:t>
      </w:r>
      <w:r w:rsidR="00487B09" w:rsidRPr="004B6BC2">
        <w:rPr>
          <w:b/>
        </w:rPr>
        <w:t>5</w:t>
      </w:r>
      <w:r w:rsidR="00487B09" w:rsidRPr="004B6BC2">
        <w:rPr>
          <w:lang w:eastAsia="ko-KR"/>
        </w:rPr>
        <w:t xml:space="preserve"> pour le gain isotrope maximal de l</w:t>
      </w:r>
      <w:r w:rsidR="00A44BB8" w:rsidRPr="004B6BC2">
        <w:rPr>
          <w:lang w:eastAsia="ko-KR"/>
        </w:rPr>
        <w:t>'</w:t>
      </w:r>
      <w:r w:rsidR="00487B09" w:rsidRPr="004B6BC2">
        <w:rPr>
          <w:lang w:eastAsia="ko-KR"/>
        </w:rPr>
        <w:t xml:space="preserve">antenne de la station terrienne du SFS OSG, le facteur </w:t>
      </w:r>
      <w:r w:rsidR="00487B09" w:rsidRPr="004B6BC2">
        <w:rPr>
          <w:i/>
          <w:iCs/>
          <w:lang w:eastAsia="ko-KR"/>
        </w:rPr>
        <w:t>G</w:t>
      </w:r>
      <w:r w:rsidR="00487B09" w:rsidRPr="004B6BC2">
        <w:rPr>
          <w:lang w:eastAsia="ko-KR"/>
        </w:rPr>
        <w:t>/</w:t>
      </w:r>
      <w:r w:rsidR="00487B09" w:rsidRPr="004B6BC2">
        <w:rPr>
          <w:i/>
          <w:iCs/>
          <w:lang w:eastAsia="ko-KR"/>
        </w:rPr>
        <w:t>T</w:t>
      </w:r>
      <w:r w:rsidR="00487B09" w:rsidRPr="004B6BC2">
        <w:rPr>
          <w:lang w:eastAsia="ko-KR"/>
        </w:rPr>
        <w:t xml:space="preserve"> et la largeur de bande d</w:t>
      </w:r>
      <w:r w:rsidR="00A44BB8" w:rsidRPr="004B6BC2">
        <w:rPr>
          <w:lang w:eastAsia="ko-KR"/>
        </w:rPr>
        <w:t>'</w:t>
      </w:r>
      <w:r w:rsidR="00487B09" w:rsidRPr="004B6BC2">
        <w:rPr>
          <w:lang w:eastAsia="ko-KR"/>
        </w:rPr>
        <w:t xml:space="preserve">émission et </w:t>
      </w:r>
      <w:r w:rsidR="00487B09" w:rsidRPr="004B6BC2">
        <w:t>l</w:t>
      </w:r>
      <w:r w:rsidR="00A44BB8" w:rsidRPr="004B6BC2">
        <w:t>'</w:t>
      </w:r>
      <w:r w:rsidR="00487B09" w:rsidRPr="004B6BC2">
        <w:t>epfd</w:t>
      </w:r>
      <w:r w:rsidR="00487B09" w:rsidRPr="004B6BC2">
        <w:rPr>
          <w:vertAlign w:val="subscript"/>
        </w:rPr>
        <w:sym w:font="Symbol" w:char="F0AF"/>
      </w:r>
      <w:r w:rsidR="00487B09" w:rsidRPr="004B6BC2">
        <w:t xml:space="preserve"> rayonnée par le système à satellites non OSG du SFS vers la station terrienne utilisant la très grande antenne;</w:t>
      </w:r>
    </w:p>
    <w:p w14:paraId="5F394060" w14:textId="47C75FEA" w:rsidR="00BC22C6" w:rsidRPr="004B6BC2" w:rsidRDefault="00E5384C" w:rsidP="00A13474">
      <w:pPr>
        <w:rPr>
          <w:bCs/>
        </w:rPr>
      </w:pPr>
      <w:r w:rsidRPr="004B6BC2">
        <w:rPr>
          <w:bCs/>
          <w:i/>
          <w:iCs/>
        </w:rPr>
        <w:t>j</w:t>
      </w:r>
      <w:r w:rsidR="00487B09" w:rsidRPr="004B6BC2">
        <w:rPr>
          <w:bCs/>
          <w:i/>
          <w:iCs/>
        </w:rPr>
        <w:t>)</w:t>
      </w:r>
      <w:r w:rsidR="00487B09" w:rsidRPr="004B6BC2">
        <w:rPr>
          <w:bCs/>
        </w:rPr>
        <w:tab/>
      </w:r>
      <w:r w:rsidR="00AC5A5E" w:rsidRPr="004B6BC2">
        <w:rPr>
          <w:bCs/>
        </w:rPr>
        <w:t>que la CMR-2000 a indiqué que les résultats de l</w:t>
      </w:r>
      <w:r w:rsidR="00A44BB8" w:rsidRPr="004B6BC2">
        <w:rPr>
          <w:bCs/>
        </w:rPr>
        <w:t>'</w:t>
      </w:r>
      <w:r w:rsidR="00AC5A5E" w:rsidRPr="004B6BC2">
        <w:rPr>
          <w:bCs/>
        </w:rPr>
        <w:t xml:space="preserve">examen de coordination au titre des numéros </w:t>
      </w:r>
      <w:r w:rsidR="00AC5A5E" w:rsidRPr="004B6BC2">
        <w:rPr>
          <w:b/>
        </w:rPr>
        <w:t>9.7A</w:t>
      </w:r>
      <w:r w:rsidR="00AC5A5E" w:rsidRPr="004B6BC2">
        <w:rPr>
          <w:bCs/>
        </w:rPr>
        <w:t xml:space="preserve"> et </w:t>
      </w:r>
      <w:r w:rsidR="00AC5A5E" w:rsidRPr="004B6BC2">
        <w:rPr>
          <w:b/>
        </w:rPr>
        <w:t>9.7B</w:t>
      </w:r>
      <w:r w:rsidR="00AC5A5E" w:rsidRPr="004B6BC2">
        <w:rPr>
          <w:bCs/>
        </w:rPr>
        <w:t xml:space="preserve"> n</w:t>
      </w:r>
      <w:r w:rsidR="00A44BB8" w:rsidRPr="004B6BC2">
        <w:rPr>
          <w:bCs/>
        </w:rPr>
        <w:t>'</w:t>
      </w:r>
      <w:r w:rsidR="00AC5A5E" w:rsidRPr="004B6BC2">
        <w:rPr>
          <w:bCs/>
        </w:rPr>
        <w:t>auraient aucune incidence sur la détermination de la conformité d</w:t>
      </w:r>
      <w:r w:rsidR="00A44BB8" w:rsidRPr="004B6BC2">
        <w:rPr>
          <w:bCs/>
        </w:rPr>
        <w:t>'</w:t>
      </w:r>
      <w:r w:rsidR="00AC5A5E" w:rsidRPr="004B6BC2">
        <w:rPr>
          <w:bCs/>
        </w:rPr>
        <w:t>un système non OSG aux limites d</w:t>
      </w:r>
      <w:r w:rsidR="00A44BB8" w:rsidRPr="004B6BC2">
        <w:rPr>
          <w:bCs/>
        </w:rPr>
        <w:t>'</w:t>
      </w:r>
      <w:r w:rsidR="00AC5A5E" w:rsidRPr="004B6BC2">
        <w:rPr>
          <w:bCs/>
        </w:rPr>
        <w:t>epfd dans les parties des bandes de fréquences au-dessous de</w:t>
      </w:r>
      <w:r w:rsidR="00B60219" w:rsidRPr="004B6BC2">
        <w:rPr>
          <w:bCs/>
        </w:rPr>
        <w:t> </w:t>
      </w:r>
      <w:r w:rsidR="00AC5A5E" w:rsidRPr="004B6BC2">
        <w:rPr>
          <w:bCs/>
        </w:rPr>
        <w:t>30 GHz auxquelles s</w:t>
      </w:r>
      <w:r w:rsidR="00A44BB8" w:rsidRPr="004B6BC2">
        <w:rPr>
          <w:bCs/>
        </w:rPr>
        <w:t>'</w:t>
      </w:r>
      <w:r w:rsidR="00AC5A5E" w:rsidRPr="004B6BC2">
        <w:rPr>
          <w:bCs/>
        </w:rPr>
        <w:t>appliquent les limites de l</w:t>
      </w:r>
      <w:r w:rsidR="00A44BB8" w:rsidRPr="004B6BC2">
        <w:rPr>
          <w:bCs/>
        </w:rPr>
        <w:t>'</w:t>
      </w:r>
      <w:r w:rsidR="00AC5A5E" w:rsidRPr="004B6BC2">
        <w:rPr>
          <w:bCs/>
        </w:rPr>
        <w:t xml:space="preserve">Article </w:t>
      </w:r>
      <w:r w:rsidR="00AC5A5E" w:rsidRPr="004B6BC2">
        <w:rPr>
          <w:b/>
        </w:rPr>
        <w:t>22</w:t>
      </w:r>
      <w:r w:rsidR="00BC22C6" w:rsidRPr="004B6BC2">
        <w:rPr>
          <w:bCs/>
        </w:rPr>
        <w:t>;</w:t>
      </w:r>
    </w:p>
    <w:p w14:paraId="514EA8E4" w14:textId="6428E109" w:rsidR="00487B09" w:rsidRPr="004B6BC2" w:rsidRDefault="00BC22C6" w:rsidP="00A13474">
      <w:r w:rsidRPr="004B6BC2">
        <w:rPr>
          <w:i/>
          <w:iCs/>
        </w:rPr>
        <w:t>k)</w:t>
      </w:r>
      <w:r w:rsidRPr="004B6BC2">
        <w:tab/>
      </w:r>
      <w:r w:rsidR="00AC5A5E" w:rsidRPr="004B6BC2">
        <w:t xml:space="preserve">que la Recommandation UIT-R S.1503 </w:t>
      </w:r>
      <w:r w:rsidR="00321A68" w:rsidRPr="004B6BC2">
        <w:t>donne une spécification relative à</w:t>
      </w:r>
      <w:r w:rsidR="00AC5A5E" w:rsidRPr="004B6BC2">
        <w:t xml:space="preserve"> un outil logiciel de simulation permettant de calculer l</w:t>
      </w:r>
      <w:r w:rsidR="00A44BB8" w:rsidRPr="004B6BC2">
        <w:t>'</w:t>
      </w:r>
      <w:r w:rsidR="00AC5A5E" w:rsidRPr="004B6BC2">
        <w:t>epfd</w:t>
      </w:r>
      <w:r w:rsidR="00AC5A5E" w:rsidRPr="004B6BC2">
        <w:rPr>
          <w:vertAlign w:val="subscript"/>
        </w:rPr>
        <w:sym w:font="Symbol" w:char="F0AF"/>
      </w:r>
      <w:r w:rsidR="00AC5A5E" w:rsidRPr="004B6BC2">
        <w:t xml:space="preserve"> en fonction du temps, mais ne tient pas compte de l</w:t>
      </w:r>
      <w:r w:rsidR="00A44BB8" w:rsidRPr="004B6BC2">
        <w:t>'</w:t>
      </w:r>
      <w:r w:rsidR="00AC5A5E" w:rsidRPr="004B6BC2">
        <w:t>inclinaison d</w:t>
      </w:r>
      <w:r w:rsidR="00A44BB8" w:rsidRPr="004B6BC2">
        <w:t>'</w:t>
      </w:r>
      <w:r w:rsidR="00AC5A5E" w:rsidRPr="004B6BC2">
        <w:t>un satellite OSG pour déterminer la nécessité d</w:t>
      </w:r>
      <w:r w:rsidR="00A44BB8" w:rsidRPr="004B6BC2">
        <w:t>'</w:t>
      </w:r>
      <w:r w:rsidR="00AC5A5E" w:rsidRPr="004B6BC2">
        <w:t xml:space="preserve">une coordination au titre des numéros </w:t>
      </w:r>
      <w:r w:rsidR="00AC5A5E" w:rsidRPr="004B6BC2">
        <w:rPr>
          <w:b/>
          <w:bCs/>
        </w:rPr>
        <w:t>9.7A</w:t>
      </w:r>
      <w:r w:rsidR="00AC5A5E" w:rsidRPr="004B6BC2">
        <w:t xml:space="preserve"> et </w:t>
      </w:r>
      <w:r w:rsidR="00AC5A5E" w:rsidRPr="004B6BC2">
        <w:rPr>
          <w:b/>
          <w:bCs/>
        </w:rPr>
        <w:t>9.7B</w:t>
      </w:r>
      <w:r w:rsidRPr="004B6BC2">
        <w:t>;</w:t>
      </w:r>
    </w:p>
    <w:p w14:paraId="2AE39BB4" w14:textId="679637F5" w:rsidR="00E5384C" w:rsidRPr="004B6BC2" w:rsidRDefault="00BC22C6" w:rsidP="00A13474">
      <w:pPr>
        <w:rPr>
          <w:i/>
          <w:iCs/>
        </w:rPr>
      </w:pPr>
      <w:r w:rsidRPr="004B6BC2">
        <w:rPr>
          <w:i/>
          <w:iCs/>
        </w:rPr>
        <w:t>l</w:t>
      </w:r>
      <w:r w:rsidR="00E5384C" w:rsidRPr="004B6BC2">
        <w:rPr>
          <w:i/>
          <w:iCs/>
        </w:rPr>
        <w:t>)</w:t>
      </w:r>
      <w:r w:rsidR="00E5384C" w:rsidRPr="004B6BC2">
        <w:rPr>
          <w:i/>
          <w:iCs/>
        </w:rPr>
        <w:tab/>
      </w:r>
      <w:r w:rsidR="00AC5A5E" w:rsidRPr="004B6BC2">
        <w:t xml:space="preserve">que, conformément aux points </w:t>
      </w:r>
      <w:r w:rsidR="00AC5A5E" w:rsidRPr="004B6BC2">
        <w:rPr>
          <w:i/>
          <w:iCs/>
        </w:rPr>
        <w:t>f)</w:t>
      </w:r>
      <w:r w:rsidR="00AC5A5E" w:rsidRPr="004B6BC2">
        <w:t xml:space="preserve"> à </w:t>
      </w:r>
      <w:r w:rsidR="00AC5A5E" w:rsidRPr="004B6BC2">
        <w:rPr>
          <w:i/>
          <w:iCs/>
        </w:rPr>
        <w:t>j)</w:t>
      </w:r>
      <w:r w:rsidR="00AC5A5E" w:rsidRPr="004B6BC2">
        <w:t xml:space="preserve"> du </w:t>
      </w:r>
      <w:r w:rsidR="00AC5A5E" w:rsidRPr="004B6BC2">
        <w:rPr>
          <w:i/>
          <w:iCs/>
        </w:rPr>
        <w:t>reconnaissant</w:t>
      </w:r>
      <w:r w:rsidR="00AC5A5E" w:rsidRPr="004B6BC2">
        <w:t>, la Recommandation</w:t>
      </w:r>
      <w:r w:rsidR="00B60219" w:rsidRPr="004B6BC2">
        <w:t> </w:t>
      </w:r>
      <w:r w:rsidR="00AC5A5E" w:rsidRPr="004B6BC2">
        <w:t>UIT</w:t>
      </w:r>
      <w:r w:rsidR="00B60219" w:rsidRPr="004B6BC2">
        <w:noBreakHyphen/>
      </w:r>
      <w:r w:rsidR="00AC5A5E" w:rsidRPr="004B6BC2">
        <w:t>R</w:t>
      </w:r>
      <w:r w:rsidR="00B60219" w:rsidRPr="004B6BC2">
        <w:t> </w:t>
      </w:r>
      <w:r w:rsidR="00AC5A5E" w:rsidRPr="004B6BC2">
        <w:t>S.1714 fournit une méthode statique de calcul de l</w:t>
      </w:r>
      <w:r w:rsidR="00A44BB8" w:rsidRPr="004B6BC2">
        <w:t>'</w:t>
      </w:r>
      <w:r w:rsidR="00AC5A5E" w:rsidRPr="004B6BC2">
        <w:t>epfd</w:t>
      </w:r>
      <w:r w:rsidR="00AC5A5E" w:rsidRPr="004B6BC2">
        <w:rPr>
          <w:vertAlign w:val="subscript"/>
        </w:rPr>
        <w:sym w:font="Symbol" w:char="F0AF"/>
      </w:r>
      <w:r w:rsidR="00AC5A5E" w:rsidRPr="004B6BC2">
        <w:t xml:space="preserve"> pour faciliter l</w:t>
      </w:r>
      <w:r w:rsidR="00A44BB8" w:rsidRPr="004B6BC2">
        <w:t>'</w:t>
      </w:r>
      <w:r w:rsidR="00AC5A5E" w:rsidRPr="004B6BC2">
        <w:t>identification de la nécessité d</w:t>
      </w:r>
      <w:r w:rsidR="00A44BB8" w:rsidRPr="004B6BC2">
        <w:t>'</w:t>
      </w:r>
      <w:r w:rsidR="00AC5A5E" w:rsidRPr="004B6BC2">
        <w:t>une coordination pour les très grandes antennes au titre des numéros</w:t>
      </w:r>
      <w:r w:rsidR="00B60219" w:rsidRPr="004B6BC2">
        <w:t> </w:t>
      </w:r>
      <w:r w:rsidR="00AC5A5E" w:rsidRPr="004B6BC2">
        <w:rPr>
          <w:b/>
          <w:bCs/>
        </w:rPr>
        <w:t>9.7A</w:t>
      </w:r>
      <w:r w:rsidR="00AC5A5E" w:rsidRPr="004B6BC2">
        <w:t xml:space="preserve"> et </w:t>
      </w:r>
      <w:r w:rsidR="00AC5A5E" w:rsidRPr="004B6BC2">
        <w:rPr>
          <w:b/>
          <w:bCs/>
        </w:rPr>
        <w:t>9.7B</w:t>
      </w:r>
      <w:r w:rsidR="00E5384C" w:rsidRPr="004B6BC2">
        <w:t>;</w:t>
      </w:r>
    </w:p>
    <w:p w14:paraId="63071011" w14:textId="5C61435E" w:rsidR="00E5384C" w:rsidRPr="004B6BC2" w:rsidRDefault="00E5384C" w:rsidP="00A13474">
      <w:pPr>
        <w:rPr>
          <w:i/>
          <w:iCs/>
        </w:rPr>
      </w:pPr>
      <w:r w:rsidRPr="004B6BC2">
        <w:rPr>
          <w:i/>
          <w:iCs/>
        </w:rPr>
        <w:t>m)</w:t>
      </w:r>
      <w:r w:rsidRPr="004B6BC2">
        <w:rPr>
          <w:i/>
          <w:iCs/>
        </w:rPr>
        <w:tab/>
      </w:r>
      <w:r w:rsidR="00BC22C6" w:rsidRPr="004B6BC2">
        <w:t xml:space="preserve">que la Recommandation UIT-R S.1323 fournit des informations sur les prescriptions opérationnelles et les critères de protection qui peuvent être utilisés dans les études de partage </w:t>
      </w:r>
      <w:r w:rsidR="00321A68" w:rsidRPr="004B6BC2">
        <w:t>fondées sur les limite</w:t>
      </w:r>
      <w:r w:rsidR="00A13474" w:rsidRPr="004B6BC2">
        <w:t xml:space="preserve">s </w:t>
      </w:r>
      <w:r w:rsidR="00BC22C6" w:rsidRPr="004B6BC2">
        <w:t>d</w:t>
      </w:r>
      <w:r w:rsidR="00A44BB8" w:rsidRPr="004B6BC2">
        <w:t>'</w:t>
      </w:r>
      <w:r w:rsidR="00BC22C6" w:rsidRPr="004B6BC2">
        <w:t>epfd</w:t>
      </w:r>
      <w:r w:rsidRPr="004B6BC2">
        <w:t>;</w:t>
      </w:r>
    </w:p>
    <w:p w14:paraId="51B21117" w14:textId="5B224F0C" w:rsidR="00487B09" w:rsidRPr="004B6BC2" w:rsidRDefault="00E5384C" w:rsidP="00A13474">
      <w:r w:rsidRPr="004B6BC2">
        <w:rPr>
          <w:bCs/>
          <w:i/>
          <w:iCs/>
        </w:rPr>
        <w:lastRenderedPageBreak/>
        <w:t>n</w:t>
      </w:r>
      <w:r w:rsidR="00487B09" w:rsidRPr="004B6BC2">
        <w:rPr>
          <w:bCs/>
          <w:i/>
          <w:iCs/>
        </w:rPr>
        <w:t>)</w:t>
      </w:r>
      <w:r w:rsidR="00487B09" w:rsidRPr="004B6BC2">
        <w:rPr>
          <w:bCs/>
        </w:rPr>
        <w:tab/>
        <w:t>que les limites d</w:t>
      </w:r>
      <w:r w:rsidR="00A44BB8" w:rsidRPr="004B6BC2">
        <w:rPr>
          <w:bCs/>
        </w:rPr>
        <w:t>'</w:t>
      </w:r>
      <w:r w:rsidR="00487B09" w:rsidRPr="004B6BC2">
        <w:rPr>
          <w:bCs/>
        </w:rPr>
        <w:t xml:space="preserve">epfd </w:t>
      </w:r>
      <w:r w:rsidR="00321A68" w:rsidRPr="004B6BC2">
        <w:rPr>
          <w:bCs/>
        </w:rPr>
        <w:t xml:space="preserve">indiquées </w:t>
      </w:r>
      <w:r w:rsidR="00487B09" w:rsidRPr="004B6BC2">
        <w:rPr>
          <w:bCs/>
        </w:rPr>
        <w:t>dans l</w:t>
      </w:r>
      <w:r w:rsidR="00A44BB8" w:rsidRPr="004B6BC2">
        <w:rPr>
          <w:bCs/>
        </w:rPr>
        <w:t>'</w:t>
      </w:r>
      <w:r w:rsidR="00487B09" w:rsidRPr="004B6BC2">
        <w:rPr>
          <w:bCs/>
        </w:rPr>
        <w:t xml:space="preserve">Article </w:t>
      </w:r>
      <w:r w:rsidR="00487B09" w:rsidRPr="004B6BC2">
        <w:rPr>
          <w:b/>
        </w:rPr>
        <w:t>22</w:t>
      </w:r>
      <w:r w:rsidR="00487B09" w:rsidRPr="004B6BC2">
        <w:rPr>
          <w:bCs/>
        </w:rPr>
        <w:t xml:space="preserve"> et dans la Résolution</w:t>
      </w:r>
      <w:r w:rsidR="00A13474" w:rsidRPr="004B6BC2">
        <w:rPr>
          <w:bCs/>
        </w:rPr>
        <w:t> </w:t>
      </w:r>
      <w:r w:rsidR="00487B09" w:rsidRPr="004B6BC2">
        <w:rPr>
          <w:b/>
        </w:rPr>
        <w:t>76</w:t>
      </w:r>
      <w:r w:rsidR="006A4D07" w:rsidRPr="004B6BC2">
        <w:rPr>
          <w:b/>
        </w:rPr>
        <w:t xml:space="preserve"> </w:t>
      </w:r>
      <w:r w:rsidR="00487B09" w:rsidRPr="004B6BC2">
        <w:rPr>
          <w:b/>
        </w:rPr>
        <w:t>(Rév.CMR</w:t>
      </w:r>
      <w:r w:rsidR="00A13474" w:rsidRPr="004B6BC2">
        <w:rPr>
          <w:b/>
        </w:rPr>
        <w:noBreakHyphen/>
      </w:r>
      <w:r w:rsidR="00487B09" w:rsidRPr="004B6BC2">
        <w:rPr>
          <w:b/>
        </w:rPr>
        <w:t>15)</w:t>
      </w:r>
      <w:r w:rsidR="00487B09" w:rsidRPr="004B6BC2">
        <w:rPr>
          <w:bCs/>
        </w:rPr>
        <w:t xml:space="preserve"> ont été </w:t>
      </w:r>
      <w:r w:rsidR="00321A68" w:rsidRPr="004B6BC2">
        <w:rPr>
          <w:bCs/>
        </w:rPr>
        <w:t xml:space="preserve">établies en tenant </w:t>
      </w:r>
      <w:r w:rsidR="00487B09" w:rsidRPr="004B6BC2">
        <w:rPr>
          <w:bCs/>
        </w:rPr>
        <w:t>compte d</w:t>
      </w:r>
      <w:r w:rsidR="00A44BB8" w:rsidRPr="004B6BC2">
        <w:rPr>
          <w:bCs/>
        </w:rPr>
        <w:t>'</w:t>
      </w:r>
      <w:r w:rsidR="00487B09" w:rsidRPr="004B6BC2">
        <w:rPr>
          <w:bCs/>
        </w:rPr>
        <w:t>un critère de protection à court terme uniquement;</w:t>
      </w:r>
    </w:p>
    <w:p w14:paraId="35A9F78D" w14:textId="75685EDA" w:rsidR="00E5384C" w:rsidRPr="004B6BC2" w:rsidRDefault="00E5384C" w:rsidP="00A13474">
      <w:pPr>
        <w:rPr>
          <w:bCs/>
          <w:highlight w:val="yellow"/>
        </w:rPr>
      </w:pPr>
      <w:r w:rsidRPr="004B6BC2">
        <w:rPr>
          <w:bCs/>
          <w:i/>
          <w:iCs/>
        </w:rPr>
        <w:t>o</w:t>
      </w:r>
      <w:r w:rsidR="00487B09" w:rsidRPr="004B6BC2">
        <w:rPr>
          <w:bCs/>
          <w:i/>
          <w:iCs/>
        </w:rPr>
        <w:t>)</w:t>
      </w:r>
      <w:r w:rsidR="00487B09" w:rsidRPr="004B6BC2">
        <w:rPr>
          <w:bCs/>
          <w:i/>
          <w:iCs/>
        </w:rPr>
        <w:tab/>
      </w:r>
      <w:r w:rsidR="00AB706D" w:rsidRPr="004B6BC2">
        <w:rPr>
          <w:bCs/>
        </w:rPr>
        <w:t>que les limites d</w:t>
      </w:r>
      <w:r w:rsidR="00A44BB8" w:rsidRPr="004B6BC2">
        <w:rPr>
          <w:bCs/>
        </w:rPr>
        <w:t>'</w:t>
      </w:r>
      <w:r w:rsidR="00AB706D" w:rsidRPr="004B6BC2">
        <w:rPr>
          <w:bCs/>
        </w:rPr>
        <w:t xml:space="preserve">epfd applicables aux bandes de fréquences inférieures à 30 GHz </w:t>
      </w:r>
      <w:r w:rsidR="00D77773" w:rsidRPr="004B6BC2">
        <w:rPr>
          <w:bCs/>
        </w:rPr>
        <w:t xml:space="preserve">pour les </w:t>
      </w:r>
      <w:r w:rsidR="00AB706D" w:rsidRPr="004B6BC2">
        <w:rPr>
          <w:bCs/>
        </w:rPr>
        <w:t xml:space="preserve">systèmes du SFS non OSG entraînent des niveaux de brouillage </w:t>
      </w:r>
      <w:r w:rsidR="00D77773" w:rsidRPr="004B6BC2">
        <w:rPr>
          <w:bCs/>
        </w:rPr>
        <w:t xml:space="preserve">nettement </w:t>
      </w:r>
      <w:r w:rsidR="00AB706D" w:rsidRPr="004B6BC2">
        <w:rPr>
          <w:bCs/>
        </w:rPr>
        <w:t>inférieurs à la protection à long terme requise par les réseaux du SFS et du SRS</w:t>
      </w:r>
      <w:r w:rsidR="00E5282A" w:rsidRPr="004B6BC2">
        <w:rPr>
          <w:bCs/>
        </w:rPr>
        <w:t xml:space="preserve"> OSG</w:t>
      </w:r>
      <w:r w:rsidR="00AB706D" w:rsidRPr="004B6BC2">
        <w:rPr>
          <w:bCs/>
        </w:rPr>
        <w:t>, ce qui peut imposer des contraintes inutiles aux systèmes du SFS </w:t>
      </w:r>
      <w:r w:rsidR="00E5282A" w:rsidRPr="004B6BC2">
        <w:rPr>
          <w:bCs/>
        </w:rPr>
        <w:t>non OSG</w:t>
      </w:r>
      <w:r w:rsidR="00AB706D" w:rsidRPr="004B6BC2">
        <w:rPr>
          <w:bCs/>
        </w:rPr>
        <w:t>;</w:t>
      </w:r>
    </w:p>
    <w:p w14:paraId="37467D2B" w14:textId="4C3DB286" w:rsidR="00487B09" w:rsidRPr="004B6BC2" w:rsidRDefault="00E5384C" w:rsidP="00A13474">
      <w:pPr>
        <w:rPr>
          <w:bCs/>
          <w:highlight w:val="yellow"/>
        </w:rPr>
      </w:pPr>
      <w:r w:rsidRPr="004B6BC2">
        <w:rPr>
          <w:bCs/>
          <w:i/>
          <w:iCs/>
        </w:rPr>
        <w:t>p)</w:t>
      </w:r>
      <w:r w:rsidRPr="004B6BC2">
        <w:rPr>
          <w:bCs/>
          <w:i/>
          <w:iCs/>
        </w:rPr>
        <w:tab/>
      </w:r>
      <w:r w:rsidR="007C5392" w:rsidRPr="004B6BC2">
        <w:rPr>
          <w:bCs/>
        </w:rPr>
        <w:t xml:space="preserve">que les questions liées au point </w:t>
      </w:r>
      <w:r w:rsidR="007C5392" w:rsidRPr="004B6BC2">
        <w:rPr>
          <w:bCs/>
          <w:i/>
          <w:iCs/>
        </w:rPr>
        <w:t>n)</w:t>
      </w:r>
      <w:r w:rsidR="007C5392" w:rsidRPr="004B6BC2">
        <w:rPr>
          <w:bCs/>
        </w:rPr>
        <w:t xml:space="preserve"> du </w:t>
      </w:r>
      <w:r w:rsidR="007C5392" w:rsidRPr="004B6BC2">
        <w:rPr>
          <w:bCs/>
          <w:i/>
          <w:iCs/>
        </w:rPr>
        <w:t>reconnaissant</w:t>
      </w:r>
      <w:r w:rsidR="007C5392" w:rsidRPr="004B6BC2">
        <w:rPr>
          <w:bCs/>
        </w:rPr>
        <w:t xml:space="preserve">, compte tenu du point </w:t>
      </w:r>
      <w:r w:rsidR="007C5392" w:rsidRPr="004B6BC2">
        <w:rPr>
          <w:bCs/>
          <w:i/>
          <w:iCs/>
        </w:rPr>
        <w:t>o)</w:t>
      </w:r>
      <w:r w:rsidR="007C5392" w:rsidRPr="004B6BC2">
        <w:rPr>
          <w:bCs/>
        </w:rPr>
        <w:t xml:space="preserve"> du </w:t>
      </w:r>
      <w:r w:rsidR="007C5392" w:rsidRPr="004B6BC2">
        <w:rPr>
          <w:bCs/>
          <w:i/>
          <w:iCs/>
        </w:rPr>
        <w:t>reconnaissant</w:t>
      </w:r>
      <w:r w:rsidR="007C5392" w:rsidRPr="004B6BC2">
        <w:rPr>
          <w:bCs/>
        </w:rPr>
        <w:t>, ont été identifiées et traitées par la CMR-19 pour les bandes Q/V, ce qui a conduit à l</w:t>
      </w:r>
      <w:r w:rsidR="00A44BB8" w:rsidRPr="004B6BC2">
        <w:rPr>
          <w:bCs/>
        </w:rPr>
        <w:t>'</w:t>
      </w:r>
      <w:r w:rsidR="007C5392" w:rsidRPr="004B6BC2">
        <w:rPr>
          <w:bCs/>
        </w:rPr>
        <w:t>élaboration d</w:t>
      </w:r>
      <w:r w:rsidR="00A44BB8" w:rsidRPr="004B6BC2">
        <w:rPr>
          <w:bCs/>
        </w:rPr>
        <w:t>'</w:t>
      </w:r>
      <w:r w:rsidR="007C5392" w:rsidRPr="004B6BC2">
        <w:rPr>
          <w:bCs/>
        </w:rPr>
        <w:t>un cadre de protection de remplacement pour les réseaux du SFS OSG dans ces bandes et à l</w:t>
      </w:r>
      <w:r w:rsidR="00A44BB8" w:rsidRPr="004B6BC2">
        <w:rPr>
          <w:bCs/>
        </w:rPr>
        <w:t>'</w:t>
      </w:r>
      <w:r w:rsidR="007C5392" w:rsidRPr="004B6BC2">
        <w:rPr>
          <w:bCs/>
        </w:rPr>
        <w:t xml:space="preserve">élaboration des dispositions des numéros </w:t>
      </w:r>
      <w:r w:rsidR="007C5392" w:rsidRPr="004B6BC2">
        <w:rPr>
          <w:b/>
        </w:rPr>
        <w:t>22.5L</w:t>
      </w:r>
      <w:r w:rsidR="007C5392" w:rsidRPr="004B6BC2">
        <w:rPr>
          <w:bCs/>
        </w:rPr>
        <w:t xml:space="preserve"> et </w:t>
      </w:r>
      <w:r w:rsidR="007C5392" w:rsidRPr="004B6BC2">
        <w:rPr>
          <w:b/>
        </w:rPr>
        <w:t>22.5M</w:t>
      </w:r>
      <w:r w:rsidR="00487B09" w:rsidRPr="004B6BC2">
        <w:rPr>
          <w:bCs/>
        </w:rPr>
        <w:t>;</w:t>
      </w:r>
    </w:p>
    <w:p w14:paraId="57B786A6" w14:textId="7C8D07EB" w:rsidR="00E5384C" w:rsidRPr="004B6BC2" w:rsidRDefault="00E5384C" w:rsidP="00D52932">
      <w:pPr>
        <w:snapToGrid w:val="0"/>
        <w:rPr>
          <w:bCs/>
          <w:szCs w:val="24"/>
        </w:rPr>
      </w:pPr>
      <w:r w:rsidRPr="004B6BC2">
        <w:rPr>
          <w:bCs/>
          <w:i/>
          <w:iCs/>
          <w:szCs w:val="24"/>
        </w:rPr>
        <w:t>q</w:t>
      </w:r>
      <w:r w:rsidR="00487B09" w:rsidRPr="004B6BC2">
        <w:rPr>
          <w:bCs/>
          <w:i/>
          <w:iCs/>
          <w:szCs w:val="24"/>
        </w:rPr>
        <w:t>)</w:t>
      </w:r>
      <w:r w:rsidR="00487B09" w:rsidRPr="004B6BC2">
        <w:rPr>
          <w:bCs/>
          <w:szCs w:val="24"/>
        </w:rPr>
        <w:tab/>
        <w:t>qu</w:t>
      </w:r>
      <w:r w:rsidR="00A44BB8" w:rsidRPr="004B6BC2">
        <w:rPr>
          <w:bCs/>
          <w:szCs w:val="24"/>
        </w:rPr>
        <w:t>'</w:t>
      </w:r>
      <w:r w:rsidR="00487B09" w:rsidRPr="004B6BC2">
        <w:rPr>
          <w:bCs/>
          <w:szCs w:val="24"/>
        </w:rPr>
        <w:t>il existe actuellement des réseaux du SFS et du SRS OSG et des systèmes du SFS non OSG qui ont été notifiés et sont exploités dans les bandes de fréquences assujetties aux limites d</w:t>
      </w:r>
      <w:r w:rsidR="00A44BB8" w:rsidRPr="004B6BC2">
        <w:rPr>
          <w:bCs/>
          <w:szCs w:val="24"/>
        </w:rPr>
        <w:t>'</w:t>
      </w:r>
      <w:r w:rsidR="00487B09" w:rsidRPr="004B6BC2">
        <w:rPr>
          <w:bCs/>
          <w:szCs w:val="24"/>
        </w:rPr>
        <w:t>epfd de l</w:t>
      </w:r>
      <w:r w:rsidR="00A44BB8" w:rsidRPr="004B6BC2">
        <w:rPr>
          <w:bCs/>
          <w:szCs w:val="24"/>
        </w:rPr>
        <w:t>'</w:t>
      </w:r>
      <w:r w:rsidR="00487B09" w:rsidRPr="004B6BC2">
        <w:rPr>
          <w:bCs/>
          <w:szCs w:val="24"/>
        </w:rPr>
        <w:t xml:space="preserve">Article </w:t>
      </w:r>
      <w:r w:rsidR="00487B09" w:rsidRPr="004B6BC2">
        <w:rPr>
          <w:b/>
          <w:szCs w:val="24"/>
        </w:rPr>
        <w:t>22</w:t>
      </w:r>
      <w:r w:rsidR="00487B09" w:rsidRPr="004B6BC2">
        <w:rPr>
          <w:bCs/>
          <w:szCs w:val="24"/>
        </w:rPr>
        <w:t xml:space="preserve"> </w:t>
      </w:r>
      <w:r w:rsidR="007C5392" w:rsidRPr="004B6BC2">
        <w:rPr>
          <w:bCs/>
          <w:szCs w:val="24"/>
        </w:rPr>
        <w:t>et qu</w:t>
      </w:r>
      <w:r w:rsidR="00A44BB8" w:rsidRPr="004B6BC2">
        <w:rPr>
          <w:bCs/>
          <w:szCs w:val="24"/>
        </w:rPr>
        <w:t>'</w:t>
      </w:r>
      <w:r w:rsidR="007C5392" w:rsidRPr="004B6BC2">
        <w:rPr>
          <w:bCs/>
          <w:szCs w:val="24"/>
        </w:rPr>
        <w:t>il peut être nécessaire de prévoir des mesures transitoires pour l</w:t>
      </w:r>
      <w:r w:rsidR="00A44BB8" w:rsidRPr="004B6BC2">
        <w:rPr>
          <w:bCs/>
          <w:szCs w:val="24"/>
        </w:rPr>
        <w:t>'</w:t>
      </w:r>
      <w:r w:rsidR="007C5392" w:rsidRPr="004B6BC2">
        <w:rPr>
          <w:bCs/>
          <w:szCs w:val="24"/>
        </w:rPr>
        <w:t>examen par le Bureau des renseignements de coordination et de notification concernant les limites d</w:t>
      </w:r>
      <w:r w:rsidR="00A44BB8" w:rsidRPr="004B6BC2">
        <w:rPr>
          <w:bCs/>
          <w:szCs w:val="24"/>
        </w:rPr>
        <w:t>'</w:t>
      </w:r>
      <w:r w:rsidR="007C5392" w:rsidRPr="004B6BC2">
        <w:rPr>
          <w:bCs/>
          <w:szCs w:val="24"/>
        </w:rPr>
        <w:t>epfd des systèmes du SFS non OSG;</w:t>
      </w:r>
    </w:p>
    <w:p w14:paraId="7E858B55" w14:textId="7DB3CE95" w:rsidR="00487B09" w:rsidRPr="004B6BC2" w:rsidRDefault="00E5384C" w:rsidP="00D52932">
      <w:pPr>
        <w:snapToGrid w:val="0"/>
        <w:rPr>
          <w:bCs/>
          <w:i/>
          <w:iCs/>
          <w:szCs w:val="24"/>
        </w:rPr>
      </w:pPr>
      <w:r w:rsidRPr="004B6BC2">
        <w:rPr>
          <w:bCs/>
          <w:i/>
          <w:iCs/>
          <w:szCs w:val="24"/>
        </w:rPr>
        <w:t>r)</w:t>
      </w:r>
      <w:r w:rsidRPr="004B6BC2">
        <w:rPr>
          <w:bCs/>
          <w:szCs w:val="24"/>
        </w:rPr>
        <w:tab/>
      </w:r>
      <w:r w:rsidR="00914A8F" w:rsidRPr="004B6BC2">
        <w:rPr>
          <w:bCs/>
          <w:szCs w:val="24"/>
        </w:rPr>
        <w:t>qu</w:t>
      </w:r>
      <w:r w:rsidR="00A44BB8" w:rsidRPr="004B6BC2">
        <w:rPr>
          <w:bCs/>
          <w:szCs w:val="24"/>
        </w:rPr>
        <w:t>'</w:t>
      </w:r>
      <w:r w:rsidR="00914A8F" w:rsidRPr="004B6BC2">
        <w:rPr>
          <w:bCs/>
          <w:szCs w:val="24"/>
        </w:rPr>
        <w:t>il existe actuellement des réseaux du SFS et du SRS OSG et des systèmes du SFS non OSG qui ont été notifiés et sont exploités dans les bandes de fréquences assujetties aux limites d</w:t>
      </w:r>
      <w:r w:rsidR="00A44BB8" w:rsidRPr="004B6BC2">
        <w:rPr>
          <w:bCs/>
          <w:szCs w:val="24"/>
        </w:rPr>
        <w:t>'</w:t>
      </w:r>
      <w:r w:rsidR="00914A8F" w:rsidRPr="004B6BC2">
        <w:rPr>
          <w:bCs/>
          <w:szCs w:val="24"/>
        </w:rPr>
        <w:t>epfd de l</w:t>
      </w:r>
      <w:r w:rsidR="00A44BB8" w:rsidRPr="004B6BC2">
        <w:rPr>
          <w:bCs/>
          <w:szCs w:val="24"/>
        </w:rPr>
        <w:t>'</w:t>
      </w:r>
      <w:r w:rsidR="00914A8F" w:rsidRPr="004B6BC2">
        <w:rPr>
          <w:bCs/>
          <w:szCs w:val="24"/>
        </w:rPr>
        <w:t xml:space="preserve">Article </w:t>
      </w:r>
      <w:r w:rsidR="00914A8F" w:rsidRPr="004B6BC2">
        <w:rPr>
          <w:b/>
          <w:szCs w:val="24"/>
        </w:rPr>
        <w:t xml:space="preserve">22 </w:t>
      </w:r>
      <w:r w:rsidR="00487B09" w:rsidRPr="004B6BC2">
        <w:rPr>
          <w:bCs/>
          <w:szCs w:val="24"/>
        </w:rPr>
        <w:t>et que toute modification apportée à ce cadre</w:t>
      </w:r>
      <w:r w:rsidR="00487B09" w:rsidRPr="004B6BC2">
        <w:rPr>
          <w:szCs w:val="24"/>
        </w:rPr>
        <w:t xml:space="preserve"> </w:t>
      </w:r>
      <w:r w:rsidR="00A13474" w:rsidRPr="004B6BC2">
        <w:rPr>
          <w:szCs w:val="24"/>
        </w:rPr>
        <w:t>appellera</w:t>
      </w:r>
      <w:r w:rsidR="00D77773" w:rsidRPr="004B6BC2">
        <w:rPr>
          <w:szCs w:val="24"/>
        </w:rPr>
        <w:t xml:space="preserve"> peut-être</w:t>
      </w:r>
      <w:r w:rsidR="00487B09" w:rsidRPr="004B6BC2">
        <w:rPr>
          <w:szCs w:val="24"/>
        </w:rPr>
        <w:t xml:space="preserve"> des mesures transitoires a</w:t>
      </w:r>
      <w:r w:rsidR="00487B09" w:rsidRPr="004B6BC2">
        <w:rPr>
          <w:bCs/>
          <w:szCs w:val="24"/>
        </w:rPr>
        <w:t>fin de ne pas perturber ces services et de tenir dûment compte</w:t>
      </w:r>
      <w:r w:rsidR="00487B09" w:rsidRPr="004B6BC2">
        <w:rPr>
          <w:szCs w:val="24"/>
        </w:rPr>
        <w:t xml:space="preserve"> des</w:t>
      </w:r>
      <w:r w:rsidR="00487B09" w:rsidRPr="004B6BC2">
        <w:rPr>
          <w:bCs/>
          <w:szCs w:val="24"/>
        </w:rPr>
        <w:t xml:space="preserve"> besoins de ces réseaux OSG existants ou en projet;</w:t>
      </w:r>
    </w:p>
    <w:p w14:paraId="643F4452" w14:textId="2F61DCAB" w:rsidR="00487B09" w:rsidRPr="004B6BC2" w:rsidRDefault="00E5384C" w:rsidP="00A13474">
      <w:r w:rsidRPr="004B6BC2">
        <w:rPr>
          <w:i/>
          <w:iCs/>
        </w:rPr>
        <w:t>s</w:t>
      </w:r>
      <w:r w:rsidR="00487B09" w:rsidRPr="004B6BC2">
        <w:rPr>
          <w:i/>
          <w:iCs/>
        </w:rPr>
        <w:t>)</w:t>
      </w:r>
      <w:r w:rsidR="00487B09" w:rsidRPr="004B6BC2">
        <w:tab/>
        <w:t xml:space="preserve">que la </w:t>
      </w:r>
      <w:r w:rsidR="00487B09" w:rsidRPr="004B6BC2">
        <w:rPr>
          <w:bCs/>
        </w:rPr>
        <w:t xml:space="preserve">Résolution </w:t>
      </w:r>
      <w:r w:rsidR="00487B09" w:rsidRPr="004B6BC2">
        <w:rPr>
          <w:b/>
        </w:rPr>
        <w:t>76 (Rév.CMR-15)</w:t>
      </w:r>
      <w:r w:rsidR="00487B09" w:rsidRPr="004B6BC2">
        <w:rPr>
          <w:bCs/>
        </w:rPr>
        <w:t xml:space="preserve"> contient des </w:t>
      </w:r>
      <w:r w:rsidR="00487B09" w:rsidRPr="004B6BC2">
        <w:t>limites d</w:t>
      </w:r>
      <w:r w:rsidR="00A44BB8" w:rsidRPr="004B6BC2">
        <w:t>'</w:t>
      </w:r>
      <w:r w:rsidR="00487B09" w:rsidRPr="004B6BC2">
        <w:t>epfd cumulative ne devant pas être dépassées par les systèmes du SFS non OSG qui s</w:t>
      </w:r>
      <w:r w:rsidR="00A44BB8" w:rsidRPr="004B6BC2">
        <w:t>'</w:t>
      </w:r>
      <w:r w:rsidR="00487B09" w:rsidRPr="004B6BC2">
        <w:t>appliquent aux systèmes du SFS non</w:t>
      </w:r>
      <w:r w:rsidR="00B60219" w:rsidRPr="004B6BC2">
        <w:t> </w:t>
      </w:r>
      <w:r w:rsidR="00487B09" w:rsidRPr="004B6BC2">
        <w:t>OSG opérationnels afin de protéger les réseaux à satellite OSG du SFS et du SRS contre les brouillages inacceptables causés par tous les systèmes du SFS non OSG opérationnels fonctionnant sur la même bande de fréquences;</w:t>
      </w:r>
    </w:p>
    <w:p w14:paraId="6A2CF526" w14:textId="3AD76C25" w:rsidR="00487B09" w:rsidRPr="004B6BC2" w:rsidRDefault="00E5384C" w:rsidP="00A13474">
      <w:pPr>
        <w:snapToGrid w:val="0"/>
        <w:rPr>
          <w:bCs/>
          <w:szCs w:val="24"/>
        </w:rPr>
      </w:pPr>
      <w:r w:rsidRPr="004B6BC2">
        <w:rPr>
          <w:i/>
          <w:iCs/>
          <w:szCs w:val="24"/>
        </w:rPr>
        <w:t>t</w:t>
      </w:r>
      <w:r w:rsidR="00487B09" w:rsidRPr="004B6BC2">
        <w:rPr>
          <w:i/>
          <w:iCs/>
          <w:szCs w:val="24"/>
        </w:rPr>
        <w:t>)</w:t>
      </w:r>
      <w:r w:rsidR="00487B09" w:rsidRPr="004B6BC2">
        <w:rPr>
          <w:szCs w:val="24"/>
        </w:rPr>
        <w:tab/>
        <w:t>que les limites d</w:t>
      </w:r>
      <w:r w:rsidR="00A44BB8" w:rsidRPr="004B6BC2">
        <w:rPr>
          <w:szCs w:val="24"/>
        </w:rPr>
        <w:t>'</w:t>
      </w:r>
      <w:r w:rsidR="00487B09" w:rsidRPr="004B6BC2">
        <w:rPr>
          <w:szCs w:val="24"/>
        </w:rPr>
        <w:t xml:space="preserve">epfd cumulative de la </w:t>
      </w:r>
      <w:r w:rsidR="00487B09" w:rsidRPr="004B6BC2">
        <w:rPr>
          <w:bCs/>
          <w:szCs w:val="24"/>
        </w:rPr>
        <w:t xml:space="preserve">Résolution </w:t>
      </w:r>
      <w:r w:rsidR="00487B09" w:rsidRPr="004B6BC2">
        <w:rPr>
          <w:b/>
          <w:szCs w:val="24"/>
        </w:rPr>
        <w:t xml:space="preserve">76 (Rév.CMR-15) </w:t>
      </w:r>
      <w:r w:rsidR="00487B09" w:rsidRPr="004B6BC2">
        <w:rPr>
          <w:bCs/>
          <w:szCs w:val="24"/>
        </w:rPr>
        <w:t>ne sont pas examinées par le Bureau, car elles sont considérées comme des limites opérationnelles, mais qu</w:t>
      </w:r>
      <w:r w:rsidR="00A44BB8" w:rsidRPr="004B6BC2">
        <w:rPr>
          <w:bCs/>
          <w:szCs w:val="24"/>
        </w:rPr>
        <w:t>'</w:t>
      </w:r>
      <w:r w:rsidR="00487B09" w:rsidRPr="004B6BC2">
        <w:rPr>
          <w:bCs/>
          <w:szCs w:val="24"/>
        </w:rPr>
        <w:t>il n</w:t>
      </w:r>
      <w:r w:rsidR="00A44BB8" w:rsidRPr="004B6BC2">
        <w:rPr>
          <w:bCs/>
          <w:szCs w:val="24"/>
        </w:rPr>
        <w:t>'</w:t>
      </w:r>
      <w:r w:rsidR="00487B09" w:rsidRPr="004B6BC2">
        <w:rPr>
          <w:bCs/>
          <w:szCs w:val="24"/>
        </w:rPr>
        <w:t>existe pas de méthodes convenues pour calculer le brouillage cumulatif ou traiter les cas de dépassement des limites d</w:t>
      </w:r>
      <w:r w:rsidR="00A44BB8" w:rsidRPr="004B6BC2">
        <w:rPr>
          <w:bCs/>
          <w:szCs w:val="24"/>
        </w:rPr>
        <w:t>'</w:t>
      </w:r>
      <w:r w:rsidR="00487B09" w:rsidRPr="004B6BC2">
        <w:rPr>
          <w:bCs/>
          <w:szCs w:val="24"/>
        </w:rPr>
        <w:t>epfd cumulative, ce qui est source d</w:t>
      </w:r>
      <w:r w:rsidR="00A44BB8" w:rsidRPr="004B6BC2">
        <w:rPr>
          <w:bCs/>
          <w:szCs w:val="24"/>
        </w:rPr>
        <w:t>'</w:t>
      </w:r>
      <w:r w:rsidR="00487B09" w:rsidRPr="004B6BC2">
        <w:rPr>
          <w:bCs/>
          <w:szCs w:val="24"/>
        </w:rPr>
        <w:t>incertitude pour les réseaux OSG;</w:t>
      </w:r>
    </w:p>
    <w:p w14:paraId="0CB9B035" w14:textId="7AC9F9AC" w:rsidR="00487B09" w:rsidRPr="004B6BC2" w:rsidRDefault="00E5384C" w:rsidP="00A13474">
      <w:pPr>
        <w:snapToGrid w:val="0"/>
        <w:rPr>
          <w:bCs/>
          <w:szCs w:val="24"/>
        </w:rPr>
      </w:pPr>
      <w:r w:rsidRPr="004B6BC2">
        <w:rPr>
          <w:bCs/>
          <w:i/>
          <w:iCs/>
          <w:szCs w:val="24"/>
        </w:rPr>
        <w:t>u</w:t>
      </w:r>
      <w:r w:rsidR="00487B09" w:rsidRPr="004B6BC2">
        <w:rPr>
          <w:bCs/>
          <w:i/>
          <w:iCs/>
          <w:szCs w:val="24"/>
        </w:rPr>
        <w:t>)</w:t>
      </w:r>
      <w:r w:rsidR="00487B09" w:rsidRPr="004B6BC2">
        <w:rPr>
          <w:bCs/>
          <w:i/>
          <w:iCs/>
          <w:szCs w:val="24"/>
        </w:rPr>
        <w:tab/>
      </w:r>
      <w:r w:rsidR="00914A8F" w:rsidRPr="004B6BC2">
        <w:rPr>
          <w:bCs/>
          <w:szCs w:val="24"/>
        </w:rPr>
        <w:t>que</w:t>
      </w:r>
      <w:r w:rsidR="00D77773" w:rsidRPr="004B6BC2">
        <w:t xml:space="preserve"> </w:t>
      </w:r>
      <w:r w:rsidR="00D77773" w:rsidRPr="004B6BC2">
        <w:rPr>
          <w:bCs/>
          <w:szCs w:val="24"/>
        </w:rPr>
        <w:t>les administrations prévoyant de mettre au point de tels systèmes doivent s</w:t>
      </w:r>
      <w:r w:rsidR="00A44BB8" w:rsidRPr="004B6BC2">
        <w:rPr>
          <w:bCs/>
          <w:szCs w:val="24"/>
        </w:rPr>
        <w:t>'</w:t>
      </w:r>
      <w:r w:rsidR="00D77773" w:rsidRPr="004B6BC2">
        <w:rPr>
          <w:bCs/>
          <w:szCs w:val="24"/>
        </w:rPr>
        <w:t xml:space="preserve">assurer que les assignations figurant dans le Plan des Appendices </w:t>
      </w:r>
      <w:r w:rsidR="00D77773" w:rsidRPr="004B6BC2">
        <w:rPr>
          <w:b/>
          <w:szCs w:val="24"/>
        </w:rPr>
        <w:t>30</w:t>
      </w:r>
      <w:r w:rsidR="00D77773" w:rsidRPr="004B6BC2">
        <w:rPr>
          <w:bCs/>
          <w:szCs w:val="24"/>
        </w:rPr>
        <w:t xml:space="preserve"> et </w:t>
      </w:r>
      <w:r w:rsidR="00D77773" w:rsidRPr="004B6BC2">
        <w:rPr>
          <w:b/>
          <w:szCs w:val="24"/>
        </w:rPr>
        <w:t xml:space="preserve">30B </w:t>
      </w:r>
      <w:r w:rsidR="00D77773" w:rsidRPr="004B6BC2">
        <w:rPr>
          <w:bCs/>
          <w:szCs w:val="24"/>
        </w:rPr>
        <w:t xml:space="preserve">seront protégées </w:t>
      </w:r>
      <w:r w:rsidR="00D77773" w:rsidRPr="004B6BC2">
        <w:t xml:space="preserve">contre les brouillages inacceptables conformément au numéro </w:t>
      </w:r>
      <w:r w:rsidR="00D77773" w:rsidRPr="004B6BC2">
        <w:rPr>
          <w:b/>
          <w:bCs/>
        </w:rPr>
        <w:t>22.2</w:t>
      </w:r>
      <w:r w:rsidR="00D77773" w:rsidRPr="004B6BC2">
        <w:t>,</w:t>
      </w:r>
    </w:p>
    <w:p w14:paraId="4E168C93" w14:textId="77777777" w:rsidR="00E5384C" w:rsidRPr="004B6BC2" w:rsidRDefault="00E5384C" w:rsidP="00A13474">
      <w:pPr>
        <w:pStyle w:val="Call"/>
      </w:pPr>
      <w:r w:rsidRPr="004B6BC2">
        <w:t>reconnaissant en outre</w:t>
      </w:r>
    </w:p>
    <w:p w14:paraId="750ACA31" w14:textId="4E8DC344" w:rsidR="00487B09" w:rsidRPr="004B6BC2" w:rsidRDefault="00914A8F" w:rsidP="00D52932">
      <w:r w:rsidRPr="004B6BC2">
        <w:rPr>
          <w:rStyle w:val="ui-provider"/>
          <w:szCs w:val="24"/>
        </w:rPr>
        <w:t>que les limites d</w:t>
      </w:r>
      <w:r w:rsidR="00A44BB8" w:rsidRPr="004B6BC2">
        <w:rPr>
          <w:rStyle w:val="ui-provider"/>
          <w:szCs w:val="24"/>
        </w:rPr>
        <w:t>'</w:t>
      </w:r>
      <w:r w:rsidRPr="004B6BC2">
        <w:rPr>
          <w:rStyle w:val="ui-provider"/>
          <w:szCs w:val="24"/>
        </w:rPr>
        <w:t>epfd de l</w:t>
      </w:r>
      <w:r w:rsidR="00A44BB8" w:rsidRPr="004B6BC2">
        <w:rPr>
          <w:rStyle w:val="ui-provider"/>
          <w:szCs w:val="24"/>
        </w:rPr>
        <w:t>'</w:t>
      </w:r>
      <w:r w:rsidRPr="004B6BC2">
        <w:rPr>
          <w:rStyle w:val="ui-provider"/>
          <w:szCs w:val="24"/>
        </w:rPr>
        <w:t xml:space="preserve">Article </w:t>
      </w:r>
      <w:r w:rsidRPr="004B6BC2">
        <w:rPr>
          <w:rStyle w:val="ui-provider"/>
          <w:b/>
          <w:bCs/>
          <w:szCs w:val="24"/>
        </w:rPr>
        <w:t>22</w:t>
      </w:r>
      <w:r w:rsidRPr="004B6BC2">
        <w:rPr>
          <w:rStyle w:val="ui-provider"/>
          <w:szCs w:val="24"/>
        </w:rPr>
        <w:t xml:space="preserve"> </w:t>
      </w:r>
      <w:r w:rsidR="00BA1E45" w:rsidRPr="004B6BC2">
        <w:rPr>
          <w:rStyle w:val="ui-provider"/>
          <w:szCs w:val="24"/>
        </w:rPr>
        <w:t xml:space="preserve">applicables aux </w:t>
      </w:r>
      <w:r w:rsidRPr="004B6BC2">
        <w:rPr>
          <w:rStyle w:val="ui-provider"/>
          <w:szCs w:val="24"/>
        </w:rPr>
        <w:t>systèmes du SFS non OSG fonctionnant dans des parties des bandes de fréquences au-dessous de 30 GHz ont été conçues uniquement pour protéger les réseaux à satellite du SFS et du SRS OSG, étant donné que les limites de l</w:t>
      </w:r>
      <w:r w:rsidR="00A44BB8" w:rsidRPr="004B6BC2">
        <w:rPr>
          <w:rStyle w:val="ui-provider"/>
          <w:szCs w:val="24"/>
        </w:rPr>
        <w:t>'</w:t>
      </w:r>
      <w:r w:rsidRPr="004B6BC2">
        <w:rPr>
          <w:rStyle w:val="ui-provider"/>
          <w:szCs w:val="24"/>
        </w:rPr>
        <w:t>Article</w:t>
      </w:r>
      <w:r w:rsidR="00B60219" w:rsidRPr="004B6BC2">
        <w:rPr>
          <w:rStyle w:val="ui-provider"/>
          <w:szCs w:val="24"/>
        </w:rPr>
        <w:t> </w:t>
      </w:r>
      <w:r w:rsidRPr="004B6BC2">
        <w:rPr>
          <w:rStyle w:val="ui-provider"/>
          <w:b/>
          <w:bCs/>
          <w:szCs w:val="24"/>
        </w:rPr>
        <w:t>21</w:t>
      </w:r>
      <w:r w:rsidR="00B60219" w:rsidRPr="004B6BC2">
        <w:rPr>
          <w:rStyle w:val="ui-provider"/>
          <w:szCs w:val="24"/>
        </w:rPr>
        <w:t> </w:t>
      </w:r>
      <w:r w:rsidRPr="004B6BC2">
        <w:rPr>
          <w:rStyle w:val="ui-provider"/>
          <w:szCs w:val="24"/>
        </w:rPr>
        <w:t>s</w:t>
      </w:r>
      <w:r w:rsidR="00A44BB8" w:rsidRPr="004B6BC2">
        <w:rPr>
          <w:rStyle w:val="ui-provider"/>
          <w:szCs w:val="24"/>
        </w:rPr>
        <w:t>'</w:t>
      </w:r>
      <w:r w:rsidRPr="004B6BC2">
        <w:rPr>
          <w:rStyle w:val="ui-provider"/>
          <w:szCs w:val="24"/>
        </w:rPr>
        <w:t>appliquent aux services de Terre,</w:t>
      </w:r>
    </w:p>
    <w:p w14:paraId="05C8B065" w14:textId="7447981E" w:rsidR="00487B09" w:rsidRPr="004B6BC2" w:rsidRDefault="00487B09" w:rsidP="00A13474">
      <w:pPr>
        <w:pStyle w:val="Call"/>
      </w:pPr>
      <w:r w:rsidRPr="004B6BC2">
        <w:t>décide d</w:t>
      </w:r>
      <w:r w:rsidR="00A44BB8" w:rsidRPr="004B6BC2">
        <w:t>'</w:t>
      </w:r>
      <w:r w:rsidRPr="004B6BC2">
        <w:t>inviter l</w:t>
      </w:r>
      <w:r w:rsidR="00A44BB8" w:rsidRPr="004B6BC2">
        <w:t>'</w:t>
      </w:r>
      <w:r w:rsidRPr="004B6BC2">
        <w:t>UIT-R</w:t>
      </w:r>
    </w:p>
    <w:p w14:paraId="7F23C4E4" w14:textId="4864078E" w:rsidR="00487B09" w:rsidRPr="004B6BC2" w:rsidRDefault="00487B09" w:rsidP="00D52932">
      <w:r w:rsidRPr="004B6BC2">
        <w:t>1</w:t>
      </w:r>
      <w:r w:rsidRPr="004B6BC2">
        <w:tab/>
        <w:t>à mener et à achever, à temps pour la CMR-27, des études sur les dispositions réglementaires actuelles, y compris les limites d</w:t>
      </w:r>
      <w:r w:rsidR="00A44BB8" w:rsidRPr="004B6BC2">
        <w:t>'</w:t>
      </w:r>
      <w:r w:rsidRPr="004B6BC2">
        <w:t xml:space="preserve">epfd, applicables aux systèmes du SFS non OSG afin de protéger les réseaux du SFS et du SRS OSG contre les brouillages inacceptables dans les bandes de fréquences </w:t>
      </w:r>
      <w:r w:rsidR="00914A8F" w:rsidRPr="004B6BC2">
        <w:t xml:space="preserve">au-dessous de </w:t>
      </w:r>
      <w:r w:rsidRPr="004B6BC2">
        <w:t>30</w:t>
      </w:r>
      <w:r w:rsidR="00914A8F" w:rsidRPr="004B6BC2">
        <w:t> </w:t>
      </w:r>
      <w:r w:rsidRPr="004B6BC2">
        <w:t>GHz dans lesquelles les limites d</w:t>
      </w:r>
      <w:r w:rsidR="00A44BB8" w:rsidRPr="004B6BC2">
        <w:t>'</w:t>
      </w:r>
      <w:r w:rsidRPr="004B6BC2">
        <w:t>epfd de l</w:t>
      </w:r>
      <w:r w:rsidR="00A44BB8" w:rsidRPr="004B6BC2">
        <w:t>'</w:t>
      </w:r>
      <w:r w:rsidRPr="004B6BC2">
        <w:t>Article</w:t>
      </w:r>
      <w:r w:rsidR="00B60219" w:rsidRPr="004B6BC2">
        <w:t> </w:t>
      </w:r>
      <w:r w:rsidRPr="004B6BC2">
        <w:rPr>
          <w:b/>
          <w:bCs/>
        </w:rPr>
        <w:t>22</w:t>
      </w:r>
      <w:r w:rsidR="00B60219" w:rsidRPr="004B6BC2">
        <w:rPr>
          <w:b/>
          <w:bCs/>
        </w:rPr>
        <w:t> </w:t>
      </w:r>
      <w:r w:rsidRPr="004B6BC2">
        <w:t>s</w:t>
      </w:r>
      <w:r w:rsidR="00A44BB8" w:rsidRPr="004B6BC2">
        <w:t>'</w:t>
      </w:r>
      <w:r w:rsidRPr="004B6BC2">
        <w:t xml:space="preserve">appliquent, </w:t>
      </w:r>
      <w:r w:rsidR="00BA1E45" w:rsidRPr="004B6BC2">
        <w:t xml:space="preserve">prévoyant une </w:t>
      </w:r>
      <w:r w:rsidRPr="004B6BC2">
        <w:t>évaluation, par les administrations, des limites d</w:t>
      </w:r>
      <w:r w:rsidR="00A44BB8" w:rsidRPr="004B6BC2">
        <w:t>'</w:t>
      </w:r>
      <w:r w:rsidRPr="004B6BC2">
        <w:t>epfd cumulative indiquées dans la Résolution </w:t>
      </w:r>
      <w:r w:rsidRPr="004B6BC2">
        <w:rPr>
          <w:b/>
          <w:bCs/>
        </w:rPr>
        <w:t xml:space="preserve">76 (Rév.CMR-15) </w:t>
      </w:r>
      <w:r w:rsidRPr="004B6BC2">
        <w:t xml:space="preserve">et la mise en œuvre de ces dispositions </w:t>
      </w:r>
      <w:r w:rsidRPr="004B6BC2">
        <w:lastRenderedPageBreak/>
        <w:t xml:space="preserve">réglementaires, sans modifier les exigences ou les conditions régissant la coordination au titre des numéros </w:t>
      </w:r>
      <w:r w:rsidRPr="004B6BC2">
        <w:rPr>
          <w:b/>
          <w:bCs/>
        </w:rPr>
        <w:t>9.7A</w:t>
      </w:r>
      <w:r w:rsidRPr="004B6BC2">
        <w:t xml:space="preserve"> et </w:t>
      </w:r>
      <w:r w:rsidRPr="004B6BC2">
        <w:rPr>
          <w:b/>
          <w:bCs/>
        </w:rPr>
        <w:t>9.7B</w:t>
      </w:r>
      <w:r w:rsidRPr="004B6BC2">
        <w:t xml:space="preserve">, </w:t>
      </w:r>
      <w:r w:rsidR="00BA1E45" w:rsidRPr="004B6BC2">
        <w:t xml:space="preserve">dans le but </w:t>
      </w:r>
      <w:r w:rsidRPr="004B6BC2">
        <w:t xml:space="preserve">de protéger les réseaux OSG conformément au numéro </w:t>
      </w:r>
      <w:r w:rsidRPr="004B6BC2">
        <w:rPr>
          <w:b/>
          <w:bCs/>
        </w:rPr>
        <w:t>22.2</w:t>
      </w:r>
      <w:r w:rsidRPr="004B6BC2">
        <w:t xml:space="preserve"> et d</w:t>
      </w:r>
      <w:r w:rsidR="00A44BB8" w:rsidRPr="004B6BC2">
        <w:t>'</w:t>
      </w:r>
      <w:r w:rsidRPr="004B6BC2">
        <w:t>améliorer l</w:t>
      </w:r>
      <w:r w:rsidR="00A44BB8" w:rsidRPr="004B6BC2">
        <w:t>'</w:t>
      </w:r>
      <w:r w:rsidRPr="004B6BC2">
        <w:t>efficacité d</w:t>
      </w:r>
      <w:r w:rsidR="00A44BB8" w:rsidRPr="004B6BC2">
        <w:t>'</w:t>
      </w:r>
      <w:r w:rsidRPr="004B6BC2">
        <w:t>utilisation des ressources spectrales;</w:t>
      </w:r>
    </w:p>
    <w:p w14:paraId="1A45537E" w14:textId="726CE73E" w:rsidR="00487B09" w:rsidRPr="004B6BC2" w:rsidRDefault="00487B09" w:rsidP="00D52932">
      <w:r w:rsidRPr="004B6BC2">
        <w:t>2</w:t>
      </w:r>
      <w:r w:rsidRPr="004B6BC2">
        <w:tab/>
        <w:t xml:space="preserve">à </w:t>
      </w:r>
      <w:r w:rsidR="00BA1E45" w:rsidRPr="004B6BC2">
        <w:t>définir</w:t>
      </w:r>
      <w:r w:rsidRPr="004B6BC2">
        <w:t xml:space="preserve">, sur la base des résultats des études visées au point 1 du </w:t>
      </w:r>
      <w:r w:rsidRPr="004B6BC2">
        <w:rPr>
          <w:i/>
          <w:iCs/>
        </w:rPr>
        <w:t>décide</w:t>
      </w:r>
      <w:r w:rsidRPr="004B6BC2">
        <w:t xml:space="preserve"> et </w:t>
      </w:r>
      <w:r w:rsidR="00BA1E45" w:rsidRPr="004B6BC2">
        <w:t>en fonction des besoins</w:t>
      </w:r>
      <w:r w:rsidRPr="004B6BC2">
        <w:t xml:space="preserve">, </w:t>
      </w:r>
      <w:r w:rsidR="00BA1E45" w:rsidRPr="004B6BC2">
        <w:t xml:space="preserve">les </w:t>
      </w:r>
      <w:r w:rsidRPr="004B6BC2">
        <w:t xml:space="preserve">modifications </w:t>
      </w:r>
      <w:r w:rsidR="00BA1E45" w:rsidRPr="004B6BC2">
        <w:t>qui pourraient être</w:t>
      </w:r>
      <w:r w:rsidRPr="004B6BC2">
        <w:t xml:space="preserve"> </w:t>
      </w:r>
      <w:r w:rsidR="00BA1E45" w:rsidRPr="004B6BC2">
        <w:t xml:space="preserve">apportées </w:t>
      </w:r>
      <w:r w:rsidRPr="004B6BC2">
        <w:t>aux dispositions réglementaires, y compris aux limites d</w:t>
      </w:r>
      <w:r w:rsidR="00A44BB8" w:rsidRPr="004B6BC2">
        <w:t>'</w:t>
      </w:r>
      <w:r w:rsidRPr="004B6BC2">
        <w:t>epfd, applicables aux systèmes du SFS non OSG</w:t>
      </w:r>
      <w:r w:rsidR="00BA1E45" w:rsidRPr="004B6BC2">
        <w:t>,</w:t>
      </w:r>
      <w:r w:rsidRPr="004B6BC2">
        <w:t xml:space="preserve"> afin de protéger les réseaux du SFS et du SRS OSG contre les brouillages inacceptables dans les fréquences </w:t>
      </w:r>
      <w:r w:rsidR="002A1A24" w:rsidRPr="004B6BC2">
        <w:t>au-dessous de</w:t>
      </w:r>
      <w:r w:rsidR="00A13474" w:rsidRPr="004B6BC2">
        <w:t> </w:t>
      </w:r>
      <w:r w:rsidRPr="004B6BC2">
        <w:t>30</w:t>
      </w:r>
      <w:r w:rsidR="00A13474" w:rsidRPr="004B6BC2">
        <w:t> </w:t>
      </w:r>
      <w:r w:rsidRPr="004B6BC2">
        <w:t>GHz dans lesquelles les limites d</w:t>
      </w:r>
      <w:r w:rsidR="00A44BB8" w:rsidRPr="004B6BC2">
        <w:t>'</w:t>
      </w:r>
      <w:r w:rsidRPr="004B6BC2">
        <w:t>epfd de l</w:t>
      </w:r>
      <w:r w:rsidR="00A44BB8" w:rsidRPr="004B6BC2">
        <w:t>'</w:t>
      </w:r>
      <w:r w:rsidRPr="004B6BC2">
        <w:t xml:space="preserve">Article </w:t>
      </w:r>
      <w:r w:rsidRPr="004B6BC2">
        <w:rPr>
          <w:b/>
          <w:bCs/>
        </w:rPr>
        <w:t>22</w:t>
      </w:r>
      <w:r w:rsidRPr="004B6BC2">
        <w:t xml:space="preserve"> s</w:t>
      </w:r>
      <w:r w:rsidR="00A44BB8" w:rsidRPr="004B6BC2">
        <w:t>'</w:t>
      </w:r>
      <w:r w:rsidRPr="004B6BC2">
        <w:t>appliquent</w:t>
      </w:r>
      <w:r w:rsidR="00BA1E45" w:rsidRPr="004B6BC2">
        <w:t xml:space="preserve">, </w:t>
      </w:r>
      <w:r w:rsidRPr="004B6BC2">
        <w:t xml:space="preserve">ou le cadre </w:t>
      </w:r>
      <w:r w:rsidR="00BA1E45" w:rsidRPr="004B6BC2">
        <w:t>des</w:t>
      </w:r>
      <w:r w:rsidRPr="004B6BC2">
        <w:t xml:space="preserve"> limites d</w:t>
      </w:r>
      <w:r w:rsidR="00A44BB8" w:rsidRPr="004B6BC2">
        <w:t>'</w:t>
      </w:r>
      <w:r w:rsidRPr="004B6BC2">
        <w:t xml:space="preserve">epfd </w:t>
      </w:r>
      <w:r w:rsidR="00BA1E45" w:rsidRPr="004B6BC2">
        <w:t xml:space="preserve">pourra être remplacé </w:t>
      </w:r>
      <w:r w:rsidRPr="004B6BC2">
        <w:t>par une autre approche et des limites associées</w:t>
      </w:r>
      <w:r w:rsidR="00BA1E45" w:rsidRPr="004B6BC2">
        <w:t xml:space="preserve"> pourront être élaborées, sans que le numéro </w:t>
      </w:r>
      <w:r w:rsidR="00BA1E45" w:rsidRPr="004B6BC2">
        <w:rPr>
          <w:b/>
          <w:bCs/>
        </w:rPr>
        <w:t>22.2</w:t>
      </w:r>
      <w:r w:rsidR="00BA1E45" w:rsidRPr="004B6BC2">
        <w:t xml:space="preserve"> du RR soit modifié</w:t>
      </w:r>
      <w:r w:rsidR="006A4D07" w:rsidRPr="004B6BC2">
        <w:t>;</w:t>
      </w:r>
    </w:p>
    <w:p w14:paraId="31BC816C" w14:textId="2AA7576F" w:rsidR="00487B09" w:rsidRPr="004B6BC2" w:rsidRDefault="00E5384C" w:rsidP="00D52932">
      <w:r w:rsidRPr="004B6BC2">
        <w:t>3</w:t>
      </w:r>
      <w:r w:rsidR="00487B09" w:rsidRPr="004B6BC2">
        <w:tab/>
      </w:r>
      <w:r w:rsidR="002A1A24" w:rsidRPr="004B6BC2">
        <w:t xml:space="preserve">à </w:t>
      </w:r>
      <w:r w:rsidR="00487B09" w:rsidRPr="004B6BC2">
        <w:t>achever, d</w:t>
      </w:r>
      <w:r w:rsidR="00A44BB8" w:rsidRPr="004B6BC2">
        <w:t>'</w:t>
      </w:r>
      <w:r w:rsidR="00487B09" w:rsidRPr="004B6BC2">
        <w:t>ici à la CMR-27, l</w:t>
      </w:r>
      <w:r w:rsidR="00A44BB8" w:rsidRPr="004B6BC2">
        <w:t>'</w:t>
      </w:r>
      <w:r w:rsidR="00487B09" w:rsidRPr="004B6BC2">
        <w:t>élaboration d</w:t>
      </w:r>
      <w:r w:rsidR="00A44BB8" w:rsidRPr="004B6BC2">
        <w:t>'</w:t>
      </w:r>
      <w:r w:rsidR="00487B09" w:rsidRPr="004B6BC2">
        <w:t xml:space="preserve">une méthode appropriée permettant de modéliser avec précision les systèmes non OSG et de calculer les limites </w:t>
      </w:r>
      <w:r w:rsidR="00BA1E45" w:rsidRPr="004B6BC2">
        <w:t xml:space="preserve">de puissance cumulative </w:t>
      </w:r>
      <w:r w:rsidR="00487B09" w:rsidRPr="004B6BC2">
        <w:t>produite par tous les systèmes du SFS non OSG exploités</w:t>
      </w:r>
      <w:r w:rsidR="00BA1E45" w:rsidRPr="004B6BC2">
        <w:t>,</w:t>
      </w:r>
      <w:r w:rsidR="00487B09" w:rsidRPr="004B6BC2">
        <w:t xml:space="preserve"> ou qu</w:t>
      </w:r>
      <w:r w:rsidR="00A44BB8" w:rsidRPr="004B6BC2">
        <w:t>'</w:t>
      </w:r>
      <w:r w:rsidR="00487B09" w:rsidRPr="004B6BC2">
        <w:t>il est prévu d</w:t>
      </w:r>
      <w:r w:rsidR="00A44BB8" w:rsidRPr="004B6BC2">
        <w:t>'</w:t>
      </w:r>
      <w:r w:rsidR="00487B09" w:rsidRPr="004B6BC2">
        <w:t>exploiter</w:t>
      </w:r>
      <w:r w:rsidR="00BA1E45" w:rsidRPr="004B6BC2">
        <w:t>,</w:t>
      </w:r>
      <w:r w:rsidR="00487B09" w:rsidRPr="004B6BC2">
        <w:t xml:space="preserve"> sur les mêmes fréquences que celles utilisées par </w:t>
      </w:r>
      <w:r w:rsidR="00BA1E45" w:rsidRPr="004B6BC2">
        <w:t xml:space="preserve">les </w:t>
      </w:r>
      <w:r w:rsidR="00487B09" w:rsidRPr="004B6BC2">
        <w:t xml:space="preserve">réseaux du SFS et du SRS OSG, ainsi que </w:t>
      </w:r>
      <w:r w:rsidR="00BA1E45" w:rsidRPr="004B6BC2">
        <w:t xml:space="preserve">des </w:t>
      </w:r>
      <w:r w:rsidR="00487B09" w:rsidRPr="004B6BC2">
        <w:t xml:space="preserve">autres éléments nécessaires pour permettre aux administrations de tenir des réunions de consultation </w:t>
      </w:r>
      <w:r w:rsidR="00BA1E45" w:rsidRPr="004B6BC2">
        <w:t>destinées à</w:t>
      </w:r>
      <w:r w:rsidR="00BA1E45" w:rsidRPr="004B6BC2" w:rsidDel="00BA1E45">
        <w:t xml:space="preserve"> </w:t>
      </w:r>
      <w:r w:rsidR="00487B09" w:rsidRPr="004B6BC2">
        <w:t>confirmer le respect des limites</w:t>
      </w:r>
      <w:r w:rsidR="00BA1E45" w:rsidRPr="004B6BC2">
        <w:t xml:space="preserve"> de puissance</w:t>
      </w:r>
      <w:r w:rsidR="00487B09" w:rsidRPr="004B6BC2">
        <w:t xml:space="preserve"> cumulatives applicables;</w:t>
      </w:r>
    </w:p>
    <w:p w14:paraId="27BDDD9C" w14:textId="71280D77" w:rsidR="00487B09" w:rsidRPr="004B6BC2" w:rsidRDefault="00E5384C" w:rsidP="00D52932">
      <w:r w:rsidRPr="004B6BC2">
        <w:t>4</w:t>
      </w:r>
      <w:r w:rsidRPr="004B6BC2">
        <w:tab/>
      </w:r>
      <w:r w:rsidR="002A1A24" w:rsidRPr="004B6BC2">
        <w:t xml:space="preserve">à élaborer </w:t>
      </w:r>
      <w:r w:rsidR="00487B09" w:rsidRPr="004B6BC2">
        <w:t>les procédures que doivent suivre les administrations pour confirmer le respect des limites</w:t>
      </w:r>
      <w:r w:rsidR="00BA1E45" w:rsidRPr="004B6BC2">
        <w:t xml:space="preserve"> de </w:t>
      </w:r>
      <w:r w:rsidR="00ED5070" w:rsidRPr="004B6BC2">
        <w:t>puissance cumulatives</w:t>
      </w:r>
      <w:r w:rsidR="00487B09" w:rsidRPr="004B6BC2">
        <w:t xml:space="preserve"> applicables;</w:t>
      </w:r>
    </w:p>
    <w:p w14:paraId="39EB6730" w14:textId="155DEBED" w:rsidR="00487B09" w:rsidRPr="004B6BC2" w:rsidRDefault="00E5384C" w:rsidP="00ED5070">
      <w:r w:rsidRPr="004B6BC2">
        <w:t>5</w:t>
      </w:r>
      <w:r w:rsidR="00487B09" w:rsidRPr="004B6BC2">
        <w:tab/>
        <w:t xml:space="preserve">à élaborer une méthode appropriée pour garantir le respect des limites </w:t>
      </w:r>
      <w:r w:rsidR="00BA1E45" w:rsidRPr="004B6BC2">
        <w:t xml:space="preserve">de puissance </w:t>
      </w:r>
      <w:r w:rsidR="00ED5070" w:rsidRPr="004B6BC2">
        <w:t>cumulative applicables</w:t>
      </w:r>
      <w:r w:rsidR="00487B09" w:rsidRPr="004B6BC2">
        <w:t>, en cas de dépassement de ces limites;</w:t>
      </w:r>
    </w:p>
    <w:p w14:paraId="16E27B26" w14:textId="46A17A00" w:rsidR="00487B09" w:rsidRPr="004B6BC2" w:rsidRDefault="00E5384C" w:rsidP="00ED5070">
      <w:r w:rsidRPr="004B6BC2">
        <w:t>6</w:t>
      </w:r>
      <w:r w:rsidR="00487B09" w:rsidRPr="004B6BC2">
        <w:tab/>
        <w:t xml:space="preserve">à élaborer dès que possible, sur la base des résultats des études menées au titre des points 1 et 2 du </w:t>
      </w:r>
      <w:r w:rsidR="00487B09" w:rsidRPr="004B6BC2">
        <w:rPr>
          <w:i/>
          <w:iCs/>
        </w:rPr>
        <w:t>décide</w:t>
      </w:r>
      <w:r w:rsidR="00487B09" w:rsidRPr="004B6BC2">
        <w:t>, les méthodes ou outils supplémentaires dont le Bureau pourrait avoir besoin pour examiner les fiches de notification de</w:t>
      </w:r>
      <w:r w:rsidR="002D1BCD" w:rsidRPr="004B6BC2">
        <w:t>s</w:t>
      </w:r>
      <w:r w:rsidR="00487B09" w:rsidRPr="004B6BC2">
        <w:t xml:space="preserve"> systèmes non OSG</w:t>
      </w:r>
      <w:r w:rsidR="002D1BCD" w:rsidRPr="004B6BC2">
        <w:t xml:space="preserve">, </w:t>
      </w:r>
      <w:r w:rsidR="00487B09" w:rsidRPr="004B6BC2">
        <w:t xml:space="preserve">afin de vérifier leur conformité </w:t>
      </w:r>
      <w:r w:rsidR="00ED5070" w:rsidRPr="004B6BC2">
        <w:t>aux limites</w:t>
      </w:r>
      <w:r w:rsidR="00487B09" w:rsidRPr="004B6BC2">
        <w:t xml:space="preserve"> d</w:t>
      </w:r>
      <w:r w:rsidR="00A44BB8" w:rsidRPr="004B6BC2">
        <w:t>'</w:t>
      </w:r>
      <w:r w:rsidR="00487B09" w:rsidRPr="004B6BC2">
        <w:t>epfd pour une seule source de brouillage;</w:t>
      </w:r>
    </w:p>
    <w:p w14:paraId="099B2B10" w14:textId="70FD3ADA" w:rsidR="00487B09" w:rsidRPr="004B6BC2" w:rsidRDefault="00E5384C" w:rsidP="00ED5070">
      <w:r w:rsidRPr="004B6BC2">
        <w:t>7</w:t>
      </w:r>
      <w:r w:rsidR="00487B09" w:rsidRPr="004B6BC2">
        <w:tab/>
        <w:t>à étudier et à déterminer les moyens permettant de faire en sorte que les limites pour une seule source de brouillage destinées à protéger les réseaux OSG soient appliquées pour un système complet</w:t>
      </w:r>
      <w:r w:rsidR="002D1BCD" w:rsidRPr="004B6BC2">
        <w:t xml:space="preserve">, </w:t>
      </w:r>
      <w:r w:rsidR="00487B09" w:rsidRPr="004B6BC2">
        <w:t xml:space="preserve">et non </w:t>
      </w:r>
      <w:r w:rsidR="002D1BCD" w:rsidRPr="004B6BC2">
        <w:t xml:space="preserve">pour chaque </w:t>
      </w:r>
      <w:r w:rsidR="00487B09" w:rsidRPr="004B6BC2">
        <w:t>fiche de notification,</w:t>
      </w:r>
    </w:p>
    <w:p w14:paraId="20CFB884" w14:textId="77777777" w:rsidR="00487B09" w:rsidRPr="004B6BC2" w:rsidRDefault="00487B09" w:rsidP="00ED5070">
      <w:pPr>
        <w:pStyle w:val="Call"/>
        <w:rPr>
          <w:lang w:eastAsia="en-GB"/>
        </w:rPr>
      </w:pPr>
      <w:r w:rsidRPr="004B6BC2">
        <w:t>invite la Conférence mondiale des radiocommunications de 2027</w:t>
      </w:r>
    </w:p>
    <w:p w14:paraId="5BE6602A" w14:textId="56F03A85" w:rsidR="00487B09" w:rsidRPr="004B6BC2" w:rsidRDefault="00487B09" w:rsidP="00ED5070">
      <w:r w:rsidRPr="004B6BC2">
        <w:t xml:space="preserve">à examiner les résultats des études susmentionnées et à prendre les mesures réglementaires nécessaires, </w:t>
      </w:r>
      <w:r w:rsidR="002D1BCD" w:rsidRPr="004B6BC2">
        <w:t>selon qu</w:t>
      </w:r>
      <w:r w:rsidR="00A44BB8" w:rsidRPr="004B6BC2">
        <w:t>'</w:t>
      </w:r>
      <w:r w:rsidR="002D1BCD" w:rsidRPr="004B6BC2">
        <w:t>il conviendra</w:t>
      </w:r>
      <w:r w:rsidR="006A4D07" w:rsidRPr="004B6BC2">
        <w:t>.</w:t>
      </w:r>
    </w:p>
    <w:p w14:paraId="30041EA6" w14:textId="14DCF2A4" w:rsidR="00487B09" w:rsidRPr="004B6BC2" w:rsidRDefault="00487B09" w:rsidP="00ED5070">
      <w:pPr>
        <w:pStyle w:val="Reasons"/>
      </w:pPr>
      <w:r w:rsidRPr="004B6BC2">
        <w:rPr>
          <w:b/>
        </w:rPr>
        <w:t>Motifs:</w:t>
      </w:r>
      <w:r w:rsidRPr="004B6BC2">
        <w:tab/>
      </w:r>
      <w:r w:rsidR="002A1A24" w:rsidRPr="004B6BC2">
        <w:t>Procéder d</w:t>
      </w:r>
      <w:r w:rsidR="00A44BB8" w:rsidRPr="004B6BC2">
        <w:t>'</w:t>
      </w:r>
      <w:r w:rsidR="002A1A24" w:rsidRPr="004B6BC2">
        <w:t>urgence à des études dans la gamme de fréquences au-dessous de</w:t>
      </w:r>
      <w:r w:rsidR="00ED5070" w:rsidRPr="004B6BC2">
        <w:t> </w:t>
      </w:r>
      <w:r w:rsidR="002A1A24" w:rsidRPr="004B6BC2">
        <w:t>30 GHz</w:t>
      </w:r>
      <w:r w:rsidR="002D1BCD" w:rsidRPr="004B6BC2">
        <w:t>,</w:t>
      </w:r>
      <w:r w:rsidR="00ED5070" w:rsidRPr="004B6BC2">
        <w:t xml:space="preserve"> </w:t>
      </w:r>
      <w:r w:rsidR="002A1A24" w:rsidRPr="004B6BC2">
        <w:t>afin d</w:t>
      </w:r>
      <w:r w:rsidR="00A44BB8" w:rsidRPr="004B6BC2">
        <w:t>'</w:t>
      </w:r>
      <w:r w:rsidR="002A1A24" w:rsidRPr="004B6BC2">
        <w:t xml:space="preserve">examiner et de </w:t>
      </w:r>
      <w:r w:rsidR="002D1BCD" w:rsidRPr="004B6BC2">
        <w:t>revoir</w:t>
      </w:r>
      <w:r w:rsidR="002A1A24" w:rsidRPr="004B6BC2">
        <w:t>, le cas échéant, les limites d</w:t>
      </w:r>
      <w:r w:rsidR="00A44BB8" w:rsidRPr="004B6BC2">
        <w:t>'</w:t>
      </w:r>
      <w:r w:rsidR="002A1A24" w:rsidRPr="004B6BC2">
        <w:t>epfd applicables aux systèmes du SFS non</w:t>
      </w:r>
      <w:r w:rsidR="00ED5070" w:rsidRPr="004B6BC2">
        <w:t> </w:t>
      </w:r>
      <w:r w:rsidR="002A1A24" w:rsidRPr="004B6BC2">
        <w:t>OSG et les dispositions réglementaires associées.</w:t>
      </w:r>
    </w:p>
    <w:p w14:paraId="291895A8" w14:textId="77777777" w:rsidR="00487B09" w:rsidRPr="004B6BC2" w:rsidRDefault="00487B09" w:rsidP="00ED5070">
      <w:pPr>
        <w:tabs>
          <w:tab w:val="clear" w:pos="1134"/>
          <w:tab w:val="clear" w:pos="1871"/>
          <w:tab w:val="clear" w:pos="2268"/>
        </w:tabs>
        <w:overflowPunct/>
        <w:autoSpaceDE/>
        <w:autoSpaceDN/>
        <w:adjustRightInd/>
        <w:spacing w:before="0"/>
        <w:textAlignment w:val="auto"/>
      </w:pPr>
      <w:r w:rsidRPr="004B6BC2">
        <w:br w:type="page"/>
      </w:r>
    </w:p>
    <w:p w14:paraId="50918D1D" w14:textId="7E0DBC4C" w:rsidR="00BC22C6" w:rsidRPr="004B6BC2" w:rsidRDefault="00BC22C6" w:rsidP="00ED5070">
      <w:pPr>
        <w:pStyle w:val="AnnexNo"/>
      </w:pPr>
      <w:r w:rsidRPr="004B6BC2">
        <w:lastRenderedPageBreak/>
        <w:t>piÈce</w:t>
      </w:r>
      <w:r w:rsidR="002D1BCD" w:rsidRPr="004B6BC2">
        <w:t xml:space="preserve"> </w:t>
      </w:r>
      <w:r w:rsidRPr="004B6BC2">
        <w:t>jointe</w:t>
      </w:r>
    </w:p>
    <w:p w14:paraId="7ADF6B4C" w14:textId="0538C0DA" w:rsidR="00BC22C6" w:rsidRPr="004B6BC2" w:rsidRDefault="00BC22C6" w:rsidP="00D52932">
      <w:pPr>
        <w:pStyle w:val="Annextitle"/>
      </w:pPr>
      <w:r w:rsidRPr="004B6BC2">
        <w:t>Proposition de point</w:t>
      </w:r>
      <w:r w:rsidR="002D1BCD" w:rsidRPr="004B6BC2">
        <w:t xml:space="preserve"> à inscrire à </w:t>
      </w:r>
      <w:r w:rsidRPr="004B6BC2">
        <w:t>l</w:t>
      </w:r>
      <w:r w:rsidR="00A44BB8" w:rsidRPr="004B6BC2">
        <w:t>'</w:t>
      </w:r>
      <w:r w:rsidRPr="004B6BC2">
        <w:t xml:space="preserve">ordre du jour </w:t>
      </w:r>
      <w:r w:rsidR="002D1BCD" w:rsidRPr="004B6BC2">
        <w:t>pour</w:t>
      </w:r>
      <w:r w:rsidRPr="004B6BC2">
        <w:t xml:space="preserve"> </w:t>
      </w:r>
      <w:r w:rsidR="002607C5" w:rsidRPr="004B6BC2">
        <w:t>[</w:t>
      </w:r>
      <w:r w:rsidR="004B6877" w:rsidRPr="004B6BC2">
        <w:t>examiner et mettre à jour</w:t>
      </w:r>
      <w:r w:rsidR="006A4D07" w:rsidRPr="004B6BC2">
        <w:br/>
      </w:r>
      <w:r w:rsidRPr="004B6BC2">
        <w:t xml:space="preserve">les dispositions réglementaires </w:t>
      </w:r>
      <w:r w:rsidR="004B6877" w:rsidRPr="004B6BC2">
        <w:t>applicables au partage entre les systèmes non</w:t>
      </w:r>
      <w:r w:rsidR="006A4D07" w:rsidRPr="004B6BC2">
        <w:t> </w:t>
      </w:r>
      <w:r w:rsidR="004B6877" w:rsidRPr="004B6BC2">
        <w:t xml:space="preserve">OSG et les réseaux OSG </w:t>
      </w:r>
      <w:r w:rsidRPr="004B6BC2">
        <w:t xml:space="preserve">dans </w:t>
      </w:r>
      <w:r w:rsidR="004B6877" w:rsidRPr="004B6BC2">
        <w:t xml:space="preserve">les </w:t>
      </w:r>
      <w:r w:rsidRPr="004B6BC2">
        <w:t xml:space="preserve">bandes de fréquences </w:t>
      </w:r>
      <w:r w:rsidR="004B6877" w:rsidRPr="004B6BC2">
        <w:t>au-dessous</w:t>
      </w:r>
      <w:r w:rsidR="006A4D07" w:rsidRPr="004B6BC2">
        <w:t xml:space="preserve"> </w:t>
      </w:r>
      <w:r w:rsidR="004B6877" w:rsidRPr="004B6BC2">
        <w:t>de</w:t>
      </w:r>
      <w:r w:rsidR="006A4D07" w:rsidRPr="004B6BC2">
        <w:br/>
      </w:r>
      <w:r w:rsidRPr="004B6BC2">
        <w:t>30</w:t>
      </w:r>
      <w:r w:rsidR="004B6877" w:rsidRPr="004B6BC2">
        <w:t> </w:t>
      </w:r>
      <w:r w:rsidRPr="004B6BC2">
        <w:t>GHz dans lesquelles les limites d</w:t>
      </w:r>
      <w:r w:rsidR="00A44BB8" w:rsidRPr="004B6BC2">
        <w:t>'</w:t>
      </w:r>
      <w:r w:rsidRPr="004B6BC2">
        <w:t>epfd de l</w:t>
      </w:r>
      <w:r w:rsidR="00A44BB8" w:rsidRPr="004B6BC2">
        <w:t>'</w:t>
      </w:r>
      <w:r w:rsidRPr="004B6BC2">
        <w:t>Article 22</w:t>
      </w:r>
      <w:r w:rsidR="004B6877" w:rsidRPr="004B6BC2">
        <w:t xml:space="preserve"> </w:t>
      </w:r>
      <w:r w:rsidRPr="004B6BC2">
        <w:t>s</w:t>
      </w:r>
      <w:r w:rsidR="00A44BB8" w:rsidRPr="004B6BC2">
        <w:t>'</w:t>
      </w:r>
      <w:r w:rsidRPr="004B6BC2">
        <w:t>appliquent</w:t>
      </w:r>
      <w:r w:rsidR="002607C5" w:rsidRPr="004B6BC2">
        <w:t>]</w:t>
      </w:r>
    </w:p>
    <w:tbl>
      <w:tblPr>
        <w:tblpPr w:leftFromText="180" w:rightFromText="180" w:vertAnchor="text" w:tblpX="-84" w:tblpY="1"/>
        <w:tblOverlap w:val="never"/>
        <w:tblW w:w="10065" w:type="dxa"/>
        <w:tblLayout w:type="fixed"/>
        <w:tblLook w:val="04A0" w:firstRow="1" w:lastRow="0" w:firstColumn="1" w:lastColumn="0" w:noHBand="0" w:noVBand="1"/>
      </w:tblPr>
      <w:tblGrid>
        <w:gridCol w:w="4678"/>
        <w:gridCol w:w="5387"/>
      </w:tblGrid>
      <w:tr w:rsidR="00BC22C6" w:rsidRPr="004B6BC2" w14:paraId="4FDF516F" w14:textId="77777777" w:rsidTr="00D84E00">
        <w:trPr>
          <w:cantSplit/>
        </w:trPr>
        <w:tc>
          <w:tcPr>
            <w:tcW w:w="10065" w:type="dxa"/>
            <w:gridSpan w:val="2"/>
          </w:tcPr>
          <w:p w14:paraId="682433AD" w14:textId="2D2563B3" w:rsidR="00BC22C6" w:rsidRPr="004B6BC2" w:rsidRDefault="00BC22C6" w:rsidP="00D52932">
            <w:pPr>
              <w:keepNext/>
            </w:pPr>
            <w:r w:rsidRPr="004B6BC2">
              <w:rPr>
                <w:b/>
                <w:bCs/>
              </w:rPr>
              <w:t>Objet:</w:t>
            </w:r>
            <w:r w:rsidRPr="004B6BC2">
              <w:t xml:space="preserve"> </w:t>
            </w:r>
            <w:r w:rsidRPr="004B6BC2">
              <w:rPr>
                <w:szCs w:val="24"/>
              </w:rPr>
              <w:t xml:space="preserve">Proposition de point </w:t>
            </w:r>
            <w:r w:rsidR="002D1BCD" w:rsidRPr="004B6BC2">
              <w:t xml:space="preserve">à inscrire à </w:t>
            </w:r>
            <w:r w:rsidRPr="004B6BC2">
              <w:rPr>
                <w:szCs w:val="24"/>
              </w:rPr>
              <w:t>l</w:t>
            </w:r>
            <w:r w:rsidR="00A44BB8" w:rsidRPr="004B6BC2">
              <w:rPr>
                <w:szCs w:val="24"/>
              </w:rPr>
              <w:t>'</w:t>
            </w:r>
            <w:r w:rsidRPr="004B6BC2">
              <w:rPr>
                <w:szCs w:val="24"/>
              </w:rPr>
              <w:t>ordre du jour de la CMR-27</w:t>
            </w:r>
            <w:r w:rsidR="002D1BCD" w:rsidRPr="004B6BC2">
              <w:rPr>
                <w:szCs w:val="24"/>
              </w:rPr>
              <w:t xml:space="preserve"> pour</w:t>
            </w:r>
            <w:r w:rsidRPr="004B6BC2">
              <w:rPr>
                <w:szCs w:val="24"/>
              </w:rPr>
              <w:t xml:space="preserve"> étudier les dispositions réglementaires </w:t>
            </w:r>
            <w:r w:rsidR="004B6877" w:rsidRPr="004B6BC2">
              <w:rPr>
                <w:szCs w:val="24"/>
              </w:rPr>
              <w:t>applicables</w:t>
            </w:r>
            <w:r w:rsidRPr="004B6BC2">
              <w:rPr>
                <w:szCs w:val="24"/>
              </w:rPr>
              <w:t xml:space="preserve"> </w:t>
            </w:r>
            <w:r w:rsidR="004B6877" w:rsidRPr="004B6BC2">
              <w:rPr>
                <w:szCs w:val="24"/>
              </w:rPr>
              <w:t xml:space="preserve">au partage entre les systèmes non OSG et les </w:t>
            </w:r>
            <w:r w:rsidRPr="004B6BC2">
              <w:rPr>
                <w:szCs w:val="24"/>
              </w:rPr>
              <w:t>réseaux OSG dans les bandes de fréquences au-dessous de 30 GHz dans lesquelles les limites d</w:t>
            </w:r>
            <w:r w:rsidR="00A44BB8" w:rsidRPr="004B6BC2">
              <w:rPr>
                <w:szCs w:val="24"/>
              </w:rPr>
              <w:t>'</w:t>
            </w:r>
            <w:r w:rsidRPr="004B6BC2">
              <w:rPr>
                <w:szCs w:val="24"/>
              </w:rPr>
              <w:t>epfd de l</w:t>
            </w:r>
            <w:r w:rsidR="00A44BB8" w:rsidRPr="004B6BC2">
              <w:rPr>
                <w:szCs w:val="24"/>
              </w:rPr>
              <w:t>'</w:t>
            </w:r>
            <w:r w:rsidRPr="004B6BC2">
              <w:rPr>
                <w:szCs w:val="24"/>
              </w:rPr>
              <w:t>Article </w:t>
            </w:r>
            <w:r w:rsidRPr="004B6BC2">
              <w:rPr>
                <w:b/>
                <w:bCs/>
                <w:szCs w:val="24"/>
              </w:rPr>
              <w:t>22</w:t>
            </w:r>
            <w:r w:rsidRPr="004B6BC2">
              <w:rPr>
                <w:szCs w:val="24"/>
              </w:rPr>
              <w:t xml:space="preserve"> s</w:t>
            </w:r>
            <w:r w:rsidR="00A44BB8" w:rsidRPr="004B6BC2">
              <w:rPr>
                <w:szCs w:val="24"/>
              </w:rPr>
              <w:t>'</w:t>
            </w:r>
            <w:r w:rsidRPr="004B6BC2">
              <w:rPr>
                <w:szCs w:val="24"/>
              </w:rPr>
              <w:t>appliquent et la mise en œuvre de ces dispositions.</w:t>
            </w:r>
          </w:p>
        </w:tc>
      </w:tr>
      <w:tr w:rsidR="00BC22C6" w:rsidRPr="004B6BC2" w14:paraId="58942A98" w14:textId="77777777" w:rsidTr="00D84E00">
        <w:trPr>
          <w:cantSplit/>
        </w:trPr>
        <w:tc>
          <w:tcPr>
            <w:tcW w:w="10065" w:type="dxa"/>
            <w:gridSpan w:val="2"/>
            <w:tcBorders>
              <w:top w:val="nil"/>
              <w:left w:val="nil"/>
              <w:bottom w:val="single" w:sz="4" w:space="0" w:color="auto"/>
              <w:right w:val="nil"/>
            </w:tcBorders>
          </w:tcPr>
          <w:p w14:paraId="4543E425" w14:textId="2C0AA507" w:rsidR="00BC22C6" w:rsidRPr="004B6BC2" w:rsidRDefault="00BC22C6" w:rsidP="006A4D07">
            <w:pPr>
              <w:keepNext/>
              <w:rPr>
                <w:rFonts w:eastAsia="SimSun"/>
                <w:b/>
                <w:i/>
                <w:color w:val="000000"/>
                <w:lang w:eastAsia="zh-CN"/>
              </w:rPr>
            </w:pPr>
            <w:r w:rsidRPr="004B6BC2">
              <w:rPr>
                <w:b/>
                <w:bCs/>
              </w:rPr>
              <w:t>Origine:</w:t>
            </w:r>
            <w:r w:rsidRPr="004B6BC2">
              <w:rPr>
                <w:szCs w:val="24"/>
              </w:rPr>
              <w:t xml:space="preserve"> </w:t>
            </w:r>
            <w:r w:rsidR="004B6877" w:rsidRPr="004B6BC2">
              <w:rPr>
                <w:szCs w:val="24"/>
              </w:rPr>
              <w:t>[AGL/BDI/CME/CAF/TCD/COD/GNE/GAB/MDG/COG/RRW/STP]</w:t>
            </w:r>
          </w:p>
        </w:tc>
      </w:tr>
      <w:tr w:rsidR="00BC22C6" w:rsidRPr="004B6BC2" w14:paraId="6DBD3243" w14:textId="77777777" w:rsidTr="00D84E00">
        <w:trPr>
          <w:cantSplit/>
        </w:trPr>
        <w:tc>
          <w:tcPr>
            <w:tcW w:w="10065" w:type="dxa"/>
            <w:gridSpan w:val="2"/>
            <w:tcBorders>
              <w:top w:val="single" w:sz="4" w:space="0" w:color="auto"/>
              <w:left w:val="nil"/>
              <w:bottom w:val="single" w:sz="4" w:space="0" w:color="auto"/>
              <w:right w:val="nil"/>
            </w:tcBorders>
          </w:tcPr>
          <w:p w14:paraId="074E9BD7" w14:textId="013FF3DE" w:rsidR="00BC22C6" w:rsidRPr="004B6BC2" w:rsidRDefault="00BC22C6" w:rsidP="00D52932">
            <w:pPr>
              <w:keepNext/>
              <w:rPr>
                <w:b/>
                <w:iCs/>
              </w:rPr>
            </w:pPr>
            <w:r w:rsidRPr="004B6BC2">
              <w:rPr>
                <w:b/>
                <w:i/>
                <w:color w:val="000000"/>
              </w:rPr>
              <w:t>Proposition</w:t>
            </w:r>
            <w:r w:rsidRPr="004B6BC2">
              <w:rPr>
                <w:b/>
                <w:iCs/>
                <w:color w:val="000000"/>
              </w:rPr>
              <w:t>:</w:t>
            </w:r>
            <w:r w:rsidR="006E31C9" w:rsidRPr="004B6BC2">
              <w:rPr>
                <w:b/>
                <w:iCs/>
                <w:color w:val="000000"/>
              </w:rPr>
              <w:t xml:space="preserve"> </w:t>
            </w:r>
            <w:r w:rsidR="004B6877" w:rsidRPr="004B6BC2">
              <w:rPr>
                <w:iCs/>
                <w:color w:val="000000" w:themeColor="text1"/>
                <w:szCs w:val="24"/>
              </w:rPr>
              <w:t>[</w:t>
            </w:r>
            <w:r w:rsidRPr="004B6BC2">
              <w:rPr>
                <w:iCs/>
                <w:color w:val="000000" w:themeColor="text1"/>
                <w:szCs w:val="24"/>
              </w:rPr>
              <w:t xml:space="preserve">Étudier et mettre à jour, le cas échéant, les dispositions réglementaires applicables au partage entre les systèmes non OSG et les réseaux OSG dans </w:t>
            </w:r>
            <w:r w:rsidR="004B6877" w:rsidRPr="004B6BC2">
              <w:rPr>
                <w:iCs/>
                <w:color w:val="000000" w:themeColor="text1"/>
                <w:szCs w:val="24"/>
              </w:rPr>
              <w:t>l</w:t>
            </w:r>
            <w:r w:rsidRPr="004B6BC2">
              <w:rPr>
                <w:iCs/>
                <w:color w:val="000000" w:themeColor="text1"/>
                <w:szCs w:val="24"/>
              </w:rPr>
              <w:t>es bandes de fréquences au-dessous de 30 GHz dans lesquelles les limites d</w:t>
            </w:r>
            <w:r w:rsidR="00A44BB8" w:rsidRPr="004B6BC2">
              <w:rPr>
                <w:iCs/>
                <w:color w:val="000000" w:themeColor="text1"/>
                <w:szCs w:val="24"/>
              </w:rPr>
              <w:t>'</w:t>
            </w:r>
            <w:r w:rsidRPr="004B6BC2">
              <w:rPr>
                <w:iCs/>
                <w:color w:val="000000" w:themeColor="text1"/>
                <w:szCs w:val="24"/>
              </w:rPr>
              <w:t>epfd de l</w:t>
            </w:r>
            <w:r w:rsidR="00A44BB8" w:rsidRPr="004B6BC2">
              <w:rPr>
                <w:iCs/>
                <w:color w:val="000000" w:themeColor="text1"/>
                <w:szCs w:val="24"/>
              </w:rPr>
              <w:t>'</w:t>
            </w:r>
            <w:r w:rsidRPr="004B6BC2">
              <w:rPr>
                <w:iCs/>
                <w:color w:val="000000" w:themeColor="text1"/>
                <w:szCs w:val="24"/>
              </w:rPr>
              <w:t xml:space="preserve">Article </w:t>
            </w:r>
            <w:r w:rsidRPr="004B6BC2">
              <w:rPr>
                <w:b/>
                <w:bCs/>
                <w:iCs/>
                <w:color w:val="000000" w:themeColor="text1"/>
                <w:szCs w:val="24"/>
              </w:rPr>
              <w:t>22</w:t>
            </w:r>
            <w:r w:rsidRPr="004B6BC2">
              <w:rPr>
                <w:iCs/>
                <w:color w:val="000000" w:themeColor="text1"/>
                <w:szCs w:val="24"/>
              </w:rPr>
              <w:t xml:space="preserve"> s</w:t>
            </w:r>
            <w:r w:rsidR="00A44BB8" w:rsidRPr="004B6BC2">
              <w:rPr>
                <w:iCs/>
                <w:color w:val="000000" w:themeColor="text1"/>
                <w:szCs w:val="24"/>
              </w:rPr>
              <w:t>'</w:t>
            </w:r>
            <w:r w:rsidRPr="004B6BC2">
              <w:rPr>
                <w:iCs/>
                <w:color w:val="000000" w:themeColor="text1"/>
                <w:szCs w:val="24"/>
              </w:rPr>
              <w:t>appliquent et la mise en œuvre de ces dispositions.</w:t>
            </w:r>
            <w:r w:rsidR="004B6877" w:rsidRPr="004B6BC2">
              <w:rPr>
                <w:iCs/>
                <w:color w:val="000000" w:themeColor="text1"/>
                <w:szCs w:val="24"/>
              </w:rPr>
              <w:t>]</w:t>
            </w:r>
          </w:p>
        </w:tc>
      </w:tr>
      <w:tr w:rsidR="00BC22C6" w:rsidRPr="004B6BC2" w14:paraId="275EE1E0" w14:textId="77777777" w:rsidTr="00D84E00">
        <w:trPr>
          <w:cantSplit/>
        </w:trPr>
        <w:tc>
          <w:tcPr>
            <w:tcW w:w="10065" w:type="dxa"/>
            <w:gridSpan w:val="2"/>
            <w:tcBorders>
              <w:top w:val="single" w:sz="4" w:space="0" w:color="auto"/>
              <w:left w:val="nil"/>
              <w:bottom w:val="single" w:sz="4" w:space="0" w:color="auto"/>
              <w:right w:val="nil"/>
            </w:tcBorders>
          </w:tcPr>
          <w:p w14:paraId="0E3E2629" w14:textId="77777777" w:rsidR="00BC22C6" w:rsidRPr="004B6BC2" w:rsidRDefault="00BC22C6" w:rsidP="006A4D07">
            <w:pPr>
              <w:rPr>
                <w:szCs w:val="24"/>
              </w:rPr>
            </w:pPr>
            <w:r w:rsidRPr="004B6BC2">
              <w:rPr>
                <w:b/>
                <w:i/>
                <w:szCs w:val="24"/>
              </w:rPr>
              <w:t>Contexte/Motif</w:t>
            </w:r>
            <w:r w:rsidRPr="004B6BC2">
              <w:rPr>
                <w:b/>
                <w:iCs/>
                <w:szCs w:val="24"/>
              </w:rPr>
              <w:t>:</w:t>
            </w:r>
          </w:p>
          <w:p w14:paraId="014AA314" w14:textId="2DEBF8BD" w:rsidR="00BC22C6" w:rsidRPr="004B6BC2" w:rsidRDefault="00BC22C6" w:rsidP="00D52932">
            <w:r w:rsidRPr="004B6BC2">
              <w:t>Les réseaux OSG et non OSG d</w:t>
            </w:r>
            <w:r w:rsidR="00A44BB8" w:rsidRPr="004B6BC2">
              <w:t>'</w:t>
            </w:r>
            <w:r w:rsidRPr="004B6BC2">
              <w:t>aujourd</w:t>
            </w:r>
            <w:r w:rsidR="00A44BB8" w:rsidRPr="004B6BC2">
              <w:t>'</w:t>
            </w:r>
            <w:r w:rsidRPr="004B6BC2">
              <w:t xml:space="preserve">hui </w:t>
            </w:r>
            <w:r w:rsidR="004B6877" w:rsidRPr="004B6BC2">
              <w:t>sont</w:t>
            </w:r>
            <w:r w:rsidR="002D1BCD" w:rsidRPr="004B6BC2">
              <w:t xml:space="preserve"> très</w:t>
            </w:r>
            <w:r w:rsidR="004B6877" w:rsidRPr="004B6BC2">
              <w:t xml:space="preserve"> différents</w:t>
            </w:r>
            <w:r w:rsidR="002D1BCD" w:rsidRPr="004B6BC2">
              <w:t>,</w:t>
            </w:r>
            <w:r w:rsidR="004B6877" w:rsidRPr="004B6BC2">
              <w:t xml:space="preserve"> </w:t>
            </w:r>
            <w:r w:rsidRPr="004B6BC2">
              <w:t>sur le plan de la conception et des capacités opérationnelles</w:t>
            </w:r>
            <w:r w:rsidR="002D1BCD" w:rsidRPr="004B6BC2">
              <w:t>, des</w:t>
            </w:r>
            <w:r w:rsidRPr="004B6BC2">
              <w:t xml:space="preserve"> systèmes considérés </w:t>
            </w:r>
            <w:r w:rsidR="002D1BCD" w:rsidRPr="004B6BC2">
              <w:t>qui ont été pris en compte il y a près de vingt-cinq ans pour</w:t>
            </w:r>
            <w:r w:rsidRPr="004B6BC2">
              <w:t xml:space="preserve"> l</w:t>
            </w:r>
            <w:r w:rsidR="00A44BB8" w:rsidRPr="004B6BC2">
              <w:t>'</w:t>
            </w:r>
            <w:r w:rsidRPr="004B6BC2">
              <w:t>élaboration des limites d</w:t>
            </w:r>
            <w:r w:rsidR="00A44BB8" w:rsidRPr="004B6BC2">
              <w:t>'</w:t>
            </w:r>
            <w:r w:rsidRPr="004B6BC2">
              <w:t>epfd figurant dans l</w:t>
            </w:r>
            <w:r w:rsidR="00A44BB8" w:rsidRPr="004B6BC2">
              <w:t>'</w:t>
            </w:r>
            <w:r w:rsidRPr="004B6BC2">
              <w:t>Article </w:t>
            </w:r>
            <w:r w:rsidRPr="004B6BC2">
              <w:rPr>
                <w:b/>
                <w:bCs/>
              </w:rPr>
              <w:t>22</w:t>
            </w:r>
            <w:r w:rsidRPr="004B6BC2">
              <w:t>,</w:t>
            </w:r>
            <w:r w:rsidR="00ED5070" w:rsidRPr="004B6BC2">
              <w:t xml:space="preserve"> </w:t>
            </w:r>
            <w:r w:rsidRPr="004B6BC2">
              <w:t>Fait tout aussi important, les outils et les méthodes d</w:t>
            </w:r>
            <w:r w:rsidR="00A44BB8" w:rsidRPr="004B6BC2">
              <w:t>'</w:t>
            </w:r>
            <w:r w:rsidRPr="004B6BC2">
              <w:t>examen des limites d</w:t>
            </w:r>
            <w:r w:rsidR="00A44BB8" w:rsidRPr="004B6BC2">
              <w:t>'</w:t>
            </w:r>
            <w:r w:rsidRPr="004B6BC2">
              <w:t>epfd pour une seule source de brouillage et des limites d</w:t>
            </w:r>
            <w:r w:rsidR="00A44BB8" w:rsidRPr="004B6BC2">
              <w:t>'</w:t>
            </w:r>
            <w:r w:rsidRPr="004B6BC2">
              <w:t>epfd cumulative pour protéger les réseaux OSG ne sont pas entièrement disponibles. Un</w:t>
            </w:r>
            <w:r w:rsidR="002E0F28" w:rsidRPr="004B6BC2">
              <w:t xml:space="preserve"> point de l</w:t>
            </w:r>
            <w:r w:rsidR="00A44BB8" w:rsidRPr="004B6BC2">
              <w:t>'</w:t>
            </w:r>
            <w:r w:rsidR="002E0F28" w:rsidRPr="004B6BC2">
              <w:t xml:space="preserve">ordre du jour de la CMR-27 </w:t>
            </w:r>
            <w:r w:rsidR="002D1BCD" w:rsidRPr="004B6BC2">
              <w:t>préconisant</w:t>
            </w:r>
            <w:r w:rsidR="002E0F28" w:rsidRPr="004B6BC2">
              <w:t xml:space="preserve"> une</w:t>
            </w:r>
            <w:r w:rsidRPr="004B6BC2">
              <w:t xml:space="preserve"> étude approfondie est donc nécessaire pour </w:t>
            </w:r>
            <w:r w:rsidR="002E0F28" w:rsidRPr="004B6BC2">
              <w:t>évaluer</w:t>
            </w:r>
            <w:r w:rsidRPr="004B6BC2">
              <w:t xml:space="preserve"> s</w:t>
            </w:r>
            <w:r w:rsidR="00A44BB8" w:rsidRPr="004B6BC2">
              <w:t>'</w:t>
            </w:r>
            <w:r w:rsidRPr="004B6BC2">
              <w:t xml:space="preserve">il y a lieu de mettre à jour les niveaux de protection et </w:t>
            </w:r>
            <w:r w:rsidR="002D1BCD" w:rsidRPr="004B6BC2">
              <w:t>d</w:t>
            </w:r>
            <w:r w:rsidR="00A44BB8" w:rsidRPr="004B6BC2">
              <w:t>'</w:t>
            </w:r>
            <w:r w:rsidRPr="004B6BC2">
              <w:t xml:space="preserve">apporter les modifications nécessaires </w:t>
            </w:r>
            <w:r w:rsidR="002E0F28" w:rsidRPr="004B6BC2">
              <w:t>au Règlement des radiocommunications</w:t>
            </w:r>
            <w:r w:rsidR="002D1BCD" w:rsidRPr="004B6BC2">
              <w:t>,</w:t>
            </w:r>
            <w:r w:rsidR="002E0F28" w:rsidRPr="004B6BC2">
              <w:t xml:space="preserve"> </w:t>
            </w:r>
            <w:r w:rsidRPr="004B6BC2">
              <w:t>pour garantir une efficacité spectrale maximale afin de répondre à la demande croissante de services par satellite à l</w:t>
            </w:r>
            <w:r w:rsidR="00A44BB8" w:rsidRPr="004B6BC2">
              <w:t>'</w:t>
            </w:r>
            <w:r w:rsidRPr="004B6BC2">
              <w:t>échelle mondiale.</w:t>
            </w:r>
          </w:p>
        </w:tc>
      </w:tr>
      <w:tr w:rsidR="00BC22C6" w:rsidRPr="004B6BC2" w14:paraId="78AA9334" w14:textId="77777777" w:rsidTr="00D84E00">
        <w:trPr>
          <w:cantSplit/>
        </w:trPr>
        <w:tc>
          <w:tcPr>
            <w:tcW w:w="10065" w:type="dxa"/>
            <w:gridSpan w:val="2"/>
            <w:tcBorders>
              <w:top w:val="single" w:sz="4" w:space="0" w:color="auto"/>
              <w:left w:val="nil"/>
              <w:bottom w:val="single" w:sz="4" w:space="0" w:color="auto"/>
              <w:right w:val="nil"/>
            </w:tcBorders>
          </w:tcPr>
          <w:p w14:paraId="7E0C1D46" w14:textId="77777777" w:rsidR="00BC22C6" w:rsidRPr="004B6BC2" w:rsidRDefault="00BC22C6" w:rsidP="006A4D07">
            <w:pPr>
              <w:keepNext/>
              <w:rPr>
                <w:b/>
                <w:i/>
              </w:rPr>
            </w:pPr>
            <w:r w:rsidRPr="004B6BC2">
              <w:rPr>
                <w:b/>
                <w:i/>
              </w:rPr>
              <w:t>Services de radiocommunication concernés</w:t>
            </w:r>
            <w:r w:rsidRPr="004B6BC2">
              <w:rPr>
                <w:b/>
                <w:iCs/>
              </w:rPr>
              <w:t>:</w:t>
            </w:r>
          </w:p>
          <w:p w14:paraId="31CBF609" w14:textId="6051474F" w:rsidR="00BC22C6" w:rsidRPr="004B6BC2" w:rsidRDefault="00BC22C6" w:rsidP="00D52932">
            <w:pPr>
              <w:keepNext/>
              <w:rPr>
                <w:b/>
                <w:iCs/>
              </w:rPr>
            </w:pPr>
            <w:r w:rsidRPr="004B6BC2">
              <w:rPr>
                <w:szCs w:val="24"/>
                <w:lang w:eastAsia="ko-KR"/>
              </w:rPr>
              <w:t>Service fixe par satellite</w:t>
            </w:r>
            <w:r w:rsidR="002E0F28" w:rsidRPr="004B6BC2">
              <w:rPr>
                <w:szCs w:val="24"/>
                <w:lang w:eastAsia="ko-KR"/>
              </w:rPr>
              <w:t xml:space="preserve"> (SFS)</w:t>
            </w:r>
            <w:r w:rsidRPr="004B6BC2">
              <w:rPr>
                <w:szCs w:val="24"/>
                <w:lang w:eastAsia="ko-KR"/>
              </w:rPr>
              <w:t>, service mobile par satellite</w:t>
            </w:r>
            <w:r w:rsidR="002E0F28" w:rsidRPr="004B6BC2">
              <w:rPr>
                <w:szCs w:val="24"/>
                <w:lang w:eastAsia="ko-KR"/>
              </w:rPr>
              <w:t xml:space="preserve"> (SMS)</w:t>
            </w:r>
            <w:r w:rsidRPr="004B6BC2">
              <w:rPr>
                <w:szCs w:val="24"/>
                <w:lang w:eastAsia="ko-KR"/>
              </w:rPr>
              <w:t>, service de radiodiffusion par satellite (SRS), Service d</w:t>
            </w:r>
            <w:r w:rsidR="00A44BB8" w:rsidRPr="004B6BC2">
              <w:rPr>
                <w:szCs w:val="24"/>
                <w:lang w:eastAsia="ko-KR"/>
              </w:rPr>
              <w:t>'</w:t>
            </w:r>
            <w:r w:rsidRPr="004B6BC2">
              <w:rPr>
                <w:szCs w:val="24"/>
                <w:lang w:eastAsia="ko-KR"/>
              </w:rPr>
              <w:t xml:space="preserve">exploration de la Terre par satellite (SETS), service de radioastronomie </w:t>
            </w:r>
            <w:r w:rsidR="002E0F28" w:rsidRPr="004B6BC2">
              <w:rPr>
                <w:szCs w:val="24"/>
                <w:lang w:eastAsia="ko-KR"/>
              </w:rPr>
              <w:t xml:space="preserve">(SRA) </w:t>
            </w:r>
            <w:r w:rsidRPr="004B6BC2">
              <w:rPr>
                <w:szCs w:val="24"/>
                <w:lang w:eastAsia="ko-KR"/>
              </w:rPr>
              <w:t>et autres services.</w:t>
            </w:r>
          </w:p>
        </w:tc>
      </w:tr>
      <w:tr w:rsidR="00BC22C6" w:rsidRPr="004B6BC2" w14:paraId="39527691" w14:textId="77777777" w:rsidTr="00D84E00">
        <w:trPr>
          <w:cantSplit/>
        </w:trPr>
        <w:tc>
          <w:tcPr>
            <w:tcW w:w="10065" w:type="dxa"/>
            <w:gridSpan w:val="2"/>
            <w:tcBorders>
              <w:top w:val="single" w:sz="4" w:space="0" w:color="auto"/>
              <w:left w:val="nil"/>
              <w:bottom w:val="single" w:sz="4" w:space="0" w:color="auto"/>
              <w:right w:val="nil"/>
            </w:tcBorders>
          </w:tcPr>
          <w:p w14:paraId="6079BCF2" w14:textId="0D7B492B" w:rsidR="00BC22C6" w:rsidRPr="004B6BC2" w:rsidRDefault="00BC22C6" w:rsidP="006A4D07">
            <w:pPr>
              <w:keepNext/>
              <w:rPr>
                <w:b/>
                <w:i/>
              </w:rPr>
            </w:pPr>
            <w:r w:rsidRPr="004B6BC2">
              <w:rPr>
                <w:b/>
                <w:i/>
              </w:rPr>
              <w:t>Indication des difficultés éventuelles</w:t>
            </w:r>
            <w:r w:rsidRPr="004B6BC2">
              <w:rPr>
                <w:b/>
                <w:iCs/>
              </w:rPr>
              <w:t>:</w:t>
            </w:r>
          </w:p>
        </w:tc>
      </w:tr>
      <w:tr w:rsidR="00BC22C6" w:rsidRPr="004B6BC2" w14:paraId="4174A70B" w14:textId="77777777" w:rsidTr="00D84E00">
        <w:trPr>
          <w:cantSplit/>
        </w:trPr>
        <w:tc>
          <w:tcPr>
            <w:tcW w:w="10065" w:type="dxa"/>
            <w:gridSpan w:val="2"/>
            <w:tcBorders>
              <w:top w:val="single" w:sz="4" w:space="0" w:color="auto"/>
              <w:left w:val="nil"/>
              <w:bottom w:val="single" w:sz="4" w:space="0" w:color="auto"/>
              <w:right w:val="nil"/>
            </w:tcBorders>
          </w:tcPr>
          <w:p w14:paraId="2B9B6CAC" w14:textId="77777777" w:rsidR="00BC22C6" w:rsidRPr="004B6BC2" w:rsidRDefault="00BC22C6" w:rsidP="006A4D07">
            <w:pPr>
              <w:keepNext/>
              <w:rPr>
                <w:b/>
                <w:i/>
              </w:rPr>
            </w:pPr>
            <w:r w:rsidRPr="004B6BC2">
              <w:rPr>
                <w:b/>
                <w:i/>
              </w:rPr>
              <w:t>Études précédentes ou en cours sur la question</w:t>
            </w:r>
            <w:r w:rsidRPr="004B6BC2">
              <w:rPr>
                <w:b/>
                <w:iCs/>
              </w:rPr>
              <w:t>:</w:t>
            </w:r>
          </w:p>
          <w:p w14:paraId="04A4CDB7" w14:textId="56A35349" w:rsidR="00BC22C6" w:rsidRPr="004B6BC2" w:rsidRDefault="002E0F28" w:rsidP="006A4D07">
            <w:pPr>
              <w:keepNext/>
              <w:rPr>
                <w:rFonts w:eastAsiaTheme="minorEastAsia"/>
                <w:bCs/>
                <w:iCs/>
                <w:lang w:eastAsia="ja-JP"/>
              </w:rPr>
            </w:pPr>
            <w:r w:rsidRPr="004B6BC2">
              <w:rPr>
                <w:rFonts w:eastAsiaTheme="minorEastAsia"/>
                <w:bCs/>
                <w:iCs/>
                <w:lang w:eastAsia="ja-JP"/>
              </w:rPr>
              <w:t>L</w:t>
            </w:r>
            <w:r w:rsidR="00A44BB8" w:rsidRPr="004B6BC2">
              <w:rPr>
                <w:rFonts w:eastAsiaTheme="minorEastAsia"/>
                <w:bCs/>
                <w:iCs/>
                <w:lang w:eastAsia="ja-JP"/>
              </w:rPr>
              <w:t>'</w:t>
            </w:r>
            <w:r w:rsidRPr="004B6BC2">
              <w:rPr>
                <w:rFonts w:eastAsiaTheme="minorEastAsia"/>
                <w:bCs/>
                <w:iCs/>
                <w:lang w:eastAsia="ja-JP"/>
              </w:rPr>
              <w:t>ancien point 1.6 de l</w:t>
            </w:r>
            <w:r w:rsidR="00A44BB8" w:rsidRPr="004B6BC2">
              <w:rPr>
                <w:rFonts w:eastAsiaTheme="minorEastAsia"/>
                <w:bCs/>
                <w:iCs/>
                <w:lang w:eastAsia="ja-JP"/>
              </w:rPr>
              <w:t>'</w:t>
            </w:r>
            <w:r w:rsidRPr="004B6BC2">
              <w:rPr>
                <w:rFonts w:eastAsiaTheme="minorEastAsia"/>
                <w:bCs/>
                <w:iCs/>
                <w:lang w:eastAsia="ja-JP"/>
              </w:rPr>
              <w:t xml:space="preserve">ordre du jour de la CMR-19 a démontré que </w:t>
            </w:r>
            <w:r w:rsidRPr="004B6BC2">
              <w:rPr>
                <w:iCs/>
              </w:rPr>
              <w:t>les méthodes de partage entre systèmes du SFS non OSG et systèmes du SFS OSG fondées sur des gabarits de limites d</w:t>
            </w:r>
            <w:r w:rsidR="00A44BB8" w:rsidRPr="004B6BC2">
              <w:rPr>
                <w:iCs/>
              </w:rPr>
              <w:t>'</w:t>
            </w:r>
            <w:r w:rsidRPr="004B6BC2">
              <w:rPr>
                <w:iCs/>
              </w:rPr>
              <w:t xml:space="preserve">epfd, comme cela </w:t>
            </w:r>
            <w:r w:rsidR="00ED5070" w:rsidRPr="004B6BC2">
              <w:rPr>
                <w:iCs/>
              </w:rPr>
              <w:t>était le</w:t>
            </w:r>
            <w:r w:rsidRPr="004B6BC2">
              <w:rPr>
                <w:iCs/>
              </w:rPr>
              <w:t xml:space="preserve"> cas dans les bandes de fréquences au-dessous de 30 GHz,</w:t>
            </w:r>
            <w:r w:rsidR="00ED5070" w:rsidRPr="004B6BC2">
              <w:rPr>
                <w:iCs/>
              </w:rPr>
              <w:t xml:space="preserve"> </w:t>
            </w:r>
            <w:r w:rsidR="002D1BCD" w:rsidRPr="004B6BC2">
              <w:rPr>
                <w:i/>
                <w:iCs/>
              </w:rPr>
              <w:t xml:space="preserve">dépendent très largement </w:t>
            </w:r>
            <w:r w:rsidRPr="004B6BC2">
              <w:rPr>
                <w:iCs/>
              </w:rPr>
              <w:t>des systèmes</w:t>
            </w:r>
            <w:r w:rsidRPr="004B6BC2">
              <w:rPr>
                <w:rFonts w:eastAsiaTheme="minorEastAsia"/>
                <w:bCs/>
                <w:iCs/>
                <w:lang w:eastAsia="ja-JP"/>
              </w:rPr>
              <w:t>.</w:t>
            </w:r>
            <w:r w:rsidR="006B3CDC" w:rsidRPr="004B6BC2">
              <w:rPr>
                <w:rFonts w:eastAsiaTheme="minorEastAsia"/>
                <w:bCs/>
                <w:iCs/>
                <w:lang w:eastAsia="ja-JP"/>
              </w:rPr>
              <w:t xml:space="preserve"> Les travaux ont été résumés dans le Rapport UIT-R S.</w:t>
            </w:r>
            <w:hyperlink r:id="rId14" w:history="1">
              <w:r w:rsidR="006B3CDC" w:rsidRPr="004B6BC2">
                <w:rPr>
                  <w:rStyle w:val="Hyperlink"/>
                  <w:rFonts w:eastAsiaTheme="minorEastAsia"/>
                  <w:bCs/>
                  <w:iCs/>
                  <w:lang w:eastAsia="ja-JP"/>
                </w:rPr>
                <w:t>2462-0 (07/2019)</w:t>
              </w:r>
            </w:hyperlink>
          </w:p>
        </w:tc>
      </w:tr>
      <w:tr w:rsidR="006E31C9" w:rsidRPr="004B6BC2" w14:paraId="7E9E52A0" w14:textId="77777777" w:rsidTr="006E31C9">
        <w:trPr>
          <w:cantSplit/>
        </w:trPr>
        <w:tc>
          <w:tcPr>
            <w:tcW w:w="4678" w:type="dxa"/>
            <w:tcBorders>
              <w:top w:val="single" w:sz="4" w:space="0" w:color="auto"/>
              <w:left w:val="nil"/>
              <w:bottom w:val="single" w:sz="4" w:space="0" w:color="auto"/>
              <w:right w:val="single" w:sz="4" w:space="0" w:color="auto"/>
            </w:tcBorders>
          </w:tcPr>
          <w:p w14:paraId="6FBBF444" w14:textId="77777777" w:rsidR="006E31C9" w:rsidRPr="004B6BC2" w:rsidRDefault="006E31C9" w:rsidP="006E31C9">
            <w:pPr>
              <w:keepNext/>
              <w:keepLines/>
              <w:rPr>
                <w:b/>
                <w:i/>
                <w:color w:val="000000"/>
              </w:rPr>
            </w:pPr>
            <w:r w:rsidRPr="004B6BC2">
              <w:rPr>
                <w:b/>
                <w:i/>
                <w:color w:val="000000"/>
              </w:rPr>
              <w:t>Études devant être réalisées par</w:t>
            </w:r>
            <w:r w:rsidRPr="004B6BC2">
              <w:rPr>
                <w:b/>
                <w:iCs/>
                <w:color w:val="000000"/>
              </w:rPr>
              <w:t>:</w:t>
            </w:r>
          </w:p>
          <w:p w14:paraId="704343CB" w14:textId="1896D1FC" w:rsidR="006E31C9" w:rsidRPr="004B6BC2" w:rsidRDefault="006E31C9" w:rsidP="006E31C9">
            <w:pPr>
              <w:keepNext/>
              <w:rPr>
                <w:b/>
                <w:i/>
              </w:rPr>
            </w:pPr>
            <w:r w:rsidRPr="004B6BC2">
              <w:rPr>
                <w:bCs/>
                <w:iCs/>
                <w:color w:val="000000"/>
              </w:rPr>
              <w:t>GT 4A</w:t>
            </w:r>
          </w:p>
        </w:tc>
        <w:tc>
          <w:tcPr>
            <w:tcW w:w="5387" w:type="dxa"/>
            <w:tcBorders>
              <w:top w:val="single" w:sz="4" w:space="0" w:color="auto"/>
              <w:left w:val="single" w:sz="4" w:space="0" w:color="auto"/>
              <w:bottom w:val="single" w:sz="4" w:space="0" w:color="auto"/>
              <w:right w:val="nil"/>
            </w:tcBorders>
            <w:shd w:val="clear" w:color="auto" w:fill="auto"/>
          </w:tcPr>
          <w:p w14:paraId="36F20B0A" w14:textId="5AB2BA00" w:rsidR="006E31C9" w:rsidRPr="004B6BC2" w:rsidRDefault="006E31C9" w:rsidP="006E31C9">
            <w:pPr>
              <w:keepNext/>
              <w:keepLines/>
              <w:rPr>
                <w:b/>
                <w:i/>
              </w:rPr>
            </w:pPr>
            <w:r w:rsidRPr="004B6BC2">
              <w:rPr>
                <w:b/>
                <w:i/>
                <w:color w:val="000000"/>
              </w:rPr>
              <w:t>avec la participation de</w:t>
            </w:r>
            <w:r w:rsidRPr="004B6BC2">
              <w:rPr>
                <w:b/>
                <w:iCs/>
                <w:color w:val="000000"/>
              </w:rPr>
              <w:t xml:space="preserve">: </w:t>
            </w:r>
            <w:r w:rsidRPr="004B6BC2">
              <w:rPr>
                <w:bCs/>
                <w:iCs/>
                <w:color w:val="000000"/>
              </w:rPr>
              <w:t>Administrations et Membres du Secteur de l'UIT-R</w:t>
            </w:r>
          </w:p>
        </w:tc>
      </w:tr>
      <w:tr w:rsidR="006E31C9" w:rsidRPr="004B6BC2" w14:paraId="4B1158F4" w14:textId="77777777" w:rsidTr="00D84E00">
        <w:trPr>
          <w:cantSplit/>
        </w:trPr>
        <w:tc>
          <w:tcPr>
            <w:tcW w:w="10065" w:type="dxa"/>
            <w:gridSpan w:val="2"/>
            <w:tcBorders>
              <w:top w:val="single" w:sz="4" w:space="0" w:color="auto"/>
              <w:left w:val="nil"/>
              <w:bottom w:val="single" w:sz="4" w:space="0" w:color="auto"/>
              <w:right w:val="nil"/>
            </w:tcBorders>
          </w:tcPr>
          <w:p w14:paraId="27540B79" w14:textId="77777777" w:rsidR="006E31C9" w:rsidRPr="004B6BC2" w:rsidRDefault="006E31C9" w:rsidP="006E31C9">
            <w:pPr>
              <w:keepNext/>
              <w:keepLines/>
              <w:rPr>
                <w:b/>
                <w:i/>
                <w:color w:val="000000"/>
              </w:rPr>
            </w:pPr>
            <w:r w:rsidRPr="004B6BC2">
              <w:rPr>
                <w:b/>
                <w:i/>
                <w:color w:val="000000"/>
              </w:rPr>
              <w:t>Commissions d'études de l'UIT-R concernées</w:t>
            </w:r>
            <w:r w:rsidRPr="004B6BC2">
              <w:rPr>
                <w:b/>
                <w:iCs/>
                <w:color w:val="000000"/>
              </w:rPr>
              <w:t>:</w:t>
            </w:r>
          </w:p>
          <w:p w14:paraId="363FDD16" w14:textId="5E48EA76" w:rsidR="006E31C9" w:rsidRPr="004B6BC2" w:rsidRDefault="006E31C9" w:rsidP="006E31C9">
            <w:pPr>
              <w:keepNext/>
              <w:rPr>
                <w:b/>
                <w:i/>
              </w:rPr>
            </w:pPr>
            <w:r w:rsidRPr="004B6BC2">
              <w:rPr>
                <w:bCs/>
                <w:iCs/>
              </w:rPr>
              <w:t>CE 4</w:t>
            </w:r>
          </w:p>
        </w:tc>
      </w:tr>
    </w:tbl>
    <w:p w14:paraId="3339285D" w14:textId="77777777" w:rsidR="00BC22C6" w:rsidRPr="004B6BC2" w:rsidRDefault="00BC22C6" w:rsidP="006E31C9"/>
    <w:tbl>
      <w:tblPr>
        <w:tblpPr w:leftFromText="180" w:rightFromText="180" w:vertAnchor="text" w:tblpX="-84" w:tblpY="1"/>
        <w:tblOverlap w:val="never"/>
        <w:tblW w:w="10065" w:type="dxa"/>
        <w:tblLayout w:type="fixed"/>
        <w:tblLook w:val="04A0" w:firstRow="1" w:lastRow="0" w:firstColumn="1" w:lastColumn="0" w:noHBand="0" w:noVBand="1"/>
      </w:tblPr>
      <w:tblGrid>
        <w:gridCol w:w="4678"/>
        <w:gridCol w:w="5387"/>
      </w:tblGrid>
      <w:tr w:rsidR="00BC22C6" w:rsidRPr="004B6BC2" w14:paraId="6EE6CD75" w14:textId="77777777" w:rsidTr="00D84E00">
        <w:trPr>
          <w:cantSplit/>
        </w:trPr>
        <w:tc>
          <w:tcPr>
            <w:tcW w:w="10065" w:type="dxa"/>
            <w:gridSpan w:val="2"/>
            <w:tcBorders>
              <w:top w:val="single" w:sz="4" w:space="0" w:color="auto"/>
              <w:left w:val="nil"/>
              <w:bottom w:val="single" w:sz="4" w:space="0" w:color="auto"/>
              <w:right w:val="nil"/>
            </w:tcBorders>
          </w:tcPr>
          <w:p w14:paraId="04D15CEE" w14:textId="4891134F" w:rsidR="00BC22C6" w:rsidRPr="004B6BC2" w:rsidRDefault="00BC22C6" w:rsidP="006E31C9">
            <w:pPr>
              <w:keepNext/>
              <w:keepLines/>
              <w:rPr>
                <w:b/>
                <w:iCs/>
              </w:rPr>
            </w:pPr>
            <w:r w:rsidRPr="004B6BC2">
              <w:rPr>
                <w:b/>
                <w:i/>
              </w:rPr>
              <w:lastRenderedPageBreak/>
              <w:t>Répercussions au niveau des ressources de l</w:t>
            </w:r>
            <w:r w:rsidR="00A44BB8" w:rsidRPr="004B6BC2">
              <w:rPr>
                <w:b/>
                <w:i/>
              </w:rPr>
              <w:t>'</w:t>
            </w:r>
            <w:r w:rsidRPr="004B6BC2">
              <w:rPr>
                <w:b/>
                <w:i/>
              </w:rPr>
              <w:t>UIT, y compris incidences financières (voir le numéro 126 de la Convention)</w:t>
            </w:r>
            <w:r w:rsidRPr="004B6BC2">
              <w:rPr>
                <w:b/>
                <w:iCs/>
              </w:rPr>
              <w:t>:</w:t>
            </w:r>
            <w:r w:rsidR="006E31C9" w:rsidRPr="004B6BC2">
              <w:rPr>
                <w:b/>
                <w:iCs/>
              </w:rPr>
              <w:t xml:space="preserve"> </w:t>
            </w:r>
            <w:r w:rsidRPr="004B6BC2">
              <w:rPr>
                <w:bCs/>
                <w:iCs/>
                <w:szCs w:val="24"/>
                <w:lang w:eastAsia="ko-KR"/>
              </w:rPr>
              <w:t>Ce point de l</w:t>
            </w:r>
            <w:r w:rsidR="00A44BB8" w:rsidRPr="004B6BC2">
              <w:rPr>
                <w:bCs/>
                <w:iCs/>
                <w:szCs w:val="24"/>
                <w:lang w:eastAsia="ko-KR"/>
              </w:rPr>
              <w:t>'</w:t>
            </w:r>
            <w:r w:rsidRPr="004B6BC2">
              <w:rPr>
                <w:bCs/>
                <w:iCs/>
                <w:szCs w:val="24"/>
                <w:lang w:eastAsia="ko-KR"/>
              </w:rPr>
              <w:t>ordre du jour proposé sera étudié dans le cadre des procédures normales et du budget prévu</w:t>
            </w:r>
            <w:r w:rsidR="002D1BCD" w:rsidRPr="004B6BC2">
              <w:rPr>
                <w:bCs/>
                <w:iCs/>
                <w:szCs w:val="24"/>
                <w:lang w:eastAsia="ko-KR"/>
              </w:rPr>
              <w:t xml:space="preserve"> de l</w:t>
            </w:r>
            <w:r w:rsidR="00A44BB8" w:rsidRPr="004B6BC2">
              <w:rPr>
                <w:bCs/>
                <w:iCs/>
                <w:szCs w:val="24"/>
                <w:lang w:eastAsia="ko-KR"/>
              </w:rPr>
              <w:t>'</w:t>
            </w:r>
            <w:r w:rsidR="002D1BCD" w:rsidRPr="004B6BC2">
              <w:rPr>
                <w:bCs/>
                <w:iCs/>
                <w:szCs w:val="24"/>
                <w:lang w:eastAsia="ko-KR"/>
              </w:rPr>
              <w:t>UIT-R</w:t>
            </w:r>
            <w:r w:rsidRPr="004B6BC2">
              <w:rPr>
                <w:bCs/>
                <w:iCs/>
                <w:szCs w:val="24"/>
                <w:lang w:eastAsia="ko-KR"/>
              </w:rPr>
              <w:t>.</w:t>
            </w:r>
          </w:p>
        </w:tc>
      </w:tr>
      <w:tr w:rsidR="00BC22C6" w:rsidRPr="004B6BC2" w14:paraId="61CCAFDE" w14:textId="77777777" w:rsidTr="006E31C9">
        <w:trPr>
          <w:cantSplit/>
        </w:trPr>
        <w:tc>
          <w:tcPr>
            <w:tcW w:w="4678" w:type="dxa"/>
            <w:tcBorders>
              <w:top w:val="single" w:sz="4" w:space="0" w:color="auto"/>
              <w:left w:val="nil"/>
              <w:bottom w:val="single" w:sz="4" w:space="0" w:color="auto"/>
              <w:right w:val="nil"/>
            </w:tcBorders>
          </w:tcPr>
          <w:p w14:paraId="2764E7C8" w14:textId="77777777" w:rsidR="00BC22C6" w:rsidRPr="004B6BC2" w:rsidRDefault="00BC22C6" w:rsidP="006A4D07">
            <w:pPr>
              <w:keepNext/>
              <w:keepLines/>
              <w:rPr>
                <w:b/>
                <w:iCs/>
              </w:rPr>
            </w:pPr>
            <w:r w:rsidRPr="004B6BC2">
              <w:rPr>
                <w:b/>
                <w:i/>
              </w:rPr>
              <w:t>Proposition régionale commune</w:t>
            </w:r>
            <w:r w:rsidRPr="004B6BC2">
              <w:rPr>
                <w:b/>
                <w:iCs/>
              </w:rPr>
              <w:t>:</w:t>
            </w:r>
            <w:r w:rsidRPr="004B6BC2">
              <w:rPr>
                <w:szCs w:val="24"/>
              </w:rPr>
              <w:t xml:space="preserve"> </w:t>
            </w:r>
            <w:r w:rsidRPr="004B6BC2">
              <w:rPr>
                <w:color w:val="000000"/>
                <w:szCs w:val="24"/>
              </w:rPr>
              <w:t>Oui/Non</w:t>
            </w:r>
          </w:p>
        </w:tc>
        <w:tc>
          <w:tcPr>
            <w:tcW w:w="5387" w:type="dxa"/>
            <w:tcBorders>
              <w:top w:val="single" w:sz="4" w:space="0" w:color="auto"/>
              <w:left w:val="nil"/>
              <w:bottom w:val="single" w:sz="4" w:space="0" w:color="auto"/>
              <w:right w:val="nil"/>
            </w:tcBorders>
          </w:tcPr>
          <w:p w14:paraId="651CBB3F" w14:textId="77777777" w:rsidR="00BC22C6" w:rsidRPr="004B6BC2" w:rsidRDefault="00BC22C6" w:rsidP="006A4D07">
            <w:pPr>
              <w:keepNext/>
              <w:keepLines/>
              <w:rPr>
                <w:b/>
                <w:iCs/>
              </w:rPr>
            </w:pPr>
            <w:r w:rsidRPr="004B6BC2">
              <w:rPr>
                <w:b/>
                <w:i/>
              </w:rPr>
              <w:t>Proposition soumise par plusieurs pays</w:t>
            </w:r>
            <w:r w:rsidRPr="004B6BC2">
              <w:rPr>
                <w:b/>
                <w:iCs/>
              </w:rPr>
              <w:t>:</w:t>
            </w:r>
            <w:r w:rsidRPr="004B6BC2">
              <w:rPr>
                <w:szCs w:val="24"/>
              </w:rPr>
              <w:t xml:space="preserve"> Oui/Non</w:t>
            </w:r>
          </w:p>
          <w:p w14:paraId="1A4846B1" w14:textId="77777777" w:rsidR="00BC22C6" w:rsidRPr="004B6BC2" w:rsidRDefault="00BC22C6" w:rsidP="006A4D07">
            <w:pPr>
              <w:keepNext/>
              <w:keepLines/>
              <w:rPr>
                <w:b/>
                <w:i/>
              </w:rPr>
            </w:pPr>
            <w:r w:rsidRPr="004B6BC2">
              <w:rPr>
                <w:b/>
                <w:i/>
              </w:rPr>
              <w:t>Nombre de pays</w:t>
            </w:r>
            <w:r w:rsidRPr="004B6BC2">
              <w:rPr>
                <w:b/>
                <w:iCs/>
              </w:rPr>
              <w:t>:</w:t>
            </w:r>
            <w:r w:rsidRPr="004B6BC2">
              <w:t xml:space="preserve"> </w:t>
            </w:r>
          </w:p>
        </w:tc>
      </w:tr>
      <w:tr w:rsidR="00BC22C6" w:rsidRPr="004B6BC2" w14:paraId="2376D063" w14:textId="77777777" w:rsidTr="00D84E00">
        <w:trPr>
          <w:cantSplit/>
        </w:trPr>
        <w:tc>
          <w:tcPr>
            <w:tcW w:w="10065" w:type="dxa"/>
            <w:gridSpan w:val="2"/>
            <w:tcBorders>
              <w:top w:val="single" w:sz="4" w:space="0" w:color="auto"/>
              <w:left w:val="nil"/>
              <w:bottom w:val="nil"/>
              <w:right w:val="nil"/>
            </w:tcBorders>
          </w:tcPr>
          <w:p w14:paraId="4D8FDF50" w14:textId="02ACB203" w:rsidR="00BC22C6" w:rsidRPr="004B6BC2" w:rsidRDefault="00BC22C6" w:rsidP="006A4D07">
            <w:pPr>
              <w:keepNext/>
              <w:keepLines/>
              <w:rPr>
                <w:b/>
                <w:i/>
              </w:rPr>
            </w:pPr>
            <w:r w:rsidRPr="004B6BC2">
              <w:rPr>
                <w:b/>
                <w:i/>
              </w:rPr>
              <w:t>Observations</w:t>
            </w:r>
          </w:p>
        </w:tc>
      </w:tr>
    </w:tbl>
    <w:p w14:paraId="6FB10D8A" w14:textId="77777777" w:rsidR="00254151" w:rsidRPr="004B6BC2" w:rsidRDefault="00254151" w:rsidP="00D52932">
      <w:pPr>
        <w:spacing w:line="360" w:lineRule="auto"/>
        <w:jc w:val="center"/>
      </w:pPr>
      <w:r w:rsidRPr="004B6BC2">
        <w:t>______________</w:t>
      </w:r>
    </w:p>
    <w:sectPr w:rsidR="00254151" w:rsidRPr="004B6BC2">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A34D" w14:textId="77777777" w:rsidR="00647C8E" w:rsidRDefault="00647C8E">
      <w:r>
        <w:separator/>
      </w:r>
    </w:p>
  </w:endnote>
  <w:endnote w:type="continuationSeparator" w:id="0">
    <w:p w14:paraId="552FEA0F" w14:textId="77777777" w:rsidR="00647C8E" w:rsidRDefault="0064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D15E" w14:textId="670D6A9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F1521">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8EB2" w14:textId="3E99C52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52932">
      <w:rPr>
        <w:lang w:val="en-US"/>
      </w:rPr>
      <w:t>P:\FRA\ITU-R\CONF-R\CMR23\100\158REV1F.docx</w:t>
    </w:r>
    <w:r>
      <w:fldChar w:fldCharType="end"/>
    </w:r>
    <w:r w:rsidR="004540A2">
      <w:t xml:space="preserve"> (53</w:t>
    </w:r>
    <w:r w:rsidR="007B4C22">
      <w:t>1250</w:t>
    </w:r>
    <w:r w:rsidR="004540A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D942" w14:textId="761925C2"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52932">
      <w:rPr>
        <w:lang w:val="en-US"/>
      </w:rPr>
      <w:t>P:\FRA\ITU-R\CONF-R\CMR23\100\158REV1F.docx</w:t>
    </w:r>
    <w:r>
      <w:fldChar w:fldCharType="end"/>
    </w:r>
    <w:r w:rsidR="00254151">
      <w:t xml:space="preserve"> (53</w:t>
    </w:r>
    <w:r w:rsidR="007B4C22">
      <w:t>1250</w:t>
    </w:r>
    <w:r w:rsidR="0025415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E0A9" w14:textId="77777777" w:rsidR="00647C8E" w:rsidRDefault="00647C8E">
      <w:r>
        <w:rPr>
          <w:b/>
        </w:rPr>
        <w:t>_______________</w:t>
      </w:r>
    </w:p>
  </w:footnote>
  <w:footnote w:type="continuationSeparator" w:id="0">
    <w:p w14:paraId="3AD5D695" w14:textId="77777777" w:rsidR="00647C8E" w:rsidRDefault="0064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139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A20C9BE" w14:textId="07B54316" w:rsidR="004F1F8E" w:rsidRDefault="00225CF2" w:rsidP="00FD7AA3">
    <w:pPr>
      <w:pStyle w:val="Header"/>
    </w:pPr>
    <w:r>
      <w:t>WRC</w:t>
    </w:r>
    <w:r w:rsidR="00D3426F">
      <w:t>23</w:t>
    </w:r>
    <w:r w:rsidR="004F1F8E">
      <w:t>/</w:t>
    </w:r>
    <w:r w:rsidR="006A4B45">
      <w:t>158</w:t>
    </w:r>
    <w:r w:rsidR="007B4C22">
      <w:t>(Rév.1)</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17919142">
    <w:abstractNumId w:val="0"/>
  </w:num>
  <w:num w:numId="2" w16cid:durableId="15848732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42FF"/>
    <w:rsid w:val="00063A1F"/>
    <w:rsid w:val="00080E2C"/>
    <w:rsid w:val="00081366"/>
    <w:rsid w:val="000863B3"/>
    <w:rsid w:val="000A4755"/>
    <w:rsid w:val="000A55AE"/>
    <w:rsid w:val="000B2E0C"/>
    <w:rsid w:val="000B3D0C"/>
    <w:rsid w:val="000E4E0D"/>
    <w:rsid w:val="001167B9"/>
    <w:rsid w:val="001267A0"/>
    <w:rsid w:val="00135281"/>
    <w:rsid w:val="00140D9E"/>
    <w:rsid w:val="0015203F"/>
    <w:rsid w:val="00160C64"/>
    <w:rsid w:val="0018169B"/>
    <w:rsid w:val="0019352B"/>
    <w:rsid w:val="001960D0"/>
    <w:rsid w:val="001A11F6"/>
    <w:rsid w:val="001B5E9F"/>
    <w:rsid w:val="001F17E8"/>
    <w:rsid w:val="00204306"/>
    <w:rsid w:val="00225CF2"/>
    <w:rsid w:val="00232FD2"/>
    <w:rsid w:val="00254151"/>
    <w:rsid w:val="002607C5"/>
    <w:rsid w:val="0026554E"/>
    <w:rsid w:val="0028658E"/>
    <w:rsid w:val="00293248"/>
    <w:rsid w:val="002A1A24"/>
    <w:rsid w:val="002A4622"/>
    <w:rsid w:val="002A6F8F"/>
    <w:rsid w:val="002B17E5"/>
    <w:rsid w:val="002C0EBF"/>
    <w:rsid w:val="002C28A4"/>
    <w:rsid w:val="002D1BCD"/>
    <w:rsid w:val="002D7E0A"/>
    <w:rsid w:val="002E0F28"/>
    <w:rsid w:val="002E4D21"/>
    <w:rsid w:val="002F3D56"/>
    <w:rsid w:val="0031308F"/>
    <w:rsid w:val="00314E98"/>
    <w:rsid w:val="00315AFE"/>
    <w:rsid w:val="00321A68"/>
    <w:rsid w:val="003411F6"/>
    <w:rsid w:val="003606A6"/>
    <w:rsid w:val="0036650C"/>
    <w:rsid w:val="00372A46"/>
    <w:rsid w:val="00386BB6"/>
    <w:rsid w:val="00393ACD"/>
    <w:rsid w:val="003A583E"/>
    <w:rsid w:val="003B7500"/>
    <w:rsid w:val="003E112B"/>
    <w:rsid w:val="003E1D1C"/>
    <w:rsid w:val="003E7B05"/>
    <w:rsid w:val="003F3719"/>
    <w:rsid w:val="003F6F2D"/>
    <w:rsid w:val="00403003"/>
    <w:rsid w:val="004540A2"/>
    <w:rsid w:val="00466211"/>
    <w:rsid w:val="00483196"/>
    <w:rsid w:val="004834A9"/>
    <w:rsid w:val="00487B09"/>
    <w:rsid w:val="00496DC9"/>
    <w:rsid w:val="004B1CBC"/>
    <w:rsid w:val="004B6877"/>
    <w:rsid w:val="004B6BC2"/>
    <w:rsid w:val="004D01FC"/>
    <w:rsid w:val="004E28C3"/>
    <w:rsid w:val="004F1F8E"/>
    <w:rsid w:val="005044DF"/>
    <w:rsid w:val="00512A32"/>
    <w:rsid w:val="005343DA"/>
    <w:rsid w:val="00550AD3"/>
    <w:rsid w:val="00560874"/>
    <w:rsid w:val="00586CF2"/>
    <w:rsid w:val="00593C7E"/>
    <w:rsid w:val="005A7C75"/>
    <w:rsid w:val="005C3768"/>
    <w:rsid w:val="005C6C3F"/>
    <w:rsid w:val="005C7490"/>
    <w:rsid w:val="00613635"/>
    <w:rsid w:val="0062093D"/>
    <w:rsid w:val="006219C1"/>
    <w:rsid w:val="00637ECF"/>
    <w:rsid w:val="00647B59"/>
    <w:rsid w:val="00647C8E"/>
    <w:rsid w:val="00653AC0"/>
    <w:rsid w:val="00690C7B"/>
    <w:rsid w:val="006A4B45"/>
    <w:rsid w:val="006A4D07"/>
    <w:rsid w:val="006B3CDC"/>
    <w:rsid w:val="006B3D07"/>
    <w:rsid w:val="006D4724"/>
    <w:rsid w:val="006E31C9"/>
    <w:rsid w:val="006F5FA2"/>
    <w:rsid w:val="0070076C"/>
    <w:rsid w:val="00701BAE"/>
    <w:rsid w:val="00721F04"/>
    <w:rsid w:val="00730E95"/>
    <w:rsid w:val="007426B9"/>
    <w:rsid w:val="00764342"/>
    <w:rsid w:val="00774362"/>
    <w:rsid w:val="00786598"/>
    <w:rsid w:val="00790C74"/>
    <w:rsid w:val="007A04E8"/>
    <w:rsid w:val="007B2C34"/>
    <w:rsid w:val="007B4C22"/>
    <w:rsid w:val="007C5392"/>
    <w:rsid w:val="007E1BCB"/>
    <w:rsid w:val="007F1521"/>
    <w:rsid w:val="007F282B"/>
    <w:rsid w:val="007F4B73"/>
    <w:rsid w:val="00823F1C"/>
    <w:rsid w:val="00830086"/>
    <w:rsid w:val="0083279E"/>
    <w:rsid w:val="00851625"/>
    <w:rsid w:val="00863C0A"/>
    <w:rsid w:val="008A3120"/>
    <w:rsid w:val="008A4B97"/>
    <w:rsid w:val="008C5B8E"/>
    <w:rsid w:val="008C5DD5"/>
    <w:rsid w:val="008C6B3C"/>
    <w:rsid w:val="008C7123"/>
    <w:rsid w:val="008D1351"/>
    <w:rsid w:val="008D41BE"/>
    <w:rsid w:val="008D58D3"/>
    <w:rsid w:val="008E3BC9"/>
    <w:rsid w:val="008F0AC0"/>
    <w:rsid w:val="00914A8F"/>
    <w:rsid w:val="00923064"/>
    <w:rsid w:val="00930FFD"/>
    <w:rsid w:val="00936D25"/>
    <w:rsid w:val="00941EA5"/>
    <w:rsid w:val="00964700"/>
    <w:rsid w:val="00965E22"/>
    <w:rsid w:val="00966C16"/>
    <w:rsid w:val="0097197F"/>
    <w:rsid w:val="00972EBB"/>
    <w:rsid w:val="00980B16"/>
    <w:rsid w:val="009843B8"/>
    <w:rsid w:val="0098732F"/>
    <w:rsid w:val="009A045F"/>
    <w:rsid w:val="009A6A2B"/>
    <w:rsid w:val="009C7E7C"/>
    <w:rsid w:val="00A00473"/>
    <w:rsid w:val="00A03C9B"/>
    <w:rsid w:val="00A13474"/>
    <w:rsid w:val="00A37105"/>
    <w:rsid w:val="00A44BB8"/>
    <w:rsid w:val="00A606C3"/>
    <w:rsid w:val="00A74566"/>
    <w:rsid w:val="00A83B09"/>
    <w:rsid w:val="00A84541"/>
    <w:rsid w:val="00AB3801"/>
    <w:rsid w:val="00AB706D"/>
    <w:rsid w:val="00AC5A5E"/>
    <w:rsid w:val="00AE36A0"/>
    <w:rsid w:val="00B00294"/>
    <w:rsid w:val="00B20948"/>
    <w:rsid w:val="00B3749C"/>
    <w:rsid w:val="00B60219"/>
    <w:rsid w:val="00B6292B"/>
    <w:rsid w:val="00B64FD0"/>
    <w:rsid w:val="00B963FE"/>
    <w:rsid w:val="00BA1E45"/>
    <w:rsid w:val="00BA3BEB"/>
    <w:rsid w:val="00BA5BD0"/>
    <w:rsid w:val="00BB1D82"/>
    <w:rsid w:val="00BC217E"/>
    <w:rsid w:val="00BC22C6"/>
    <w:rsid w:val="00BD51C5"/>
    <w:rsid w:val="00BF26E7"/>
    <w:rsid w:val="00C1305F"/>
    <w:rsid w:val="00C53FCA"/>
    <w:rsid w:val="00C71DEB"/>
    <w:rsid w:val="00C76BAF"/>
    <w:rsid w:val="00C814B9"/>
    <w:rsid w:val="00C83486"/>
    <w:rsid w:val="00CB685A"/>
    <w:rsid w:val="00CD516F"/>
    <w:rsid w:val="00D119A7"/>
    <w:rsid w:val="00D23087"/>
    <w:rsid w:val="00D25FBA"/>
    <w:rsid w:val="00D32B28"/>
    <w:rsid w:val="00D3426F"/>
    <w:rsid w:val="00D42954"/>
    <w:rsid w:val="00D52932"/>
    <w:rsid w:val="00D66EAC"/>
    <w:rsid w:val="00D730DF"/>
    <w:rsid w:val="00D772F0"/>
    <w:rsid w:val="00D77773"/>
    <w:rsid w:val="00D77BDC"/>
    <w:rsid w:val="00DB7F4B"/>
    <w:rsid w:val="00DC402B"/>
    <w:rsid w:val="00DE0932"/>
    <w:rsid w:val="00DE6F98"/>
    <w:rsid w:val="00DF15E8"/>
    <w:rsid w:val="00E03A27"/>
    <w:rsid w:val="00E049F1"/>
    <w:rsid w:val="00E13D50"/>
    <w:rsid w:val="00E152B2"/>
    <w:rsid w:val="00E37A25"/>
    <w:rsid w:val="00E41047"/>
    <w:rsid w:val="00E5282A"/>
    <w:rsid w:val="00E537FF"/>
    <w:rsid w:val="00E5384C"/>
    <w:rsid w:val="00E60CB2"/>
    <w:rsid w:val="00E6539B"/>
    <w:rsid w:val="00E70A31"/>
    <w:rsid w:val="00E723A7"/>
    <w:rsid w:val="00EA3F38"/>
    <w:rsid w:val="00EA5AB6"/>
    <w:rsid w:val="00EC5A72"/>
    <w:rsid w:val="00EC7615"/>
    <w:rsid w:val="00ED16AA"/>
    <w:rsid w:val="00ED5070"/>
    <w:rsid w:val="00ED6B8D"/>
    <w:rsid w:val="00EE3D7B"/>
    <w:rsid w:val="00EF662E"/>
    <w:rsid w:val="00F01D04"/>
    <w:rsid w:val="00F10064"/>
    <w:rsid w:val="00F148F1"/>
    <w:rsid w:val="00F30B92"/>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0879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character" w:customStyle="1" w:styleId="ReasonsChar">
    <w:name w:val="Reasons Char"/>
    <w:link w:val="Reasons"/>
    <w:rsid w:val="00C83486"/>
    <w:rPr>
      <w:rFonts w:ascii="Times New Roman" w:hAnsi="Times New Roman"/>
      <w:sz w:val="24"/>
      <w:lang w:val="fr-FR" w:eastAsia="en-US"/>
    </w:rPr>
  </w:style>
  <w:style w:type="character" w:customStyle="1" w:styleId="ui-provider">
    <w:name w:val="ui-provider"/>
    <w:basedOn w:val="DefaultParagraphFont"/>
    <w:rsid w:val="00487B09"/>
  </w:style>
  <w:style w:type="character" w:styleId="CommentReference">
    <w:name w:val="annotation reference"/>
    <w:basedOn w:val="DefaultParagraphFont"/>
    <w:semiHidden/>
    <w:unhideWhenUsed/>
    <w:rsid w:val="006219C1"/>
    <w:rPr>
      <w:sz w:val="16"/>
      <w:szCs w:val="16"/>
    </w:rPr>
  </w:style>
  <w:style w:type="paragraph" w:styleId="CommentText">
    <w:name w:val="annotation text"/>
    <w:basedOn w:val="Normal"/>
    <w:link w:val="CommentTextChar"/>
    <w:unhideWhenUsed/>
    <w:rsid w:val="006219C1"/>
    <w:rPr>
      <w:sz w:val="20"/>
    </w:rPr>
  </w:style>
  <w:style w:type="character" w:customStyle="1" w:styleId="CommentTextChar">
    <w:name w:val="Comment Text Char"/>
    <w:basedOn w:val="DefaultParagraphFont"/>
    <w:link w:val="CommentText"/>
    <w:rsid w:val="006219C1"/>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219C1"/>
    <w:rPr>
      <w:b/>
      <w:bCs/>
    </w:rPr>
  </w:style>
  <w:style w:type="character" w:customStyle="1" w:styleId="CommentSubjectChar">
    <w:name w:val="Comment Subject Char"/>
    <w:basedOn w:val="CommentTextChar"/>
    <w:link w:val="CommentSubject"/>
    <w:semiHidden/>
    <w:rsid w:val="006219C1"/>
    <w:rPr>
      <w:rFonts w:ascii="Times New Roman" w:hAnsi="Times New Roman"/>
      <w:b/>
      <w:bCs/>
      <w:lang w:val="fr-FR" w:eastAsia="en-US"/>
    </w:rPr>
  </w:style>
  <w:style w:type="character" w:styleId="UnresolvedMention">
    <w:name w:val="Unresolved Mention"/>
    <w:basedOn w:val="DefaultParagraphFont"/>
    <w:uiPriority w:val="99"/>
    <w:semiHidden/>
    <w:unhideWhenUsed/>
    <w:rsid w:val="006B3CDC"/>
    <w:rPr>
      <w:color w:val="605E5C"/>
      <w:shd w:val="clear" w:color="auto" w:fill="E1DFDD"/>
    </w:rPr>
  </w:style>
  <w:style w:type="paragraph" w:styleId="Revision">
    <w:name w:val="Revision"/>
    <w:hidden/>
    <w:uiPriority w:val="99"/>
    <w:semiHidden/>
    <w:rsid w:val="00E152B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publications.aspx?lang=en&amp;parent=R-REP-S.2462-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3E798-0CE0-494F-9F3F-3289CF04E3FB}">
  <ds:schemaRefs>
    <ds:schemaRef ds:uri="http://www.w3.org/XML/1998/namespace"/>
    <ds:schemaRef ds:uri="http://purl.org/dc/terms/"/>
    <ds:schemaRef ds:uri="http://schemas.microsoft.com/office/2006/metadata/properties"/>
    <ds:schemaRef ds:uri="http://purl.org/dc/dcmitype/"/>
    <ds:schemaRef ds:uri="996b2e75-67fd-4955-a3b0-5ab9934cb50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CF3B40A-C2A7-47CF-84F2-19637211FC4E}">
  <ds:schemaRefs>
    <ds:schemaRef ds:uri="http://schemas.microsoft.com/sharepoint/events"/>
  </ds:schemaRefs>
</ds:datastoreItem>
</file>

<file path=customXml/itemProps4.xml><?xml version="1.0" encoding="utf-8"?>
<ds:datastoreItem xmlns:ds="http://schemas.openxmlformats.org/officeDocument/2006/customXml" ds:itemID="{AB34AF7B-880A-43C3-B662-8AD4A6716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5246</Words>
  <Characters>28713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R23-WRC23-C-0158!!MSW-F</vt:lpstr>
    </vt:vector>
  </TitlesOfParts>
  <Manager>Secrétariat général - Pool</Manager>
  <Company>Union internationale des télécommunications (UIT)</Company>
  <LinksUpToDate>false</LinksUpToDate>
  <CharactersWithSpaces>33892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R23-WRC23-C-0158!!MSW-F</dc:title>
  <dc:subject>Conférence mondiale des radiocommunications - 2019</dc:subject>
  <dc:creator>Documents Proposals Manager (DPM)</dc:creator>
  <cp:keywords>DPM_v2023.11.6.1_prod</cp:keywords>
  <dc:description/>
  <cp:lastModifiedBy>French</cp:lastModifiedBy>
  <cp:revision>3</cp:revision>
  <cp:lastPrinted>2003-06-05T19:34:00Z</cp:lastPrinted>
  <dcterms:created xsi:type="dcterms:W3CDTF">2023-11-17T09:31:00Z</dcterms:created>
  <dcterms:modified xsi:type="dcterms:W3CDTF">2023-11-17T09:34:00Z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