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493F61" w14:paraId="41BF5B9C" w14:textId="77777777" w:rsidTr="00C1305F">
        <w:trPr>
          <w:cantSplit/>
        </w:trPr>
        <w:tc>
          <w:tcPr>
            <w:tcW w:w="1418" w:type="dxa"/>
            <w:vAlign w:val="center"/>
          </w:tcPr>
          <w:p w14:paraId="3093C0AB" w14:textId="77777777" w:rsidR="00C1305F" w:rsidRPr="00493F61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493F61">
              <w:rPr>
                <w:noProof/>
              </w:rPr>
              <w:drawing>
                <wp:inline distT="0" distB="0" distL="0" distR="0" wp14:anchorId="3F219D64" wp14:editId="079FEDEF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F532D39" w14:textId="77777777" w:rsidR="00C1305F" w:rsidRPr="00493F61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493F61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493F61">
              <w:rPr>
                <w:rFonts w:ascii="Verdana" w:hAnsi="Verdana"/>
                <w:b/>
                <w:bCs/>
                <w:sz w:val="20"/>
              </w:rPr>
              <w:br/>
            </w:r>
            <w:r w:rsidRPr="00493F61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073A77" w:rsidRPr="00493F61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493F61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24FABA07" w14:textId="77777777" w:rsidR="00C1305F" w:rsidRPr="00493F61" w:rsidRDefault="00C1305F" w:rsidP="00C1305F">
            <w:pPr>
              <w:spacing w:before="0" w:line="240" w:lineRule="atLeast"/>
            </w:pPr>
            <w:r w:rsidRPr="00493F61">
              <w:rPr>
                <w:noProof/>
              </w:rPr>
              <w:drawing>
                <wp:inline distT="0" distB="0" distL="0" distR="0" wp14:anchorId="1D778CD1" wp14:editId="0E620119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493F61" w14:paraId="1344D7A8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52A4AEF" w14:textId="77777777" w:rsidR="00BB1D82" w:rsidRPr="00493F61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28995CE" w14:textId="77777777" w:rsidR="00BB1D82" w:rsidRPr="00493F61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493F61" w14:paraId="2D1F2E81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311F703" w14:textId="77777777" w:rsidR="00BB1D82" w:rsidRPr="00493F61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33E03A8" w14:textId="77777777" w:rsidR="00BB1D82" w:rsidRPr="00493F61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493F61" w14:paraId="645FFFDC" w14:textId="77777777" w:rsidTr="00BB1D82">
        <w:trPr>
          <w:cantSplit/>
        </w:trPr>
        <w:tc>
          <w:tcPr>
            <w:tcW w:w="6911" w:type="dxa"/>
            <w:gridSpan w:val="2"/>
          </w:tcPr>
          <w:p w14:paraId="2047E90D" w14:textId="77777777" w:rsidR="00BB1D82" w:rsidRPr="00493F61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93F61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01C45791" w14:textId="77777777" w:rsidR="00BB1D82" w:rsidRPr="00493F61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493F61">
              <w:rPr>
                <w:rFonts w:ascii="Verdana" w:hAnsi="Verdana"/>
                <w:b/>
                <w:sz w:val="20"/>
              </w:rPr>
              <w:t>Document 162</w:t>
            </w:r>
            <w:r w:rsidR="00BB1D82" w:rsidRPr="00493F61">
              <w:rPr>
                <w:rFonts w:ascii="Verdana" w:hAnsi="Verdana"/>
                <w:b/>
                <w:sz w:val="20"/>
              </w:rPr>
              <w:t>-</w:t>
            </w:r>
            <w:r w:rsidRPr="00493F61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493F61" w14:paraId="1CD48085" w14:textId="77777777" w:rsidTr="00BB1D82">
        <w:trPr>
          <w:cantSplit/>
        </w:trPr>
        <w:tc>
          <w:tcPr>
            <w:tcW w:w="6911" w:type="dxa"/>
            <w:gridSpan w:val="2"/>
          </w:tcPr>
          <w:p w14:paraId="51E77EE1" w14:textId="77777777" w:rsidR="00690C7B" w:rsidRPr="00493F61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38FB540E" w14:textId="77777777" w:rsidR="00690C7B" w:rsidRPr="00493F61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93F61">
              <w:rPr>
                <w:rFonts w:ascii="Verdana" w:hAnsi="Verdana"/>
                <w:b/>
                <w:sz w:val="20"/>
              </w:rPr>
              <w:t>30 octobre 2023</w:t>
            </w:r>
          </w:p>
        </w:tc>
      </w:tr>
      <w:tr w:rsidR="00690C7B" w:rsidRPr="00493F61" w14:paraId="2ABBD02F" w14:textId="77777777" w:rsidTr="00BB1D82">
        <w:trPr>
          <w:cantSplit/>
        </w:trPr>
        <w:tc>
          <w:tcPr>
            <w:tcW w:w="6911" w:type="dxa"/>
            <w:gridSpan w:val="2"/>
          </w:tcPr>
          <w:p w14:paraId="1F532338" w14:textId="77777777" w:rsidR="00690C7B" w:rsidRPr="00493F61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537AD7F6" w14:textId="77777777" w:rsidR="00690C7B" w:rsidRPr="00493F61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93F61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493F61" w14:paraId="4A9B8E70" w14:textId="77777777" w:rsidTr="00C11970">
        <w:trPr>
          <w:cantSplit/>
        </w:trPr>
        <w:tc>
          <w:tcPr>
            <w:tcW w:w="10031" w:type="dxa"/>
            <w:gridSpan w:val="4"/>
          </w:tcPr>
          <w:p w14:paraId="022E706C" w14:textId="77777777" w:rsidR="00690C7B" w:rsidRPr="00493F61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493F61" w14:paraId="3B679F02" w14:textId="77777777" w:rsidTr="0050008E">
        <w:trPr>
          <w:cantSplit/>
        </w:trPr>
        <w:tc>
          <w:tcPr>
            <w:tcW w:w="10031" w:type="dxa"/>
            <w:gridSpan w:val="4"/>
          </w:tcPr>
          <w:p w14:paraId="4CB4492A" w14:textId="77777777" w:rsidR="00690C7B" w:rsidRPr="00493F61" w:rsidRDefault="00690C7B" w:rsidP="00690C7B">
            <w:pPr>
              <w:pStyle w:val="Source"/>
            </w:pPr>
            <w:bookmarkStart w:id="0" w:name="dsource" w:colFirst="0" w:colLast="0"/>
            <w:r w:rsidRPr="00493F61">
              <w:t>Papouasie-Nouvelle-Guinée/Samoa (</w:t>
            </w:r>
            <w:r w:rsidR="00073A77" w:rsidRPr="00493F61">
              <w:t>État</w:t>
            </w:r>
            <w:r w:rsidRPr="00493F61">
              <w:t xml:space="preserve"> indépendant du)</w:t>
            </w:r>
          </w:p>
        </w:tc>
      </w:tr>
      <w:tr w:rsidR="00690C7B" w:rsidRPr="00493F61" w14:paraId="27BF57B0" w14:textId="77777777" w:rsidTr="0050008E">
        <w:trPr>
          <w:cantSplit/>
        </w:trPr>
        <w:tc>
          <w:tcPr>
            <w:tcW w:w="10031" w:type="dxa"/>
            <w:gridSpan w:val="4"/>
          </w:tcPr>
          <w:p w14:paraId="114BE5E6" w14:textId="77777777" w:rsidR="00690C7B" w:rsidRPr="00493F61" w:rsidRDefault="00073A77" w:rsidP="00690C7B">
            <w:pPr>
              <w:pStyle w:val="Title1"/>
            </w:pPr>
            <w:bookmarkStart w:id="1" w:name="dtitle1" w:colFirst="0" w:colLast="0"/>
            <w:bookmarkEnd w:id="0"/>
            <w:r w:rsidRPr="00493F61">
              <w:t>PROPOSITIONS POUR LES TRAVAUX DE LA CONFéRENCE</w:t>
            </w:r>
          </w:p>
        </w:tc>
      </w:tr>
      <w:tr w:rsidR="00690C7B" w:rsidRPr="00493F61" w14:paraId="2809B980" w14:textId="77777777" w:rsidTr="0050008E">
        <w:trPr>
          <w:cantSplit/>
        </w:trPr>
        <w:tc>
          <w:tcPr>
            <w:tcW w:w="10031" w:type="dxa"/>
            <w:gridSpan w:val="4"/>
          </w:tcPr>
          <w:p w14:paraId="7293B814" w14:textId="77777777" w:rsidR="00690C7B" w:rsidRPr="00493F61" w:rsidRDefault="00690C7B" w:rsidP="00690C7B">
            <w:pPr>
              <w:pStyle w:val="Title2"/>
            </w:pPr>
            <w:bookmarkStart w:id="2" w:name="dtitle2" w:colFirst="0" w:colLast="0"/>
            <w:bookmarkEnd w:id="1"/>
          </w:p>
        </w:tc>
      </w:tr>
      <w:tr w:rsidR="00690C7B" w:rsidRPr="00493F61" w14:paraId="5627BDB2" w14:textId="77777777" w:rsidTr="0050008E">
        <w:trPr>
          <w:cantSplit/>
        </w:trPr>
        <w:tc>
          <w:tcPr>
            <w:tcW w:w="10031" w:type="dxa"/>
            <w:gridSpan w:val="4"/>
          </w:tcPr>
          <w:p w14:paraId="181E1C13" w14:textId="77777777" w:rsidR="00690C7B" w:rsidRPr="00493F61" w:rsidRDefault="00690C7B" w:rsidP="00690C7B">
            <w:pPr>
              <w:pStyle w:val="Agendaitem"/>
              <w:rPr>
                <w:lang w:val="fr-FR"/>
              </w:rPr>
            </w:pPr>
            <w:bookmarkStart w:id="3" w:name="dtitle3" w:colFirst="0" w:colLast="0"/>
            <w:bookmarkEnd w:id="2"/>
            <w:r w:rsidRPr="00493F61">
              <w:rPr>
                <w:lang w:val="fr-FR"/>
              </w:rPr>
              <w:t>Point 1.3 de l'ordre du jour</w:t>
            </w:r>
          </w:p>
        </w:tc>
      </w:tr>
    </w:tbl>
    <w:bookmarkEnd w:id="3"/>
    <w:p w14:paraId="4DA549BA" w14:textId="77777777" w:rsidR="00073A77" w:rsidRPr="00493F61" w:rsidRDefault="00073A77" w:rsidP="00B315C1">
      <w:r w:rsidRPr="00493F61">
        <w:rPr>
          <w:bCs/>
          <w:iCs/>
        </w:rPr>
        <w:t>1.3</w:t>
      </w:r>
      <w:r w:rsidRPr="00493F61">
        <w:rPr>
          <w:bCs/>
          <w:iCs/>
        </w:rPr>
        <w:tab/>
        <w:t xml:space="preserve">envisager l'attribution à titre primaire de la bande de fréquences 3 600-3 800 MHz au service mobile en Région 1 et prendre les mesures réglementaires appropriées, conformément à la Résolution </w:t>
      </w:r>
      <w:r w:rsidRPr="00493F61">
        <w:rPr>
          <w:b/>
          <w:iCs/>
        </w:rPr>
        <w:t>246 (CMR-19)</w:t>
      </w:r>
      <w:r w:rsidRPr="00493F61">
        <w:rPr>
          <w:bCs/>
          <w:iCs/>
        </w:rPr>
        <w:t>;</w:t>
      </w:r>
    </w:p>
    <w:p w14:paraId="590A4C45" w14:textId="77777777" w:rsidR="003A583E" w:rsidRPr="00493F61" w:rsidRDefault="00073A77" w:rsidP="00B315C1">
      <w:pPr>
        <w:pStyle w:val="Headingb"/>
      </w:pPr>
      <w:r w:rsidRPr="00493F61">
        <w:t>Introduction</w:t>
      </w:r>
    </w:p>
    <w:p w14:paraId="7B1CDBE3" w14:textId="7E0F4CA4" w:rsidR="00073A77" w:rsidRPr="00493F61" w:rsidRDefault="001A09C2">
      <w:pPr>
        <w:pPrChange w:id="4" w:author="French." w:date="2023-11-17T19:45:00Z">
          <w:pPr>
            <w:spacing w:line="480" w:lineRule="auto"/>
          </w:pPr>
        </w:pPrChange>
      </w:pPr>
      <w:r w:rsidRPr="00493F61">
        <w:t>Les c</w:t>
      </w:r>
      <w:r w:rsidR="00073A77" w:rsidRPr="00493F61">
        <w:t xml:space="preserve">inq méthodes </w:t>
      </w:r>
      <w:r w:rsidRPr="00493F61">
        <w:t xml:space="preserve">suivantes </w:t>
      </w:r>
      <w:r w:rsidR="00073A77" w:rsidRPr="00493F61">
        <w:t>pour traiter ce point de l'ordre du jour sont proposées au paragraphe</w:t>
      </w:r>
      <w:r w:rsidR="00493F61" w:rsidRPr="00493F61">
        <w:t> </w:t>
      </w:r>
      <w:r w:rsidR="00073A77" w:rsidRPr="00493F61">
        <w:t>1/1.3/4</w:t>
      </w:r>
      <w:r w:rsidRPr="00493F61">
        <w:t xml:space="preserve"> du </w:t>
      </w:r>
      <w:r w:rsidR="00C21013" w:rsidRPr="00493F61">
        <w:fldChar w:fldCharType="begin"/>
      </w:r>
      <w:r w:rsidR="00C21013" w:rsidRPr="00493F61">
        <w:instrText xml:space="preserve"> HYPERLINK "https://www.itu.int/md/R19-CPM23.2-R-0001/fr" </w:instrText>
      </w:r>
      <w:r w:rsidR="00C21013" w:rsidRPr="00493F61">
        <w:fldChar w:fldCharType="separate"/>
      </w:r>
      <w:r w:rsidRPr="00493F61">
        <w:rPr>
          <w:rStyle w:val="Hyperlink"/>
        </w:rPr>
        <w:t>Rapport de la R</w:t>
      </w:r>
      <w:r w:rsidRPr="00493F61">
        <w:rPr>
          <w:rStyle w:val="Hyperlink"/>
        </w:rPr>
        <w:t>P</w:t>
      </w:r>
      <w:r w:rsidRPr="00493F61">
        <w:rPr>
          <w:rStyle w:val="Hyperlink"/>
        </w:rPr>
        <w:t>C</w:t>
      </w:r>
      <w:r w:rsidR="00C21013" w:rsidRPr="00493F61">
        <w:rPr>
          <w:rStyle w:val="Hyperlink"/>
        </w:rPr>
        <w:fldChar w:fldCharType="end"/>
      </w:r>
      <w:r w:rsidR="00073A77" w:rsidRPr="00493F61">
        <w:t>:</w:t>
      </w:r>
    </w:p>
    <w:p w14:paraId="1D2C9817" w14:textId="470F7136" w:rsidR="00073A77" w:rsidRPr="00493F61" w:rsidRDefault="00073A77" w:rsidP="00073A77">
      <w:pPr>
        <w:pStyle w:val="enumlev1"/>
      </w:pPr>
      <w:r w:rsidRPr="00493F61">
        <w:t>•</w:t>
      </w:r>
      <w:r w:rsidRPr="00493F61">
        <w:tab/>
      </w:r>
      <w:r w:rsidRPr="00493F61">
        <w:rPr>
          <w:b/>
        </w:rPr>
        <w:t xml:space="preserve">Méthode A: </w:t>
      </w:r>
      <w:r w:rsidR="00403261" w:rsidRPr="00493F61">
        <w:t>A</w:t>
      </w:r>
      <w:r w:rsidRPr="00493F61">
        <w:t>ucune modification.</w:t>
      </w:r>
    </w:p>
    <w:p w14:paraId="52D37150" w14:textId="079C3525" w:rsidR="00073A77" w:rsidRPr="00493F61" w:rsidRDefault="00073A77">
      <w:pPr>
        <w:pStyle w:val="enumlev1"/>
        <w:pPrChange w:id="5" w:author="French." w:date="2023-11-17T19:45:00Z">
          <w:pPr>
            <w:pStyle w:val="enumlev1"/>
            <w:spacing w:line="480" w:lineRule="auto"/>
          </w:pPr>
        </w:pPrChange>
      </w:pPr>
      <w:r w:rsidRPr="00493F61">
        <w:t>•</w:t>
      </w:r>
      <w:r w:rsidRPr="00493F61">
        <w:tab/>
      </w:r>
      <w:r w:rsidRPr="00493F61">
        <w:rPr>
          <w:b/>
        </w:rPr>
        <w:t>Méthode B:</w:t>
      </w:r>
      <w:r w:rsidRPr="00493F61">
        <w:t xml:space="preserve"> </w:t>
      </w:r>
      <w:r w:rsidR="00403261" w:rsidRPr="00493F61">
        <w:t>R</w:t>
      </w:r>
      <w:r w:rsidRPr="00493F61">
        <w:t>elever au statut primaire l'attribution de la bande de fréquences 3 600</w:t>
      </w:r>
      <w:r w:rsidRPr="00493F61">
        <w:noBreakHyphen/>
        <w:t>3 800 MHz au service mobile, sauf mobile aéronautique, dans la Région 1, sans conditions.</w:t>
      </w:r>
    </w:p>
    <w:p w14:paraId="14AEE46E" w14:textId="0B80C647" w:rsidR="00073A77" w:rsidRPr="00493F61" w:rsidRDefault="00073A77">
      <w:pPr>
        <w:pStyle w:val="enumlev1"/>
        <w:pPrChange w:id="6" w:author="French." w:date="2023-11-17T19:45:00Z">
          <w:pPr>
            <w:pStyle w:val="enumlev1"/>
            <w:spacing w:line="480" w:lineRule="auto"/>
          </w:pPr>
        </w:pPrChange>
      </w:pPr>
      <w:r w:rsidRPr="00493F61">
        <w:t>•</w:t>
      </w:r>
      <w:r w:rsidRPr="00493F61">
        <w:tab/>
      </w:r>
      <w:r w:rsidRPr="00493F61">
        <w:rPr>
          <w:b/>
        </w:rPr>
        <w:t>Méthode C:</w:t>
      </w:r>
      <w:r w:rsidRPr="00493F61">
        <w:t xml:space="preserve"> </w:t>
      </w:r>
      <w:r w:rsidR="00403261" w:rsidRPr="00493F61">
        <w:t>R</w:t>
      </w:r>
      <w:r w:rsidRPr="00493F61">
        <w:t>elever au statut primaire l'attribution de la bande de fréquences 3 600</w:t>
      </w:r>
      <w:r w:rsidRPr="00493F61">
        <w:noBreakHyphen/>
        <w:t>3 800 MHz au service mobile, sauf mobile aéronautique, dans la Région 1, moyennant des conditions réglementaires ou techniques. Cette méthode est assortie de cinq variantes pour les conditions.</w:t>
      </w:r>
    </w:p>
    <w:p w14:paraId="147E05B0" w14:textId="799DC450" w:rsidR="00073A77" w:rsidRPr="00493F61" w:rsidRDefault="00073A77">
      <w:pPr>
        <w:pStyle w:val="enumlev1"/>
        <w:pPrChange w:id="7" w:author="French." w:date="2023-11-17T19:45:00Z">
          <w:pPr>
            <w:pStyle w:val="enumlev1"/>
            <w:spacing w:line="480" w:lineRule="auto"/>
          </w:pPr>
        </w:pPrChange>
      </w:pPr>
      <w:r w:rsidRPr="00493F61">
        <w:t>•</w:t>
      </w:r>
      <w:r w:rsidRPr="00493F61">
        <w:tab/>
      </w:r>
      <w:r w:rsidRPr="00493F61">
        <w:rPr>
          <w:b/>
        </w:rPr>
        <w:t>Méthode D:</w:t>
      </w:r>
      <w:r w:rsidRPr="00493F61">
        <w:t xml:space="preserve"> </w:t>
      </w:r>
      <w:r w:rsidR="00403261" w:rsidRPr="00493F61">
        <w:t>R</w:t>
      </w:r>
      <w:r w:rsidRPr="00493F61">
        <w:t>elever au statut primaire l'attribution de la bande de fréquences 3 600</w:t>
      </w:r>
      <w:r w:rsidRPr="00493F61">
        <w:noBreakHyphen/>
        <w:t xml:space="preserve">3 800 MHz au service mobile dans la Région 1, sans conditions, et identification pour les </w:t>
      </w:r>
      <w:r w:rsidR="00F9324F" w:rsidRPr="00493F61">
        <w:t>Télécommunications mobiles internationales (</w:t>
      </w:r>
      <w:r w:rsidRPr="00493F61">
        <w:t>IMT</w:t>
      </w:r>
      <w:r w:rsidR="00F9324F" w:rsidRPr="00493F61">
        <w:t>)</w:t>
      </w:r>
      <w:r w:rsidRPr="00493F61">
        <w:t>.</w:t>
      </w:r>
    </w:p>
    <w:p w14:paraId="41ACED7B" w14:textId="2CFCC114" w:rsidR="00073A77" w:rsidRPr="00493F61" w:rsidRDefault="00073A77">
      <w:pPr>
        <w:pStyle w:val="enumlev1"/>
        <w:pPrChange w:id="8" w:author="French." w:date="2023-11-17T19:45:00Z">
          <w:pPr>
            <w:pStyle w:val="enumlev1"/>
            <w:spacing w:line="480" w:lineRule="auto"/>
          </w:pPr>
        </w:pPrChange>
      </w:pPr>
      <w:r w:rsidRPr="00493F61">
        <w:t>•</w:t>
      </w:r>
      <w:r w:rsidRPr="00493F61">
        <w:tab/>
      </w:r>
      <w:r w:rsidRPr="00493F61">
        <w:rPr>
          <w:b/>
        </w:rPr>
        <w:t>Méthode E:</w:t>
      </w:r>
      <w:r w:rsidRPr="00493F61">
        <w:t xml:space="preserve"> </w:t>
      </w:r>
      <w:r w:rsidR="00403261" w:rsidRPr="00493F61">
        <w:t>R</w:t>
      </w:r>
      <w:r w:rsidRPr="00493F61">
        <w:t xml:space="preserve">elever au statut primaire l'attribution </w:t>
      </w:r>
      <w:r w:rsidR="00F9324F" w:rsidRPr="00493F61">
        <w:t>de la bande de fréquences 3 600</w:t>
      </w:r>
      <w:r w:rsidR="00F9324F" w:rsidRPr="00493F61">
        <w:noBreakHyphen/>
        <w:t xml:space="preserve">3 800 MHz, ou de parties de cette bande, </w:t>
      </w:r>
      <w:r w:rsidRPr="00493F61">
        <w:t>au service mobile, sauf mobile aéronautique, dans la Région 1, moyennant des conditions réglementaires ou techniques, et identification pour les IMT. Cette méthode est assortie de deux variantes pour les conditions.</w:t>
      </w:r>
    </w:p>
    <w:p w14:paraId="221F5889" w14:textId="77777777" w:rsidR="00073A77" w:rsidRPr="00493F61" w:rsidRDefault="00073A77" w:rsidP="005A7C75">
      <w:r w:rsidRPr="00493F61">
        <w:t xml:space="preserve">Dans les cinq méthodes, il est également proposé de supprimer la Résolution </w:t>
      </w:r>
      <w:r w:rsidRPr="00493F61">
        <w:rPr>
          <w:b/>
          <w:bCs/>
        </w:rPr>
        <w:t>246 (CMR-19)</w:t>
      </w:r>
      <w:r w:rsidRPr="00493F61">
        <w:t>.</w:t>
      </w:r>
    </w:p>
    <w:p w14:paraId="279432DF" w14:textId="77777777" w:rsidR="00073A77" w:rsidRPr="00493F61" w:rsidRDefault="00073A77" w:rsidP="00073A77">
      <w:pPr>
        <w:pStyle w:val="Headingb"/>
      </w:pPr>
      <w:r w:rsidRPr="00493F61">
        <w:lastRenderedPageBreak/>
        <w:t>Propositions</w:t>
      </w:r>
    </w:p>
    <w:p w14:paraId="7B706A34" w14:textId="6E04844B" w:rsidR="00073A77" w:rsidRPr="00493F61" w:rsidRDefault="00BA7FDF" w:rsidP="005A7C75">
      <w:r w:rsidRPr="00493F61">
        <w:t>En ce qui concerne les résultats de la sixième réunion du Groupe APG23 au titre du point 1.3 de l</w:t>
      </w:r>
      <w:r w:rsidR="00403261" w:rsidRPr="00493F61">
        <w:t>'</w:t>
      </w:r>
      <w:r w:rsidRPr="00493F61">
        <w:t>ordre du jour de la CMR-23, les points de vue des Membres de l</w:t>
      </w:r>
      <w:r w:rsidR="00403261" w:rsidRPr="00493F61">
        <w:t>'</w:t>
      </w:r>
      <w:r w:rsidRPr="00493F61">
        <w:t>APT sont les suivants:</w:t>
      </w:r>
    </w:p>
    <w:p w14:paraId="22A73AE3" w14:textId="11BC9126" w:rsidR="00073A77" w:rsidRPr="00493F61" w:rsidRDefault="00073A77" w:rsidP="00073A77">
      <w:pPr>
        <w:pStyle w:val="enumlev1"/>
      </w:pPr>
      <w:r w:rsidRPr="00493F61">
        <w:t>–</w:t>
      </w:r>
      <w:r w:rsidRPr="00493F61">
        <w:tab/>
      </w:r>
      <w:r w:rsidR="00BA7FDF" w:rsidRPr="00493F61">
        <w:t>Les Membres de l</w:t>
      </w:r>
      <w:r w:rsidR="00403261" w:rsidRPr="00493F61">
        <w:t>'</w:t>
      </w:r>
      <w:r w:rsidR="00BA7FDF" w:rsidRPr="00493F61">
        <w:t>APT sont d</w:t>
      </w:r>
      <w:r w:rsidR="00403261" w:rsidRPr="00493F61">
        <w:t>'</w:t>
      </w:r>
      <w:r w:rsidR="00BA7FDF" w:rsidRPr="00493F61">
        <w:t>avis qu</w:t>
      </w:r>
      <w:r w:rsidR="00403261" w:rsidRPr="00493F61">
        <w:t>'</w:t>
      </w:r>
      <w:r w:rsidR="00BA7FDF" w:rsidRPr="00493F61">
        <w:t xml:space="preserve">un éventuel relèvement au statut primaire de l'attribution de la bande de fréquences 3 600-3 800 MHz </w:t>
      </w:r>
      <w:r w:rsidR="00ED37BE" w:rsidRPr="00493F61">
        <w:t>au</w:t>
      </w:r>
      <w:r w:rsidR="00BA7FDF" w:rsidRPr="00493F61">
        <w:t xml:space="preserve"> service mobile, sauf mobile aéronautique, dans la Région 1, </w:t>
      </w:r>
      <w:r w:rsidR="00ED37BE" w:rsidRPr="00493F61">
        <w:t>doit</w:t>
      </w:r>
      <w:r w:rsidR="00BA7FDF" w:rsidRPr="00493F61">
        <w:t xml:space="preserve"> protéger les services existants ou en projet auxquels la bande </w:t>
      </w:r>
      <w:r w:rsidR="00ED37BE" w:rsidRPr="00493F61">
        <w:t xml:space="preserve">de fréquences </w:t>
      </w:r>
      <w:r w:rsidR="00BA7FDF" w:rsidRPr="00493F61">
        <w:t>est attribuée à titre primaire (</w:t>
      </w:r>
      <w:r w:rsidR="00ED37BE" w:rsidRPr="00493F61">
        <w:t xml:space="preserve">ainsi que </w:t>
      </w:r>
      <w:r w:rsidR="002C117A" w:rsidRPr="00493F61">
        <w:t xml:space="preserve">dans </w:t>
      </w:r>
      <w:r w:rsidR="00ED37BE" w:rsidRPr="00493F61">
        <w:t>l</w:t>
      </w:r>
      <w:r w:rsidR="00BA7FDF" w:rsidRPr="00493F61">
        <w:t>es bandes adjacentes, selon le cas) dans la Région 3, compte tenu des résultats des études de partage et de compatibilité</w:t>
      </w:r>
      <w:r w:rsidRPr="00493F61">
        <w:t>.</w:t>
      </w:r>
    </w:p>
    <w:p w14:paraId="048AE2D2" w14:textId="46055AD0" w:rsidR="00073A77" w:rsidRPr="00493F61" w:rsidRDefault="00073A77" w:rsidP="00073A77">
      <w:pPr>
        <w:pStyle w:val="enumlev1"/>
      </w:pPr>
      <w:r w:rsidRPr="00493F61">
        <w:t>–</w:t>
      </w:r>
      <w:r w:rsidRPr="00493F61">
        <w:tab/>
      </w:r>
      <w:r w:rsidR="00ED37BE" w:rsidRPr="00493F61">
        <w:t>Les Membres de l</w:t>
      </w:r>
      <w:r w:rsidR="00403261" w:rsidRPr="00493F61">
        <w:t>'</w:t>
      </w:r>
      <w:r w:rsidR="00ED37BE" w:rsidRPr="00493F61">
        <w:t>APT sont d</w:t>
      </w:r>
      <w:r w:rsidR="00403261" w:rsidRPr="00493F61">
        <w:t>'</w:t>
      </w:r>
      <w:r w:rsidR="00ED37BE" w:rsidRPr="00493F61">
        <w:t>avis que ce point de l</w:t>
      </w:r>
      <w:r w:rsidR="00403261" w:rsidRPr="00493F61">
        <w:t>'</w:t>
      </w:r>
      <w:r w:rsidR="00ED37BE" w:rsidRPr="00493F61">
        <w:t>ordre du jour concerne la Région 1 mais, étant donné que certaines administrations de la Région 3 sont voisines, ce</w:t>
      </w:r>
      <w:r w:rsidR="002C117A" w:rsidRPr="00493F61">
        <w:t xml:space="preserve"> poin</w:t>
      </w:r>
      <w:r w:rsidR="00ED37BE" w:rsidRPr="00493F61">
        <w:t>t</w:t>
      </w:r>
      <w:r w:rsidR="002C117A" w:rsidRPr="00493F61">
        <w:t xml:space="preserve"> de</w:t>
      </w:r>
      <w:r w:rsidR="00ED37BE" w:rsidRPr="00493F61">
        <w:t xml:space="preserve"> </w:t>
      </w:r>
      <w:r w:rsidR="002C117A" w:rsidRPr="00493F61">
        <w:t>l'</w:t>
      </w:r>
      <w:r w:rsidR="00ED37BE" w:rsidRPr="00493F61">
        <w:t>ordre du jour présente de l</w:t>
      </w:r>
      <w:r w:rsidR="00403261" w:rsidRPr="00493F61">
        <w:t>'</w:t>
      </w:r>
      <w:r w:rsidR="00ED37BE" w:rsidRPr="00493F61">
        <w:t xml:space="preserve">intérêt pour les </w:t>
      </w:r>
      <w:r w:rsidR="00D877A2" w:rsidRPr="00493F61">
        <w:t>M</w:t>
      </w:r>
      <w:r w:rsidR="00ED37BE" w:rsidRPr="00493F61">
        <w:t>embres de l</w:t>
      </w:r>
      <w:r w:rsidR="00403261" w:rsidRPr="00493F61">
        <w:t>'</w:t>
      </w:r>
      <w:r w:rsidR="00ED37BE" w:rsidRPr="00493F61">
        <w:t>APT.</w:t>
      </w:r>
    </w:p>
    <w:p w14:paraId="5F2C4949" w14:textId="4DC1EF1A" w:rsidR="00073A77" w:rsidRPr="00493F61" w:rsidRDefault="00073A77" w:rsidP="00073A77">
      <w:pPr>
        <w:pStyle w:val="enumlev1"/>
      </w:pPr>
      <w:r w:rsidRPr="00493F61">
        <w:t>–</w:t>
      </w:r>
      <w:r w:rsidRPr="00493F61">
        <w:tab/>
      </w:r>
      <w:r w:rsidR="00ED37BE" w:rsidRPr="00493F61">
        <w:t>Les Membres de l</w:t>
      </w:r>
      <w:r w:rsidR="00403261" w:rsidRPr="00493F61">
        <w:t>'</w:t>
      </w:r>
      <w:r w:rsidR="00ED37BE" w:rsidRPr="00493F61">
        <w:t>APT sont également d</w:t>
      </w:r>
      <w:r w:rsidR="00403261" w:rsidRPr="00493F61">
        <w:t>'</w:t>
      </w:r>
      <w:r w:rsidR="00ED37BE" w:rsidRPr="00493F61">
        <w:t>avis que ce relèvement ne doit pas avoir d'incidences négatives sur l</w:t>
      </w:r>
      <w:r w:rsidR="00403261" w:rsidRPr="00493F61">
        <w:t>'</w:t>
      </w:r>
      <w:r w:rsidR="00ED37BE" w:rsidRPr="00493F61">
        <w:t xml:space="preserve">attribution </w:t>
      </w:r>
      <w:r w:rsidR="002C117A" w:rsidRPr="00493F61">
        <w:t xml:space="preserve">aux </w:t>
      </w:r>
      <w:r w:rsidR="00ED37BE" w:rsidRPr="00493F61">
        <w:t xml:space="preserve">services existants et le développement futur </w:t>
      </w:r>
      <w:r w:rsidR="002C117A" w:rsidRPr="00493F61">
        <w:t xml:space="preserve">de ces services </w:t>
      </w:r>
      <w:r w:rsidR="00ED37BE" w:rsidRPr="00493F61">
        <w:t>dans la Région 3, en particulier les services par satellite du SFS.</w:t>
      </w:r>
    </w:p>
    <w:p w14:paraId="41045BCC" w14:textId="553C3B07" w:rsidR="00073A77" w:rsidRPr="00493F61" w:rsidRDefault="00073A77" w:rsidP="00073A77">
      <w:pPr>
        <w:pStyle w:val="enumlev1"/>
      </w:pPr>
      <w:r w:rsidRPr="00493F61">
        <w:t>–</w:t>
      </w:r>
      <w:r w:rsidRPr="00493F61">
        <w:tab/>
      </w:r>
      <w:r w:rsidR="00ED37BE" w:rsidRPr="00493F61">
        <w:t>Les Membres de l</w:t>
      </w:r>
      <w:r w:rsidR="00403261" w:rsidRPr="00493F61">
        <w:t>'</w:t>
      </w:r>
      <w:r w:rsidR="00ED37BE" w:rsidRPr="00493F61">
        <w:t>APT sont d</w:t>
      </w:r>
      <w:r w:rsidR="00403261" w:rsidRPr="00493F61">
        <w:t>'</w:t>
      </w:r>
      <w:r w:rsidR="00ED37BE" w:rsidRPr="00493F61">
        <w:t>avis que les discussions sur ce point de l</w:t>
      </w:r>
      <w:r w:rsidR="00403261" w:rsidRPr="00493F61">
        <w:t>'</w:t>
      </w:r>
      <w:r w:rsidR="00ED37BE" w:rsidRPr="00493F61">
        <w:t>ordre du jour ne doivent pas être confondues avec les discussions suivies ou menées au titre du point 1.2 de l</w:t>
      </w:r>
      <w:r w:rsidR="00403261" w:rsidRPr="00493F61">
        <w:t>'</w:t>
      </w:r>
      <w:r w:rsidR="00ED37BE" w:rsidRPr="00493F61">
        <w:t>ordre du jour de la CMR-23, c</w:t>
      </w:r>
      <w:r w:rsidR="00403261" w:rsidRPr="00493F61">
        <w:t>'</w:t>
      </w:r>
      <w:r w:rsidR="00ED37BE" w:rsidRPr="00493F61">
        <w:t xml:space="preserve">est-à-dire </w:t>
      </w:r>
      <w:r w:rsidR="002C117A" w:rsidRPr="00493F61">
        <w:t>qu'elles ne doivent pas port</w:t>
      </w:r>
      <w:r w:rsidR="00403261" w:rsidRPr="00493F61">
        <w:t>e</w:t>
      </w:r>
      <w:r w:rsidR="002C117A" w:rsidRPr="00493F61">
        <w:t>r sur l</w:t>
      </w:r>
      <w:r w:rsidR="003D7606" w:rsidRPr="00493F61">
        <w:t>'identification de</w:t>
      </w:r>
      <w:r w:rsidR="00ED37BE" w:rsidRPr="00493F61">
        <w:t xml:space="preserve"> la bande de fréquences 3 600-3 800 MHz pour les IMT, tout en reconnaissant </w:t>
      </w:r>
      <w:r w:rsidR="002C117A" w:rsidRPr="00493F61">
        <w:t xml:space="preserve">le fait </w:t>
      </w:r>
      <w:r w:rsidR="00ED37BE" w:rsidRPr="00493F61">
        <w:t>que l</w:t>
      </w:r>
      <w:r w:rsidR="00403261" w:rsidRPr="00493F61">
        <w:t>'</w:t>
      </w:r>
      <w:r w:rsidR="00ED37BE" w:rsidRPr="00493F61">
        <w:t>identification des IMT ne fait pas expressément partie du champ d</w:t>
      </w:r>
      <w:r w:rsidR="00403261" w:rsidRPr="00493F61">
        <w:t>'</w:t>
      </w:r>
      <w:r w:rsidR="00ED37BE" w:rsidRPr="00493F61">
        <w:t xml:space="preserve">application de la Résolution </w:t>
      </w:r>
      <w:r w:rsidR="00ED37BE" w:rsidRPr="00493F61">
        <w:rPr>
          <w:b/>
        </w:rPr>
        <w:t>246 (CMR-19)</w:t>
      </w:r>
      <w:r w:rsidR="00ED37BE" w:rsidRPr="00493F61">
        <w:t>.</w:t>
      </w:r>
    </w:p>
    <w:p w14:paraId="5F4278A0" w14:textId="023B1A95" w:rsidR="00073A77" w:rsidRPr="00493F61" w:rsidRDefault="003D7606" w:rsidP="005A7C75">
      <w:r w:rsidRPr="00493F61">
        <w:t>Nous appuyons les points de vue formulés ci-dessus par l'APT concernant le point 1.3 de l</w:t>
      </w:r>
      <w:r w:rsidR="00403261" w:rsidRPr="00493F61">
        <w:t>'</w:t>
      </w:r>
      <w:r w:rsidRPr="00493F61">
        <w:t>ordre du jour de la CMR-23. Bien que les Membres de l</w:t>
      </w:r>
      <w:r w:rsidR="00403261" w:rsidRPr="00493F61">
        <w:t>'</w:t>
      </w:r>
      <w:r w:rsidRPr="00493F61">
        <w:t>APT comprennent que le point 1.3 de l</w:t>
      </w:r>
      <w:r w:rsidR="00403261" w:rsidRPr="00493F61">
        <w:t>'</w:t>
      </w:r>
      <w:r w:rsidRPr="00493F61">
        <w:t>ordre du jour de la CMR-23 concerne la Région 1, nous estimons que la Méthode B et la Méthode D ne permettront pas de prendre en compte ces points de vue de l</w:t>
      </w:r>
      <w:r w:rsidR="00403261" w:rsidRPr="00493F61">
        <w:t>'</w:t>
      </w:r>
      <w:r w:rsidRPr="00493F61">
        <w:t>APT en ce qui concerne la protection des services existants et en projet et, par conséquent, nous ne sommes pas favorables à la Méthode</w:t>
      </w:r>
      <w:r w:rsidR="00493F61" w:rsidRPr="00493F61">
        <w:t> </w:t>
      </w:r>
      <w:r w:rsidRPr="00493F61">
        <w:t>B et à la Méthode D.</w:t>
      </w:r>
    </w:p>
    <w:p w14:paraId="5592AA0E" w14:textId="704C4207" w:rsidR="006277C7" w:rsidRPr="00493F61" w:rsidRDefault="003D7606" w:rsidP="0040326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textAlignment w:val="auto"/>
      </w:pPr>
      <w:r w:rsidRPr="00493F61">
        <w:t>En outre, les Membres de l</w:t>
      </w:r>
      <w:r w:rsidR="00403261" w:rsidRPr="00493F61">
        <w:t>'</w:t>
      </w:r>
      <w:r w:rsidRPr="00493F61">
        <w:t>APT sont d</w:t>
      </w:r>
      <w:r w:rsidR="00403261" w:rsidRPr="00493F61">
        <w:t>'</w:t>
      </w:r>
      <w:r w:rsidRPr="00493F61">
        <w:t xml:space="preserve">avis </w:t>
      </w:r>
      <w:r w:rsidR="006277C7" w:rsidRPr="00493F61">
        <w:t>que la</w:t>
      </w:r>
      <w:r w:rsidRPr="00493F61">
        <w:t xml:space="preserve"> bande de fréquences 3 600-3 800 MHz </w:t>
      </w:r>
      <w:r w:rsidR="006277C7" w:rsidRPr="00493F61">
        <w:t xml:space="preserve">ne doit pas être </w:t>
      </w:r>
      <w:r w:rsidRPr="00493F61">
        <w:t>identifiée pour les IMT au titre du point 1.3 de l</w:t>
      </w:r>
      <w:r w:rsidR="00403261" w:rsidRPr="00493F61">
        <w:t>'</w:t>
      </w:r>
      <w:r w:rsidRPr="00493F61">
        <w:t xml:space="preserve">ordre du jour de la CMR-23 et, par conséquent, </w:t>
      </w:r>
      <w:r w:rsidR="006277C7" w:rsidRPr="00493F61">
        <w:t xml:space="preserve">nous </w:t>
      </w:r>
      <w:r w:rsidRPr="00493F61">
        <w:t>n</w:t>
      </w:r>
      <w:r w:rsidR="00403261" w:rsidRPr="00493F61">
        <w:t>'</w:t>
      </w:r>
      <w:r w:rsidRPr="00493F61">
        <w:t>appu</w:t>
      </w:r>
      <w:r w:rsidR="006277C7" w:rsidRPr="00493F61">
        <w:t>yons</w:t>
      </w:r>
      <w:r w:rsidRPr="00493F61">
        <w:t xml:space="preserve"> pas la Méthode E.</w:t>
      </w:r>
    </w:p>
    <w:p w14:paraId="77785FA5" w14:textId="6FC0C0AA" w:rsidR="00AD7282" w:rsidRPr="00493F61" w:rsidRDefault="006277C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93F61">
        <w:t xml:space="preserve">Ce problème de coexistence est bien connu, et les administrations qui ont décidé de déployer des réseaux mobiles à grande échelle dans une bande de fréquences ont également décidé de </w:t>
      </w:r>
      <w:r w:rsidR="002C117A" w:rsidRPr="00493F61">
        <w:t xml:space="preserve">déplacer </w:t>
      </w:r>
      <w:r w:rsidRPr="00493F61">
        <w:t xml:space="preserve">les stations terriennes du SFS </w:t>
      </w:r>
      <w:r w:rsidR="002C117A" w:rsidRPr="00493F61">
        <w:t>pour attribuer l</w:t>
      </w:r>
      <w:r w:rsidRPr="00493F61">
        <w:t xml:space="preserve">es bandes de fréquences </w:t>
      </w:r>
      <w:r w:rsidR="002C117A" w:rsidRPr="00493F61">
        <w:t xml:space="preserve">qui leur étaient </w:t>
      </w:r>
      <w:r w:rsidRPr="00493F61">
        <w:t>assignées aux réseaux mobiles. Un exemple concret serait celui de certaines administrations de la région Asie</w:t>
      </w:r>
      <w:r w:rsidR="00493F61" w:rsidRPr="00493F61">
        <w:noBreakHyphen/>
      </w:r>
      <w:r w:rsidRPr="00493F61">
        <w:t>Pacifique qui ont attribué au service mobile certaines parties de la liaison descendante en bande C (par exemple jusqu</w:t>
      </w:r>
      <w:r w:rsidR="00403261" w:rsidRPr="00493F61">
        <w:t>'</w:t>
      </w:r>
      <w:r w:rsidRPr="00493F61">
        <w:t xml:space="preserve">à 3,6 GHz) et, en conséquence, tous les services du SFS doivent être transférés dans des bandes de fréquences </w:t>
      </w:r>
      <w:r w:rsidR="00AD7282" w:rsidRPr="00493F61">
        <w:t>au-dessus</w:t>
      </w:r>
      <w:r w:rsidRPr="00493F61">
        <w:t xml:space="preserve"> </w:t>
      </w:r>
      <w:r w:rsidR="00AD7282" w:rsidRPr="00493F61">
        <w:t xml:space="preserve">de </w:t>
      </w:r>
      <w:r w:rsidRPr="00493F61">
        <w:t xml:space="preserve">3,6 GHz. Bien que certaines études tentent de montrer que le </w:t>
      </w:r>
      <w:r w:rsidR="00AD7282" w:rsidRPr="00493F61">
        <w:t xml:space="preserve">partage des mêmes fréquences </w:t>
      </w:r>
      <w:r w:rsidRPr="00493F61">
        <w:t>est possible, la réali</w:t>
      </w:r>
      <w:r w:rsidR="00AD7282" w:rsidRPr="00493F61">
        <w:t xml:space="preserve">té et les faits sont différents, avec </w:t>
      </w:r>
      <w:r w:rsidRPr="00493F61">
        <w:t xml:space="preserve">des problèmes de brouillage </w:t>
      </w:r>
      <w:r w:rsidR="00AD7282" w:rsidRPr="00493F61">
        <w:t>qui se posent</w:t>
      </w:r>
      <w:r w:rsidRPr="00493F61">
        <w:t xml:space="preserve"> même dans la bande </w:t>
      </w:r>
      <w:r w:rsidR="002C117A" w:rsidRPr="00493F61">
        <w:t xml:space="preserve">de fréquences </w:t>
      </w:r>
      <w:r w:rsidRPr="00493F61">
        <w:t>adjacente.</w:t>
      </w:r>
    </w:p>
    <w:p w14:paraId="3B5D939D" w14:textId="60999B94" w:rsidR="00403261" w:rsidRPr="00493F61" w:rsidRDefault="00AD7282" w:rsidP="0040326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 w:rsidRPr="00493F61">
        <w:t>Compte tenu de ce qui précède, nous appuyons la Méthode A (aucune modification) pour traiter le point 1.3 de l</w:t>
      </w:r>
      <w:r w:rsidR="00403261" w:rsidRPr="00493F61">
        <w:t>'</w:t>
      </w:r>
      <w:r w:rsidRPr="00493F61">
        <w:t xml:space="preserve">ordre du jour de la CMR-23, </w:t>
      </w:r>
      <w:r w:rsidR="002C117A" w:rsidRPr="00493F61">
        <w:t>décrite dans</w:t>
      </w:r>
      <w:r w:rsidRPr="00493F61">
        <w:t xml:space="preserve"> l</w:t>
      </w:r>
      <w:r w:rsidR="00403261" w:rsidRPr="00493F61">
        <w:t>'</w:t>
      </w:r>
      <w:r w:rsidRPr="00493F61">
        <w:t>Annexe 1 ci-dessous.</w:t>
      </w:r>
    </w:p>
    <w:p w14:paraId="19F23544" w14:textId="5BA09AC0" w:rsidR="0015203F" w:rsidRPr="00493F61" w:rsidRDefault="0015203F" w:rsidP="0040326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 w:rsidRPr="00493F61">
        <w:br w:type="page"/>
      </w:r>
    </w:p>
    <w:p w14:paraId="7BF22F97" w14:textId="77777777" w:rsidR="00073A77" w:rsidRPr="00493F61" w:rsidRDefault="00073A77" w:rsidP="00073A77">
      <w:pPr>
        <w:pStyle w:val="AnnexNo"/>
      </w:pPr>
      <w:bookmarkStart w:id="9" w:name="_Toc455752914"/>
      <w:bookmarkStart w:id="10" w:name="_Toc455756153"/>
      <w:r w:rsidRPr="00493F61">
        <w:lastRenderedPageBreak/>
        <w:t>ANNEXE 1</w:t>
      </w:r>
    </w:p>
    <w:p w14:paraId="1518B569" w14:textId="77777777" w:rsidR="00073A77" w:rsidRPr="00493F61" w:rsidRDefault="00073A77" w:rsidP="00073A77">
      <w:pPr>
        <w:pStyle w:val="ArtNo"/>
      </w:pPr>
      <w:r w:rsidRPr="00493F61">
        <w:t xml:space="preserve">ARTICLE </w:t>
      </w:r>
      <w:r w:rsidRPr="00493F61">
        <w:rPr>
          <w:rStyle w:val="href"/>
        </w:rPr>
        <w:t>5</w:t>
      </w:r>
      <w:bookmarkEnd w:id="9"/>
      <w:bookmarkEnd w:id="10"/>
    </w:p>
    <w:p w14:paraId="6FF432DE" w14:textId="77777777" w:rsidR="00073A77" w:rsidRPr="00493F61" w:rsidRDefault="00073A77" w:rsidP="007F3F42">
      <w:pPr>
        <w:pStyle w:val="Arttitle"/>
      </w:pPr>
      <w:bookmarkStart w:id="11" w:name="_Toc455752915"/>
      <w:bookmarkStart w:id="12" w:name="_Toc455756154"/>
      <w:r w:rsidRPr="00493F61">
        <w:t>Attribution des bandes de fréquences</w:t>
      </w:r>
      <w:bookmarkEnd w:id="11"/>
      <w:bookmarkEnd w:id="12"/>
    </w:p>
    <w:p w14:paraId="0650518F" w14:textId="77777777" w:rsidR="00073A77" w:rsidRPr="00493F61" w:rsidRDefault="00073A77" w:rsidP="008D5FFA">
      <w:pPr>
        <w:pStyle w:val="Section1"/>
        <w:keepNext/>
        <w:rPr>
          <w:b w:val="0"/>
          <w:color w:val="000000"/>
        </w:rPr>
      </w:pPr>
      <w:r w:rsidRPr="00493F61">
        <w:t>Section IV – Tableau d'attribution des bandes de fréquences</w:t>
      </w:r>
      <w:r w:rsidRPr="00493F61">
        <w:br/>
      </w:r>
      <w:r w:rsidRPr="00493F61">
        <w:rPr>
          <w:b w:val="0"/>
          <w:bCs/>
        </w:rPr>
        <w:t xml:space="preserve">(Voir le numéro </w:t>
      </w:r>
      <w:r w:rsidRPr="00493F61">
        <w:t>2.1</w:t>
      </w:r>
      <w:r w:rsidRPr="00493F61">
        <w:rPr>
          <w:b w:val="0"/>
          <w:bCs/>
        </w:rPr>
        <w:t>)</w:t>
      </w:r>
      <w:r w:rsidRPr="00493F61">
        <w:rPr>
          <w:b w:val="0"/>
          <w:color w:val="000000"/>
        </w:rPr>
        <w:br/>
      </w:r>
    </w:p>
    <w:p w14:paraId="5255856F" w14:textId="77777777" w:rsidR="0023294F" w:rsidRPr="00493F61" w:rsidRDefault="00073A77">
      <w:pPr>
        <w:pStyle w:val="Proposal"/>
      </w:pPr>
      <w:r w:rsidRPr="00493F61">
        <w:rPr>
          <w:u w:val="single"/>
        </w:rPr>
        <w:t>NOC</w:t>
      </w:r>
      <w:r w:rsidRPr="00493F61">
        <w:tab/>
        <w:t>PNG/SMO/162/1</w:t>
      </w:r>
    </w:p>
    <w:p w14:paraId="35ECCCCA" w14:textId="77777777" w:rsidR="00073A77" w:rsidRPr="00493F61" w:rsidRDefault="00073A77" w:rsidP="00213F6B">
      <w:pPr>
        <w:pStyle w:val="Tabletitle"/>
        <w:spacing w:before="120"/>
      </w:pPr>
      <w:r w:rsidRPr="00493F61">
        <w:t>3 600-4 800 MHz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079"/>
        <w:gridCol w:w="3077"/>
        <w:gridCol w:w="3200"/>
      </w:tblGrid>
      <w:tr w:rsidR="008D5FFA" w:rsidRPr="00493F61" w14:paraId="3D2F9366" w14:textId="77777777" w:rsidTr="00213F6B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93693" w14:textId="77777777" w:rsidR="00073A77" w:rsidRPr="00493F61" w:rsidRDefault="00073A77" w:rsidP="00213F6B">
            <w:pPr>
              <w:pStyle w:val="Tablehead"/>
            </w:pPr>
            <w:r w:rsidRPr="00493F61">
              <w:t>Attribution aux services</w:t>
            </w:r>
          </w:p>
        </w:tc>
      </w:tr>
      <w:tr w:rsidR="008D5FFA" w:rsidRPr="00493F61" w14:paraId="7E0F70A5" w14:textId="77777777" w:rsidTr="00213F6B">
        <w:trPr>
          <w:cantSplit/>
          <w:jc w:val="center"/>
        </w:trPr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7C68" w14:textId="77777777" w:rsidR="00073A77" w:rsidRPr="00493F61" w:rsidRDefault="00073A77" w:rsidP="00213F6B">
            <w:pPr>
              <w:pStyle w:val="Tablehead"/>
            </w:pPr>
            <w:r w:rsidRPr="00493F61">
              <w:t>Région 1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7F24" w14:textId="77777777" w:rsidR="00073A77" w:rsidRPr="00493F61" w:rsidRDefault="00073A77" w:rsidP="00213F6B">
            <w:pPr>
              <w:pStyle w:val="Tablehead"/>
            </w:pPr>
            <w:r w:rsidRPr="00493F61">
              <w:t>Région 2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6E5A" w14:textId="77777777" w:rsidR="00073A77" w:rsidRPr="00493F61" w:rsidRDefault="00073A77" w:rsidP="00213F6B">
            <w:pPr>
              <w:pStyle w:val="Tablehead"/>
            </w:pPr>
            <w:r w:rsidRPr="00493F61">
              <w:t>Région 3</w:t>
            </w:r>
          </w:p>
        </w:tc>
      </w:tr>
      <w:tr w:rsidR="00213F6B" w:rsidRPr="00493F61" w14:paraId="5A654F06" w14:textId="77777777" w:rsidTr="00F63DE5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1771C" w14:textId="77777777" w:rsidR="00073A77" w:rsidRPr="00493F61" w:rsidRDefault="00073A77" w:rsidP="00213F6B">
            <w:pPr>
              <w:pStyle w:val="TableTextS5"/>
              <w:spacing w:before="10" w:after="10"/>
              <w:rPr>
                <w:color w:val="000000"/>
              </w:rPr>
            </w:pPr>
            <w:r w:rsidRPr="00493F61">
              <w:rPr>
                <w:rStyle w:val="Tablefreq"/>
              </w:rPr>
              <w:t>3 600-4 200</w:t>
            </w:r>
          </w:p>
          <w:p w14:paraId="032328BE" w14:textId="77777777" w:rsidR="00073A77" w:rsidRPr="00493F61" w:rsidRDefault="00073A77" w:rsidP="00213F6B">
            <w:pPr>
              <w:pStyle w:val="TableTextS5"/>
            </w:pPr>
            <w:r w:rsidRPr="00493F61">
              <w:t>FIXE</w:t>
            </w:r>
          </w:p>
          <w:p w14:paraId="76DEC402" w14:textId="77777777" w:rsidR="00073A77" w:rsidRPr="00493F61" w:rsidRDefault="00073A77" w:rsidP="00213F6B">
            <w:pPr>
              <w:pStyle w:val="TableTextS5"/>
            </w:pPr>
            <w:r w:rsidRPr="00493F61">
              <w:t>FIXE PAR SATELLITE</w:t>
            </w:r>
            <w:r w:rsidRPr="00493F61">
              <w:br/>
              <w:t>(espace vers Terre)</w:t>
            </w:r>
          </w:p>
          <w:p w14:paraId="5B126967" w14:textId="77777777" w:rsidR="00073A77" w:rsidRPr="00493F61" w:rsidRDefault="00073A77" w:rsidP="00213F6B">
            <w:pPr>
              <w:pStyle w:val="TableTextS5"/>
              <w:rPr>
                <w:rStyle w:val="Tablefreq"/>
                <w:color w:val="000000"/>
              </w:rPr>
            </w:pPr>
            <w:r w:rsidRPr="00493F61">
              <w:t>Mobile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627BBE" w14:textId="77777777" w:rsidR="00073A77" w:rsidRPr="00493F61" w:rsidRDefault="00073A77" w:rsidP="00213F6B">
            <w:pPr>
              <w:pStyle w:val="TableTextS5"/>
              <w:spacing w:before="10" w:after="10"/>
              <w:rPr>
                <w:color w:val="000000"/>
              </w:rPr>
            </w:pPr>
            <w:r w:rsidRPr="00493F61">
              <w:rPr>
                <w:rStyle w:val="Tablefreq"/>
              </w:rPr>
              <w:t>3 600-3 700</w:t>
            </w:r>
          </w:p>
          <w:p w14:paraId="1932145F" w14:textId="77777777" w:rsidR="00073A77" w:rsidRPr="00493F61" w:rsidRDefault="00073A77" w:rsidP="00213F6B">
            <w:pPr>
              <w:pStyle w:val="TableTextS5"/>
            </w:pPr>
            <w:r w:rsidRPr="00493F61">
              <w:t>FIXE</w:t>
            </w:r>
          </w:p>
          <w:p w14:paraId="31444D2A" w14:textId="77777777" w:rsidR="00073A77" w:rsidRPr="00493F61" w:rsidRDefault="00073A77" w:rsidP="00213F6B">
            <w:pPr>
              <w:pStyle w:val="TableTextS5"/>
            </w:pPr>
            <w:r w:rsidRPr="00493F61">
              <w:t xml:space="preserve">FIXE PAR SATELLITE </w:t>
            </w:r>
            <w:r w:rsidRPr="00493F61">
              <w:br/>
              <w:t>(espace vers Terre)</w:t>
            </w:r>
          </w:p>
          <w:p w14:paraId="24511721" w14:textId="77777777" w:rsidR="00073A77" w:rsidRPr="00493F61" w:rsidRDefault="00073A77" w:rsidP="00213F6B">
            <w:pPr>
              <w:pStyle w:val="TableTextS5"/>
            </w:pPr>
            <w:r w:rsidRPr="00493F61">
              <w:t xml:space="preserve">MOBILE sauf mobile </w:t>
            </w:r>
            <w:r w:rsidRPr="00493F61">
              <w:br/>
              <w:t xml:space="preserve">aéronautique  </w:t>
            </w:r>
            <w:r w:rsidRPr="00493F61">
              <w:rPr>
                <w:rStyle w:val="Artref"/>
              </w:rPr>
              <w:t>5.434</w:t>
            </w:r>
          </w:p>
          <w:p w14:paraId="55F122C8" w14:textId="77777777" w:rsidR="00073A77" w:rsidRPr="00493F61" w:rsidRDefault="00073A77" w:rsidP="00213F6B">
            <w:pPr>
              <w:pStyle w:val="TableTextS5"/>
              <w:rPr>
                <w:rStyle w:val="Tablefreq"/>
                <w:color w:val="000000"/>
              </w:rPr>
            </w:pPr>
            <w:r w:rsidRPr="00493F61">
              <w:t xml:space="preserve">Radiolocalisation  </w:t>
            </w:r>
            <w:r w:rsidRPr="00493F61">
              <w:rPr>
                <w:rStyle w:val="Artref"/>
              </w:rPr>
              <w:t>5.433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D02BAC" w14:textId="77777777" w:rsidR="00073A77" w:rsidRPr="00493F61" w:rsidRDefault="00073A77" w:rsidP="00213F6B">
            <w:pPr>
              <w:pStyle w:val="TableTextS5"/>
              <w:spacing w:before="10" w:after="10"/>
              <w:rPr>
                <w:color w:val="000000"/>
              </w:rPr>
            </w:pPr>
            <w:r w:rsidRPr="00493F61">
              <w:rPr>
                <w:rStyle w:val="Tablefreq"/>
              </w:rPr>
              <w:t>3 600-3 700</w:t>
            </w:r>
          </w:p>
          <w:p w14:paraId="3328373B" w14:textId="77777777" w:rsidR="00073A77" w:rsidRPr="00493F61" w:rsidRDefault="00073A77" w:rsidP="00213F6B">
            <w:pPr>
              <w:pStyle w:val="TableTextS5"/>
            </w:pPr>
            <w:r w:rsidRPr="00493F61">
              <w:t>FIXE</w:t>
            </w:r>
          </w:p>
          <w:p w14:paraId="28DBB2CB" w14:textId="77777777" w:rsidR="00073A77" w:rsidRPr="00493F61" w:rsidRDefault="00073A77" w:rsidP="00213F6B">
            <w:pPr>
              <w:pStyle w:val="TableTextS5"/>
            </w:pPr>
            <w:r w:rsidRPr="00493F61">
              <w:t xml:space="preserve">FIXE PAR SATELLITE </w:t>
            </w:r>
            <w:r w:rsidRPr="00493F61">
              <w:br/>
              <w:t>(espace vers Terre)</w:t>
            </w:r>
          </w:p>
          <w:p w14:paraId="0F66DFDA" w14:textId="77777777" w:rsidR="00073A77" w:rsidRPr="00493F61" w:rsidRDefault="00073A77" w:rsidP="00213F6B">
            <w:pPr>
              <w:pStyle w:val="TableTextS5"/>
            </w:pPr>
            <w:r w:rsidRPr="00493F61">
              <w:t>MOBILE sauf mobile aéronautique</w:t>
            </w:r>
          </w:p>
          <w:p w14:paraId="78A67A52" w14:textId="77777777" w:rsidR="00073A77" w:rsidRPr="00493F61" w:rsidRDefault="00073A77" w:rsidP="00213F6B">
            <w:pPr>
              <w:pStyle w:val="TableTextS5"/>
            </w:pPr>
            <w:r w:rsidRPr="00493F61">
              <w:t>Radiolocalisation</w:t>
            </w:r>
          </w:p>
          <w:p w14:paraId="25AF8A9C" w14:textId="77777777" w:rsidR="00073A77" w:rsidRPr="00493F61" w:rsidRDefault="00073A77" w:rsidP="00213F6B">
            <w:pPr>
              <w:pStyle w:val="TableTextS5"/>
              <w:rPr>
                <w:rStyle w:val="Artref"/>
              </w:rPr>
            </w:pPr>
            <w:r w:rsidRPr="00493F61">
              <w:rPr>
                <w:rStyle w:val="Artref"/>
              </w:rPr>
              <w:t>5.435</w:t>
            </w:r>
          </w:p>
        </w:tc>
      </w:tr>
      <w:tr w:rsidR="00213F6B" w:rsidRPr="00493F61" w14:paraId="47A7B570" w14:textId="77777777" w:rsidTr="00F63DE5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7689" w14:textId="77777777" w:rsidR="00073A77" w:rsidRPr="00493F61" w:rsidRDefault="00073A77" w:rsidP="00213F6B">
            <w:pPr>
              <w:pStyle w:val="TableTextS5"/>
              <w:spacing w:before="10" w:after="10"/>
              <w:rPr>
                <w:rStyle w:val="Tablefreq"/>
                <w:color w:val="000000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F17269" w14:textId="77777777" w:rsidR="00073A77" w:rsidRPr="00493F61" w:rsidRDefault="00073A77" w:rsidP="00213F6B">
            <w:pPr>
              <w:pStyle w:val="TableTextS5"/>
              <w:spacing w:before="10" w:after="10"/>
              <w:rPr>
                <w:color w:val="000000"/>
              </w:rPr>
            </w:pPr>
            <w:r w:rsidRPr="00493F61">
              <w:rPr>
                <w:rStyle w:val="Tablefreq"/>
              </w:rPr>
              <w:t>3 700-4 200</w:t>
            </w:r>
          </w:p>
          <w:p w14:paraId="5CBEFDBC" w14:textId="77777777" w:rsidR="00073A77" w:rsidRPr="00493F61" w:rsidRDefault="00073A77" w:rsidP="00213F6B">
            <w:pPr>
              <w:pStyle w:val="TableTextS5"/>
            </w:pPr>
            <w:r w:rsidRPr="00493F61">
              <w:t>FIXE</w:t>
            </w:r>
          </w:p>
          <w:p w14:paraId="2618FC1A" w14:textId="77777777" w:rsidR="00073A77" w:rsidRPr="00493F61" w:rsidRDefault="00073A77" w:rsidP="00213F6B">
            <w:pPr>
              <w:pStyle w:val="TableTextS5"/>
            </w:pPr>
            <w:r w:rsidRPr="00493F61">
              <w:t>FIXE PAR SATELLITE (espace vers Terre)</w:t>
            </w:r>
          </w:p>
          <w:p w14:paraId="278C2D04" w14:textId="77777777" w:rsidR="00073A77" w:rsidRPr="00493F61" w:rsidRDefault="00073A77" w:rsidP="00213F6B">
            <w:pPr>
              <w:pStyle w:val="TableTextS5"/>
              <w:rPr>
                <w:rStyle w:val="Tablefreq"/>
                <w:color w:val="000000"/>
              </w:rPr>
            </w:pPr>
            <w:r w:rsidRPr="00493F61">
              <w:t>MOBILE sauf mobile aéronautique</w:t>
            </w:r>
          </w:p>
        </w:tc>
      </w:tr>
      <w:tr w:rsidR="008D5FFA" w:rsidRPr="00493F61" w14:paraId="74C3AD75" w14:textId="77777777" w:rsidTr="00213F6B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14:paraId="07E8725E" w14:textId="77777777" w:rsidR="00073A77" w:rsidRPr="00493F61" w:rsidRDefault="00073A77" w:rsidP="00213F6B">
            <w:pPr>
              <w:pStyle w:val="TableTextS5"/>
            </w:pPr>
            <w:r w:rsidRPr="00493F61">
              <w:rPr>
                <w:rStyle w:val="Tablefreq"/>
              </w:rPr>
              <w:t>4 200-4 400</w:t>
            </w:r>
            <w:r w:rsidRPr="00493F61">
              <w:rPr>
                <w:color w:val="000000"/>
              </w:rPr>
              <w:tab/>
            </w:r>
            <w:r w:rsidRPr="00493F61">
              <w:t xml:space="preserve">MOBILE AÉRONAUTIQUE (R)  </w:t>
            </w:r>
            <w:r w:rsidRPr="00493F61">
              <w:rPr>
                <w:rStyle w:val="Artref"/>
              </w:rPr>
              <w:t>5.436</w:t>
            </w:r>
          </w:p>
          <w:p w14:paraId="7B782A1B" w14:textId="77777777" w:rsidR="00073A77" w:rsidRPr="00493F61" w:rsidRDefault="00073A77" w:rsidP="00213F6B">
            <w:pPr>
              <w:pStyle w:val="TableTextS5"/>
            </w:pPr>
            <w:r w:rsidRPr="00493F61">
              <w:tab/>
            </w:r>
            <w:r w:rsidRPr="00493F61">
              <w:tab/>
            </w:r>
            <w:r w:rsidRPr="00493F61">
              <w:tab/>
            </w:r>
            <w:r w:rsidRPr="00493F61">
              <w:tab/>
              <w:t xml:space="preserve">RADIONAVIGATION AÉRONAUTIQUE  </w:t>
            </w:r>
            <w:r w:rsidRPr="00493F61">
              <w:rPr>
                <w:rStyle w:val="Artref"/>
              </w:rPr>
              <w:t>5.438</w:t>
            </w:r>
          </w:p>
          <w:p w14:paraId="4BF44339" w14:textId="55603575" w:rsidR="00073A77" w:rsidRPr="00493F61" w:rsidRDefault="00073A77" w:rsidP="00213F6B">
            <w:pPr>
              <w:pStyle w:val="TableTextS5"/>
              <w:rPr>
                <w:rStyle w:val="Artref"/>
              </w:rPr>
            </w:pPr>
            <w:r w:rsidRPr="00493F61">
              <w:tab/>
            </w:r>
            <w:r w:rsidRPr="00493F61">
              <w:tab/>
            </w:r>
            <w:r w:rsidRPr="00493F61">
              <w:tab/>
            </w:r>
            <w:r w:rsidRPr="00493F61">
              <w:tab/>
            </w:r>
            <w:r w:rsidRPr="00493F61">
              <w:rPr>
                <w:rStyle w:val="Artref"/>
              </w:rPr>
              <w:t>5.437  5.439  5.440</w:t>
            </w:r>
          </w:p>
        </w:tc>
      </w:tr>
      <w:tr w:rsidR="008D5FFA" w:rsidRPr="00493F61" w14:paraId="40E41EF5" w14:textId="77777777" w:rsidTr="00213F6B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14:paraId="11E253D9" w14:textId="77777777" w:rsidR="00073A77" w:rsidRPr="00493F61" w:rsidRDefault="00073A77" w:rsidP="00213F6B">
            <w:pPr>
              <w:pStyle w:val="TableTextS5"/>
            </w:pPr>
            <w:r w:rsidRPr="00493F61">
              <w:rPr>
                <w:rStyle w:val="Tablefreq"/>
              </w:rPr>
              <w:t>4 400-4 500</w:t>
            </w:r>
            <w:r w:rsidRPr="00493F61">
              <w:rPr>
                <w:rStyle w:val="Tablefreq"/>
              </w:rPr>
              <w:tab/>
            </w:r>
            <w:r w:rsidRPr="00493F61">
              <w:t>FIXE</w:t>
            </w:r>
          </w:p>
          <w:p w14:paraId="32B76681" w14:textId="77777777" w:rsidR="00073A77" w:rsidRPr="00493F61" w:rsidRDefault="00073A77" w:rsidP="00213F6B">
            <w:pPr>
              <w:pStyle w:val="TableTextS5"/>
              <w:rPr>
                <w:rStyle w:val="Tablefreq"/>
                <w:b w:val="0"/>
                <w:bCs/>
              </w:rPr>
            </w:pPr>
            <w:r w:rsidRPr="00493F61">
              <w:tab/>
            </w:r>
            <w:r w:rsidRPr="00493F61">
              <w:tab/>
            </w:r>
            <w:r w:rsidRPr="00493F61">
              <w:tab/>
            </w:r>
            <w:r w:rsidRPr="00493F61">
              <w:tab/>
              <w:t xml:space="preserve">MOBILE  </w:t>
            </w:r>
            <w:r w:rsidRPr="00493F61">
              <w:rPr>
                <w:rStyle w:val="Artref"/>
              </w:rPr>
              <w:t>5.440A</w:t>
            </w:r>
          </w:p>
        </w:tc>
      </w:tr>
      <w:tr w:rsidR="008D5FFA" w:rsidRPr="00493F61" w14:paraId="78284C28" w14:textId="77777777" w:rsidTr="00213F6B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14:paraId="0A846A69" w14:textId="77777777" w:rsidR="00073A77" w:rsidRPr="00493F61" w:rsidRDefault="00073A77" w:rsidP="00213F6B">
            <w:pPr>
              <w:pStyle w:val="TableTextS5"/>
            </w:pPr>
            <w:r w:rsidRPr="00493F61">
              <w:rPr>
                <w:rStyle w:val="Tablefreq"/>
              </w:rPr>
              <w:t>4 500-4 800</w:t>
            </w:r>
            <w:r w:rsidRPr="00493F61">
              <w:rPr>
                <w:rStyle w:val="Tablefreq"/>
              </w:rPr>
              <w:tab/>
            </w:r>
            <w:r w:rsidRPr="00493F61">
              <w:t>FIXE</w:t>
            </w:r>
          </w:p>
          <w:p w14:paraId="14F2E39D" w14:textId="77777777" w:rsidR="00073A77" w:rsidRPr="00493F61" w:rsidRDefault="00073A77" w:rsidP="00213F6B">
            <w:pPr>
              <w:pStyle w:val="TableTextS5"/>
            </w:pPr>
            <w:r w:rsidRPr="00493F61">
              <w:tab/>
            </w:r>
            <w:r w:rsidRPr="00493F61">
              <w:tab/>
            </w:r>
            <w:r w:rsidRPr="00493F61">
              <w:tab/>
            </w:r>
            <w:r w:rsidRPr="00493F61">
              <w:tab/>
              <w:t xml:space="preserve">FIXE PAR SATELLITE (espace vers Terre)  </w:t>
            </w:r>
            <w:r w:rsidRPr="00493F61">
              <w:rPr>
                <w:rStyle w:val="Artref"/>
              </w:rPr>
              <w:t>5.441</w:t>
            </w:r>
          </w:p>
          <w:p w14:paraId="4512AA9E" w14:textId="77777777" w:rsidR="00073A77" w:rsidRPr="00493F61" w:rsidRDefault="00073A77" w:rsidP="00213F6B">
            <w:pPr>
              <w:pStyle w:val="TableTextS5"/>
              <w:rPr>
                <w:rStyle w:val="Tablefreq"/>
                <w:b w:val="0"/>
                <w:bCs/>
              </w:rPr>
            </w:pPr>
            <w:r w:rsidRPr="00493F61">
              <w:tab/>
            </w:r>
            <w:r w:rsidRPr="00493F61">
              <w:tab/>
            </w:r>
            <w:r w:rsidRPr="00493F61">
              <w:tab/>
            </w:r>
            <w:r w:rsidRPr="00493F61">
              <w:tab/>
              <w:t xml:space="preserve">MOBILE  </w:t>
            </w:r>
            <w:r w:rsidRPr="00493F61">
              <w:rPr>
                <w:rStyle w:val="Artref"/>
              </w:rPr>
              <w:t>5.440A</w:t>
            </w:r>
          </w:p>
        </w:tc>
      </w:tr>
    </w:tbl>
    <w:p w14:paraId="3CFE95CA" w14:textId="77777777" w:rsidR="0023294F" w:rsidRPr="00493F61" w:rsidRDefault="0023294F">
      <w:pPr>
        <w:pStyle w:val="Reasons"/>
      </w:pPr>
    </w:p>
    <w:p w14:paraId="0DC53895" w14:textId="77777777" w:rsidR="0023294F" w:rsidRPr="00493F61" w:rsidRDefault="00073A77">
      <w:pPr>
        <w:pStyle w:val="Proposal"/>
      </w:pPr>
      <w:r w:rsidRPr="00493F61">
        <w:t>SUP</w:t>
      </w:r>
      <w:r w:rsidRPr="00493F61">
        <w:tab/>
        <w:t>PNG/SMO/162/2</w:t>
      </w:r>
      <w:r w:rsidRPr="00493F61">
        <w:rPr>
          <w:vanish/>
          <w:color w:val="7F7F7F" w:themeColor="text1" w:themeTint="80"/>
          <w:vertAlign w:val="superscript"/>
        </w:rPr>
        <w:t>#1407</w:t>
      </w:r>
    </w:p>
    <w:p w14:paraId="62186991" w14:textId="77777777" w:rsidR="00073A77" w:rsidRPr="00493F61" w:rsidRDefault="00073A77" w:rsidP="00E010F4">
      <w:pPr>
        <w:pStyle w:val="ResNo"/>
      </w:pPr>
      <w:bookmarkStart w:id="13" w:name="Res_246"/>
      <w:bookmarkStart w:id="14" w:name="_Toc35933813"/>
      <w:bookmarkStart w:id="15" w:name="_Toc39829229"/>
      <w:bookmarkStart w:id="16" w:name="_Toc93557559"/>
      <w:r w:rsidRPr="00493F61">
        <w:t xml:space="preserve">RÉSOLUTION 246 </w:t>
      </w:r>
      <w:bookmarkEnd w:id="13"/>
      <w:r w:rsidRPr="00493F61">
        <w:t>(CMR</w:t>
      </w:r>
      <w:r w:rsidRPr="00493F61">
        <w:noBreakHyphen/>
        <w:t>19)</w:t>
      </w:r>
      <w:bookmarkEnd w:id="14"/>
      <w:bookmarkEnd w:id="15"/>
      <w:bookmarkEnd w:id="16"/>
    </w:p>
    <w:p w14:paraId="5D96DDC7" w14:textId="77777777" w:rsidR="00073A77" w:rsidRPr="00493F61" w:rsidRDefault="00073A77" w:rsidP="00E010F4">
      <w:pPr>
        <w:pStyle w:val="Restitle"/>
        <w:rPr>
          <w:lang w:eastAsia="nl-NL"/>
        </w:rPr>
      </w:pPr>
      <w:r w:rsidRPr="00493F61">
        <w:rPr>
          <w:lang w:eastAsia="nl-NL"/>
        </w:rPr>
        <w:t xml:space="preserve">Études visant à examiner la possibilité d'attribuer la bande de fréquences </w:t>
      </w:r>
      <w:r w:rsidRPr="00493F61">
        <w:rPr>
          <w:lang w:eastAsia="nl-NL"/>
        </w:rPr>
        <w:br/>
        <w:t xml:space="preserve">3 600-3 800 MHz au service mobile, sauf mobile aéronautique, </w:t>
      </w:r>
      <w:r w:rsidRPr="00493F61">
        <w:rPr>
          <w:lang w:eastAsia="nl-NL"/>
        </w:rPr>
        <w:br/>
        <w:t>à titre primaire dans la Région 1</w:t>
      </w:r>
    </w:p>
    <w:p w14:paraId="7FC71007" w14:textId="77777777" w:rsidR="00073A77" w:rsidRPr="00493F61" w:rsidRDefault="00073A77" w:rsidP="00411C49">
      <w:pPr>
        <w:pStyle w:val="Reasons"/>
      </w:pPr>
    </w:p>
    <w:p w14:paraId="12BEDC99" w14:textId="77777777" w:rsidR="00073A77" w:rsidRPr="00493F61" w:rsidRDefault="00073A77">
      <w:pPr>
        <w:jc w:val="center"/>
      </w:pPr>
      <w:r w:rsidRPr="00493F61">
        <w:t>______________</w:t>
      </w:r>
    </w:p>
    <w:sectPr w:rsidR="00073A77" w:rsidRPr="00493F61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BD2CA" w14:textId="77777777" w:rsidR="00CB685A" w:rsidRDefault="00CB685A">
      <w:r>
        <w:separator/>
      </w:r>
    </w:p>
  </w:endnote>
  <w:endnote w:type="continuationSeparator" w:id="0">
    <w:p w14:paraId="75ED2E53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A351" w14:textId="37FD6C74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93F61">
      <w:rPr>
        <w:noProof/>
        <w:lang w:val="en-US"/>
      </w:rPr>
      <w:t>P:\FRA\ITU-R\CONF-R\CMR23\100\162F.docx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93F61">
      <w:rPr>
        <w:noProof/>
      </w:rPr>
      <w:t>17.11.23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93F61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7561" w14:textId="127DC2B0" w:rsidR="00073A77" w:rsidRDefault="00073A77" w:rsidP="00073A77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93F61">
      <w:rPr>
        <w:lang w:val="en-US"/>
      </w:rPr>
      <w:t>P:\FRA\ITU-R\CONF-R\CMR23\100\162F.docx</w:t>
    </w:r>
    <w:r>
      <w:fldChar w:fldCharType="end"/>
    </w:r>
    <w:r w:rsidRPr="00493F61">
      <w:rPr>
        <w:lang w:val="en-US"/>
      </w:rPr>
      <w:t xml:space="preserve"> (530445)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C926" w14:textId="639E8492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93F61">
      <w:rPr>
        <w:lang w:val="en-US"/>
      </w:rPr>
      <w:t>P:\FRA\ITU-R\CONF-R\CMR23\100\162F.docx</w:t>
    </w:r>
    <w:r>
      <w:fldChar w:fldCharType="end"/>
    </w:r>
    <w:r w:rsidR="00073A77" w:rsidRPr="00493F61">
      <w:rPr>
        <w:lang w:val="en-US"/>
      </w:rPr>
      <w:t xml:space="preserve"> (530445)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E762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252CA062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6938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877A2">
      <w:rPr>
        <w:noProof/>
      </w:rPr>
      <w:t>3</w:t>
    </w:r>
    <w:r>
      <w:fldChar w:fldCharType="end"/>
    </w:r>
  </w:p>
  <w:p w14:paraId="67C3546B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162-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44690848">
    <w:abstractNumId w:val="0"/>
  </w:num>
  <w:num w:numId="2" w16cid:durableId="169260448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.">
    <w15:presenceInfo w15:providerId="None" w15:userId="French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73A77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09C2"/>
    <w:rsid w:val="001A11F6"/>
    <w:rsid w:val="001F17E8"/>
    <w:rsid w:val="00204306"/>
    <w:rsid w:val="00211996"/>
    <w:rsid w:val="00225CF2"/>
    <w:rsid w:val="0023294F"/>
    <w:rsid w:val="00232FD2"/>
    <w:rsid w:val="0026554E"/>
    <w:rsid w:val="002A4622"/>
    <w:rsid w:val="002A6F8F"/>
    <w:rsid w:val="002B178B"/>
    <w:rsid w:val="002B17E5"/>
    <w:rsid w:val="002C0EBF"/>
    <w:rsid w:val="002C117A"/>
    <w:rsid w:val="002C28A4"/>
    <w:rsid w:val="002D7E0A"/>
    <w:rsid w:val="00315AFE"/>
    <w:rsid w:val="003411F6"/>
    <w:rsid w:val="003606A6"/>
    <w:rsid w:val="0036650C"/>
    <w:rsid w:val="00393ACD"/>
    <w:rsid w:val="003A583E"/>
    <w:rsid w:val="003D7606"/>
    <w:rsid w:val="003E112B"/>
    <w:rsid w:val="003E1D1C"/>
    <w:rsid w:val="003E7B05"/>
    <w:rsid w:val="003F3719"/>
    <w:rsid w:val="003F6F2D"/>
    <w:rsid w:val="00403261"/>
    <w:rsid w:val="00466211"/>
    <w:rsid w:val="00483196"/>
    <w:rsid w:val="004834A9"/>
    <w:rsid w:val="00493F61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25F1A"/>
    <w:rsid w:val="006277C7"/>
    <w:rsid w:val="00637ECF"/>
    <w:rsid w:val="00647B59"/>
    <w:rsid w:val="00685D85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10A3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675C4"/>
    <w:rsid w:val="00A83B09"/>
    <w:rsid w:val="00A84541"/>
    <w:rsid w:val="00AD7282"/>
    <w:rsid w:val="00AE36A0"/>
    <w:rsid w:val="00B00294"/>
    <w:rsid w:val="00B315C1"/>
    <w:rsid w:val="00B3749C"/>
    <w:rsid w:val="00B64FD0"/>
    <w:rsid w:val="00BA5BD0"/>
    <w:rsid w:val="00BA7FDF"/>
    <w:rsid w:val="00BB1D82"/>
    <w:rsid w:val="00BC217E"/>
    <w:rsid w:val="00BD51C5"/>
    <w:rsid w:val="00BF26E7"/>
    <w:rsid w:val="00C1305F"/>
    <w:rsid w:val="00C21013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877A2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37BE"/>
    <w:rsid w:val="00ED6B8D"/>
    <w:rsid w:val="00EE3D7B"/>
    <w:rsid w:val="00EF662E"/>
    <w:rsid w:val="00F10064"/>
    <w:rsid w:val="00F148F1"/>
    <w:rsid w:val="00F711A7"/>
    <w:rsid w:val="00F9324F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61D9DCB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C117A"/>
    <w:rPr>
      <w:rFonts w:ascii="Times New Roman" w:hAnsi="Times New Roman"/>
      <w:sz w:val="24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8C10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R23-WRC23-C-0162!!MSW-F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4E785E-B6AC-408B-81DD-6149081E7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5C63CB-5DB5-4C59-987A-21B03453AB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94CB594-FDAD-4148-A0DC-D98543677E8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1012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R23-WRC23-C-0162!!MSW-F</vt:lpstr>
    </vt:vector>
  </TitlesOfParts>
  <Manager>Secrétariat général - Pool</Manager>
  <Company>Union internationale des télécommunications (UIT)</Company>
  <LinksUpToDate>false</LinksUpToDate>
  <CharactersWithSpaces>6349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R23-WRC23-C-0162!!MSW-F</dc:title>
  <dc:subject>Conférence mondiale des radiocommunications - 2019</dc:subject>
  <dc:creator>Documents Proposals Manager (DPM)</dc:creator>
  <cp:keywords>DPM_v2023.11.6.1_prod</cp:keywords>
  <dc:description/>
  <cp:lastModifiedBy>French</cp:lastModifiedBy>
  <cp:revision>4</cp:revision>
  <cp:lastPrinted>2003-06-05T19:34:00Z</cp:lastPrinted>
  <dcterms:created xsi:type="dcterms:W3CDTF">2023-11-17T18:46:00Z</dcterms:created>
  <dcterms:modified xsi:type="dcterms:W3CDTF">2023-11-18T13:29:00Z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