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0D1EE4" w14:paraId="55BB0E2A" w14:textId="77777777" w:rsidTr="00752552">
        <w:trPr>
          <w:cantSplit/>
          <w:trHeight w:val="20"/>
        </w:trPr>
        <w:tc>
          <w:tcPr>
            <w:tcW w:w="1589" w:type="dxa"/>
            <w:vAlign w:val="center"/>
          </w:tcPr>
          <w:p w14:paraId="0FDC0339"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5FF64F75" wp14:editId="075321EF">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06746140"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39C388ED"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1D68BA2D" w14:textId="77777777" w:rsidR="00752552" w:rsidRPr="000D1EE4" w:rsidRDefault="00752552" w:rsidP="00752552">
            <w:pPr>
              <w:jc w:val="right"/>
              <w:rPr>
                <w:rtl/>
                <w:lang w:bidi="ar-EG"/>
              </w:rPr>
            </w:pPr>
            <w:bookmarkStart w:id="0" w:name="ditulogo"/>
            <w:bookmarkEnd w:id="0"/>
            <w:r>
              <w:rPr>
                <w:noProof/>
              </w:rPr>
              <w:drawing>
                <wp:inline distT="0" distB="0" distL="0" distR="0" wp14:anchorId="1B498CEB" wp14:editId="6FAFC499">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6FDD62B3" w14:textId="77777777" w:rsidTr="00752552">
        <w:trPr>
          <w:cantSplit/>
          <w:trHeight w:val="20"/>
        </w:trPr>
        <w:tc>
          <w:tcPr>
            <w:tcW w:w="6696" w:type="dxa"/>
            <w:gridSpan w:val="2"/>
            <w:tcBorders>
              <w:bottom w:val="single" w:sz="12" w:space="0" w:color="auto"/>
            </w:tcBorders>
          </w:tcPr>
          <w:p w14:paraId="041B357B" w14:textId="77777777" w:rsidR="000D1EE4" w:rsidRPr="000D1EE4" w:rsidRDefault="000D1EE4" w:rsidP="000D1EE4">
            <w:pPr>
              <w:rPr>
                <w:rtl/>
                <w:lang w:bidi="ar-EG"/>
              </w:rPr>
            </w:pPr>
          </w:p>
        </w:tc>
        <w:tc>
          <w:tcPr>
            <w:tcW w:w="2970" w:type="dxa"/>
            <w:gridSpan w:val="2"/>
            <w:tcBorders>
              <w:bottom w:val="single" w:sz="12" w:space="0" w:color="auto"/>
            </w:tcBorders>
          </w:tcPr>
          <w:p w14:paraId="22DF6975" w14:textId="77777777" w:rsidR="000D1EE4" w:rsidRPr="000D1EE4" w:rsidRDefault="000D1EE4" w:rsidP="000D1EE4">
            <w:pPr>
              <w:rPr>
                <w:lang w:val="en-GB" w:bidi="ar-EG"/>
              </w:rPr>
            </w:pPr>
          </w:p>
        </w:tc>
      </w:tr>
      <w:tr w:rsidR="000D1EE4" w:rsidRPr="000D1EE4" w14:paraId="78034D09" w14:textId="77777777" w:rsidTr="00752552">
        <w:trPr>
          <w:cantSplit/>
          <w:trHeight w:val="20"/>
        </w:trPr>
        <w:tc>
          <w:tcPr>
            <w:tcW w:w="6696" w:type="dxa"/>
            <w:gridSpan w:val="2"/>
            <w:tcBorders>
              <w:top w:val="single" w:sz="12" w:space="0" w:color="auto"/>
            </w:tcBorders>
          </w:tcPr>
          <w:p w14:paraId="1B206BE2" w14:textId="77777777" w:rsidR="000D1EE4" w:rsidRPr="000D1EE4" w:rsidRDefault="000D1EE4" w:rsidP="000D1EE4">
            <w:pPr>
              <w:rPr>
                <w:b/>
                <w:bCs/>
                <w:rtl/>
                <w:lang w:bidi="ar-EG"/>
              </w:rPr>
            </w:pPr>
          </w:p>
        </w:tc>
        <w:tc>
          <w:tcPr>
            <w:tcW w:w="2970" w:type="dxa"/>
            <w:gridSpan w:val="2"/>
            <w:tcBorders>
              <w:top w:val="single" w:sz="12" w:space="0" w:color="auto"/>
            </w:tcBorders>
          </w:tcPr>
          <w:p w14:paraId="45D78482" w14:textId="77777777" w:rsidR="000D1EE4" w:rsidRPr="000D1EE4" w:rsidRDefault="000D1EE4" w:rsidP="000D1EE4">
            <w:pPr>
              <w:rPr>
                <w:b/>
                <w:bCs/>
                <w:lang w:bidi="ar-EG"/>
              </w:rPr>
            </w:pPr>
          </w:p>
        </w:tc>
      </w:tr>
      <w:tr w:rsidR="000D1EE4" w:rsidRPr="000D1EE4" w14:paraId="73256B8C" w14:textId="77777777" w:rsidTr="00752552">
        <w:trPr>
          <w:cantSplit/>
        </w:trPr>
        <w:tc>
          <w:tcPr>
            <w:tcW w:w="6696" w:type="dxa"/>
            <w:gridSpan w:val="2"/>
          </w:tcPr>
          <w:p w14:paraId="31AF3BFF" w14:textId="77777777" w:rsidR="000D1EE4" w:rsidRPr="0029024A" w:rsidRDefault="00E50850" w:rsidP="000D1EE4">
            <w:pPr>
              <w:spacing w:before="60" w:after="60" w:line="260" w:lineRule="exact"/>
              <w:rPr>
                <w:b/>
                <w:bCs/>
                <w:rtl/>
                <w:lang w:bidi="ar-EG"/>
              </w:rPr>
            </w:pPr>
            <w:r w:rsidRPr="0029024A">
              <w:rPr>
                <w:b/>
                <w:bCs/>
                <w:rtl/>
                <w:lang w:bidi="ar-EG"/>
              </w:rPr>
              <w:t>الجلسة العامة</w:t>
            </w:r>
          </w:p>
        </w:tc>
        <w:tc>
          <w:tcPr>
            <w:tcW w:w="2970" w:type="dxa"/>
            <w:gridSpan w:val="2"/>
          </w:tcPr>
          <w:p w14:paraId="2A9D6481" w14:textId="02BEF4CC" w:rsidR="000D1EE4" w:rsidRPr="0029024A" w:rsidRDefault="008B544A" w:rsidP="008B544A">
            <w:pPr>
              <w:spacing w:before="60" w:after="60" w:line="260" w:lineRule="exact"/>
              <w:jc w:val="left"/>
              <w:rPr>
                <w:b/>
                <w:bCs/>
                <w:rtl/>
                <w:lang w:bidi="ar-EG"/>
              </w:rPr>
            </w:pPr>
            <w:r>
              <w:rPr>
                <w:rFonts w:eastAsia="SimSun" w:hint="cs"/>
                <w:b/>
                <w:bCs/>
                <w:rtl/>
                <w:lang w:bidi="ar-EG"/>
              </w:rPr>
              <w:t xml:space="preserve">المراجعة 1 </w:t>
            </w:r>
            <w:r>
              <w:rPr>
                <w:rFonts w:eastAsia="SimSun"/>
                <w:b/>
                <w:bCs/>
                <w:rtl/>
                <w:lang w:bidi="ar-EG"/>
              </w:rPr>
              <w:br/>
            </w:r>
            <w:r>
              <w:rPr>
                <w:rFonts w:eastAsia="SimSun" w:hint="cs"/>
                <w:b/>
                <w:bCs/>
                <w:rtl/>
                <w:lang w:bidi="ar-EG"/>
              </w:rPr>
              <w:t>ل</w:t>
            </w:r>
            <w:r w:rsidR="00E50850" w:rsidRPr="0029024A">
              <w:rPr>
                <w:rFonts w:eastAsia="SimSun"/>
                <w:b/>
                <w:bCs/>
                <w:rtl/>
                <w:lang w:bidi="ar-EG"/>
              </w:rPr>
              <w:t xml:space="preserve">لوثيقة </w:t>
            </w:r>
            <w:r w:rsidR="00E50850" w:rsidRPr="0029024A">
              <w:rPr>
                <w:rFonts w:eastAsia="SimSun"/>
                <w:b/>
                <w:bCs/>
              </w:rPr>
              <w:t>164-A</w:t>
            </w:r>
          </w:p>
        </w:tc>
      </w:tr>
      <w:tr w:rsidR="000D1EE4" w:rsidRPr="000D1EE4" w14:paraId="13477A69" w14:textId="77777777" w:rsidTr="00752552">
        <w:trPr>
          <w:cantSplit/>
        </w:trPr>
        <w:tc>
          <w:tcPr>
            <w:tcW w:w="6696" w:type="dxa"/>
            <w:gridSpan w:val="2"/>
          </w:tcPr>
          <w:p w14:paraId="7D9BCD05" w14:textId="77777777" w:rsidR="000D1EE4" w:rsidRPr="0029024A" w:rsidRDefault="000D1EE4" w:rsidP="000D1EE4">
            <w:pPr>
              <w:spacing w:before="60" w:after="60" w:line="260" w:lineRule="exact"/>
              <w:rPr>
                <w:b/>
                <w:bCs/>
                <w:rtl/>
                <w:lang w:bidi="ar-EG"/>
              </w:rPr>
            </w:pPr>
          </w:p>
        </w:tc>
        <w:tc>
          <w:tcPr>
            <w:tcW w:w="2970" w:type="dxa"/>
            <w:gridSpan w:val="2"/>
          </w:tcPr>
          <w:p w14:paraId="5D15400F" w14:textId="6C33F94A" w:rsidR="000D1EE4" w:rsidRPr="0029024A" w:rsidRDefault="008B544A" w:rsidP="000D1EE4">
            <w:pPr>
              <w:spacing w:before="60" w:after="60" w:line="260" w:lineRule="exact"/>
              <w:rPr>
                <w:b/>
                <w:bCs/>
                <w:rtl/>
                <w:lang w:bidi="ar-EG"/>
              </w:rPr>
            </w:pPr>
            <w:r>
              <w:rPr>
                <w:rFonts w:eastAsia="SimSun" w:hint="cs"/>
                <w:b/>
                <w:bCs/>
                <w:rtl/>
              </w:rPr>
              <w:t>15</w:t>
            </w:r>
            <w:r w:rsidR="00E50850" w:rsidRPr="0029024A">
              <w:rPr>
                <w:rFonts w:eastAsia="SimSun"/>
                <w:b/>
                <w:bCs/>
                <w:rtl/>
              </w:rPr>
              <w:t xml:space="preserve"> </w:t>
            </w:r>
            <w:r>
              <w:rPr>
                <w:rFonts w:eastAsia="SimSun" w:hint="cs"/>
                <w:b/>
                <w:bCs/>
                <w:rtl/>
              </w:rPr>
              <w:t>نوفم</w:t>
            </w:r>
            <w:r w:rsidR="00E50850" w:rsidRPr="0029024A">
              <w:rPr>
                <w:rFonts w:eastAsia="SimSun"/>
                <w:b/>
                <w:bCs/>
                <w:rtl/>
              </w:rPr>
              <w:t xml:space="preserve">بر </w:t>
            </w:r>
            <w:r w:rsidR="00E50850" w:rsidRPr="0029024A">
              <w:rPr>
                <w:rFonts w:eastAsia="SimSun"/>
                <w:b/>
                <w:bCs/>
              </w:rPr>
              <w:t>2023</w:t>
            </w:r>
          </w:p>
        </w:tc>
      </w:tr>
      <w:tr w:rsidR="000D1EE4" w:rsidRPr="000D1EE4" w14:paraId="361443AB" w14:textId="77777777" w:rsidTr="00752552">
        <w:trPr>
          <w:cantSplit/>
        </w:trPr>
        <w:tc>
          <w:tcPr>
            <w:tcW w:w="6696" w:type="dxa"/>
            <w:gridSpan w:val="2"/>
          </w:tcPr>
          <w:p w14:paraId="382FC465" w14:textId="77777777" w:rsidR="000D1EE4" w:rsidRPr="0029024A" w:rsidRDefault="000D1EE4" w:rsidP="000D1EE4">
            <w:pPr>
              <w:spacing w:before="60" w:after="60" w:line="260" w:lineRule="exact"/>
              <w:rPr>
                <w:b/>
                <w:bCs/>
                <w:rtl/>
                <w:lang w:bidi="ar-EG"/>
              </w:rPr>
            </w:pPr>
          </w:p>
        </w:tc>
        <w:tc>
          <w:tcPr>
            <w:tcW w:w="2970" w:type="dxa"/>
            <w:gridSpan w:val="2"/>
          </w:tcPr>
          <w:p w14:paraId="1B8E1DA7" w14:textId="77777777" w:rsidR="000D1EE4" w:rsidRPr="0029024A" w:rsidRDefault="00E50850" w:rsidP="000D1EE4">
            <w:pPr>
              <w:spacing w:before="60" w:after="60" w:line="260" w:lineRule="exact"/>
              <w:rPr>
                <w:b/>
                <w:bCs/>
                <w:lang w:bidi="ar-EG"/>
              </w:rPr>
            </w:pPr>
            <w:r w:rsidRPr="0029024A">
              <w:rPr>
                <w:b/>
                <w:bCs/>
                <w:rtl/>
                <w:lang w:bidi="ar-EG"/>
              </w:rPr>
              <w:t>الأصل: بالإنكليزية</w:t>
            </w:r>
          </w:p>
        </w:tc>
      </w:tr>
      <w:tr w:rsidR="000D1EE4" w:rsidRPr="000D1EE4" w14:paraId="16D77B29" w14:textId="77777777" w:rsidTr="00752552">
        <w:trPr>
          <w:cantSplit/>
        </w:trPr>
        <w:tc>
          <w:tcPr>
            <w:tcW w:w="9666" w:type="dxa"/>
            <w:gridSpan w:val="4"/>
          </w:tcPr>
          <w:p w14:paraId="4274D335" w14:textId="77777777" w:rsidR="000D1EE4" w:rsidRPr="000D1EE4" w:rsidRDefault="000D1EE4" w:rsidP="000D1EE4">
            <w:pPr>
              <w:rPr>
                <w:b/>
                <w:bCs/>
                <w:lang w:bidi="ar-EG"/>
              </w:rPr>
            </w:pPr>
          </w:p>
        </w:tc>
      </w:tr>
      <w:tr w:rsidR="000D1EE4" w:rsidRPr="000D1EE4" w14:paraId="0B68E67E" w14:textId="77777777" w:rsidTr="00752552">
        <w:trPr>
          <w:cantSplit/>
        </w:trPr>
        <w:tc>
          <w:tcPr>
            <w:tcW w:w="9666" w:type="dxa"/>
            <w:gridSpan w:val="4"/>
          </w:tcPr>
          <w:p w14:paraId="639CA4BE" w14:textId="6973398E" w:rsidR="000D1EE4" w:rsidRPr="000D1EE4" w:rsidRDefault="008B544A" w:rsidP="000D1EE4">
            <w:pPr>
              <w:pStyle w:val="Source"/>
              <w:rPr>
                <w:rtl/>
                <w:lang w:bidi="ar-SA"/>
              </w:rPr>
            </w:pPr>
            <w:r>
              <w:rPr>
                <w:rFonts w:hint="cs"/>
                <w:rtl/>
              </w:rPr>
              <w:t>جمهورية نيجيريا الاتحادية/</w:t>
            </w:r>
            <w:r w:rsidR="000D1EE4" w:rsidRPr="000D1EE4">
              <w:rPr>
                <w:rtl/>
              </w:rPr>
              <w:t>بابوا غينيا الجديدة/مملكة تونغا</w:t>
            </w:r>
          </w:p>
        </w:tc>
      </w:tr>
      <w:tr w:rsidR="000D1EE4" w:rsidRPr="000D1EE4" w14:paraId="2625E7F1" w14:textId="77777777" w:rsidTr="00752552">
        <w:trPr>
          <w:cantSplit/>
        </w:trPr>
        <w:tc>
          <w:tcPr>
            <w:tcW w:w="9666" w:type="dxa"/>
            <w:gridSpan w:val="4"/>
          </w:tcPr>
          <w:p w14:paraId="525F1E9A" w14:textId="446D4DAF" w:rsidR="000D1EE4" w:rsidRPr="000D1EE4" w:rsidRDefault="0029024A" w:rsidP="000D1EE4">
            <w:pPr>
              <w:pStyle w:val="Title1"/>
              <w:rPr>
                <w:rtl/>
              </w:rPr>
            </w:pPr>
            <w:r>
              <w:rPr>
                <w:rFonts w:hint="cs"/>
                <w:rtl/>
              </w:rPr>
              <w:t>مقترحات بشأن أعمال المؤتمر</w:t>
            </w:r>
          </w:p>
        </w:tc>
      </w:tr>
      <w:tr w:rsidR="000D1EE4" w:rsidRPr="000D1EE4" w14:paraId="06D77F48" w14:textId="77777777" w:rsidTr="00752552">
        <w:trPr>
          <w:cantSplit/>
        </w:trPr>
        <w:tc>
          <w:tcPr>
            <w:tcW w:w="9666" w:type="dxa"/>
            <w:gridSpan w:val="4"/>
          </w:tcPr>
          <w:p w14:paraId="173FD4E8" w14:textId="77777777" w:rsidR="000D1EE4" w:rsidRPr="000D1EE4" w:rsidRDefault="000D1EE4" w:rsidP="000D1EE4">
            <w:pPr>
              <w:pStyle w:val="Title2"/>
              <w:rPr>
                <w:rtl/>
              </w:rPr>
            </w:pPr>
          </w:p>
        </w:tc>
      </w:tr>
      <w:tr w:rsidR="00E50850" w:rsidRPr="000D1EE4" w14:paraId="2A0E630F" w14:textId="77777777" w:rsidTr="00752552">
        <w:trPr>
          <w:cantSplit/>
        </w:trPr>
        <w:tc>
          <w:tcPr>
            <w:tcW w:w="9666" w:type="dxa"/>
            <w:gridSpan w:val="4"/>
          </w:tcPr>
          <w:p w14:paraId="143AAD13" w14:textId="09258070" w:rsidR="00E50850" w:rsidRPr="000D1EE4" w:rsidRDefault="00E50850" w:rsidP="00E50850">
            <w:pPr>
              <w:pStyle w:val="Agendaitem"/>
            </w:pPr>
            <w:r>
              <w:rPr>
                <w:rtl/>
              </w:rPr>
              <w:t>بند جدول الأعمال</w:t>
            </w:r>
            <w:r w:rsidR="0029024A">
              <w:rPr>
                <w:rFonts w:hint="cs"/>
                <w:rtl/>
              </w:rPr>
              <w:t xml:space="preserve"> </w:t>
            </w:r>
            <w:r w:rsidR="0029024A">
              <w:rPr>
                <w:rtl/>
              </w:rPr>
              <w:t>10</w:t>
            </w:r>
          </w:p>
        </w:tc>
      </w:tr>
    </w:tbl>
    <w:p w14:paraId="04FAEFEC" w14:textId="77777777" w:rsidR="009C5157" w:rsidRPr="00387E34" w:rsidRDefault="009C5157" w:rsidP="00387E34">
      <w:pPr>
        <w:rPr>
          <w:rtl/>
        </w:rPr>
      </w:pPr>
      <w:r w:rsidRPr="00387E34">
        <w:rPr>
          <w:lang w:bidi="ar-EG"/>
        </w:rPr>
        <w:t>10</w:t>
      </w:r>
      <w:r w:rsidRPr="00387E34">
        <w:rPr>
          <w:rFonts w:hint="cs"/>
          <w:rtl/>
        </w:rPr>
        <w:tab/>
      </w:r>
      <w:r w:rsidRPr="00FE2CFF">
        <w:rPr>
          <w:rFonts w:hint="eastAsia"/>
          <w:rtl/>
        </w:rPr>
        <w:t>تقديم</w:t>
      </w:r>
      <w:r w:rsidRPr="00FE2CFF">
        <w:rPr>
          <w:rtl/>
        </w:rPr>
        <w:t xml:space="preserve"> </w:t>
      </w:r>
      <w:r w:rsidRPr="00FE2CFF">
        <w:rPr>
          <w:rFonts w:hint="eastAsia"/>
          <w:rtl/>
        </w:rPr>
        <w:t>توصيات</w:t>
      </w:r>
      <w:r w:rsidRPr="00FE2CFF">
        <w:rPr>
          <w:rtl/>
        </w:rPr>
        <w:t xml:space="preserve"> </w:t>
      </w:r>
      <w:r w:rsidRPr="00FE2CFF">
        <w:rPr>
          <w:rFonts w:hint="eastAsia"/>
          <w:rtl/>
        </w:rPr>
        <w:t>إلى</w:t>
      </w:r>
      <w:r w:rsidRPr="00FE2CFF">
        <w:rPr>
          <w:rtl/>
        </w:rPr>
        <w:t xml:space="preserve"> </w:t>
      </w:r>
      <w:r w:rsidRPr="00FE2CFF">
        <w:rPr>
          <w:rFonts w:hint="cs"/>
          <w:rtl/>
        </w:rPr>
        <w:t>مجلس الاتحاد</w:t>
      </w:r>
      <w:r w:rsidRPr="00FE2CFF">
        <w:rPr>
          <w:rtl/>
        </w:rPr>
        <w:t xml:space="preserve"> </w:t>
      </w:r>
      <w:r w:rsidRPr="00FE2CFF">
        <w:rPr>
          <w:rFonts w:hint="eastAsia"/>
          <w:rtl/>
        </w:rPr>
        <w:t>بالبنود</w:t>
      </w:r>
      <w:r w:rsidRPr="00FE2CFF">
        <w:rPr>
          <w:rtl/>
        </w:rPr>
        <w:t xml:space="preserve"> </w:t>
      </w:r>
      <w:r w:rsidRPr="00FE2CFF">
        <w:rPr>
          <w:rFonts w:hint="eastAsia"/>
          <w:rtl/>
        </w:rPr>
        <w:t>التي</w:t>
      </w:r>
      <w:r w:rsidRPr="00FE2CFF">
        <w:rPr>
          <w:rtl/>
        </w:rPr>
        <w:t xml:space="preserve"> </w:t>
      </w:r>
      <w:r w:rsidRPr="00FE2CFF">
        <w:rPr>
          <w:rFonts w:hint="eastAsia"/>
          <w:rtl/>
        </w:rPr>
        <w:t>يلزم</w:t>
      </w:r>
      <w:r w:rsidRPr="00FE2CFF">
        <w:rPr>
          <w:rtl/>
        </w:rPr>
        <w:t xml:space="preserve"> </w:t>
      </w:r>
      <w:r w:rsidRPr="00FE2CFF">
        <w:rPr>
          <w:rFonts w:hint="eastAsia"/>
          <w:rtl/>
        </w:rPr>
        <w:t>إدراجها</w:t>
      </w:r>
      <w:r w:rsidRPr="00FE2CFF">
        <w:rPr>
          <w:rtl/>
        </w:rPr>
        <w:t xml:space="preserve"> </w:t>
      </w:r>
      <w:r w:rsidRPr="00FE2CFF">
        <w:rPr>
          <w:rFonts w:hint="eastAsia"/>
          <w:rtl/>
        </w:rPr>
        <w:t>في جدول</w:t>
      </w:r>
      <w:r w:rsidRPr="00FE2CFF">
        <w:rPr>
          <w:rtl/>
        </w:rPr>
        <w:t xml:space="preserve"> </w:t>
      </w:r>
      <w:r w:rsidRPr="00FE2CFF">
        <w:rPr>
          <w:rFonts w:hint="eastAsia"/>
          <w:rtl/>
        </w:rPr>
        <w:t>أعمال</w:t>
      </w:r>
      <w:r w:rsidRPr="00FE2CFF">
        <w:rPr>
          <w:rtl/>
        </w:rPr>
        <w:t xml:space="preserve"> </w:t>
      </w:r>
      <w:r w:rsidRPr="00FE2CFF">
        <w:rPr>
          <w:rFonts w:hint="eastAsia"/>
          <w:rtl/>
        </w:rPr>
        <w:t>المؤتمر</w:t>
      </w:r>
      <w:r w:rsidRPr="00FE2CFF">
        <w:rPr>
          <w:rtl/>
        </w:rPr>
        <w:t xml:space="preserve"> </w:t>
      </w:r>
      <w:r w:rsidRPr="00FE2CFF">
        <w:rPr>
          <w:rFonts w:hint="eastAsia"/>
          <w:rtl/>
        </w:rPr>
        <w:t>العالمي</w:t>
      </w:r>
      <w:r w:rsidRPr="00FE2CFF">
        <w:rPr>
          <w:rtl/>
        </w:rPr>
        <w:t xml:space="preserve"> </w:t>
      </w:r>
      <w:r w:rsidRPr="00FE2CFF">
        <w:rPr>
          <w:rFonts w:hint="cs"/>
          <w:rtl/>
        </w:rPr>
        <w:t>التالي</w:t>
      </w:r>
      <w:r w:rsidRPr="00FE2CFF">
        <w:rPr>
          <w:rtl/>
        </w:rPr>
        <w:t xml:space="preserve"> </w:t>
      </w:r>
      <w:r w:rsidRPr="00FE2CFF">
        <w:rPr>
          <w:rFonts w:hint="eastAsia"/>
          <w:rtl/>
        </w:rPr>
        <w:t>للاتصالات</w:t>
      </w:r>
      <w:r w:rsidRPr="00FE2CFF">
        <w:rPr>
          <w:rtl/>
        </w:rPr>
        <w:t xml:space="preserve"> </w:t>
      </w:r>
      <w:r w:rsidRPr="00FE2CFF">
        <w:rPr>
          <w:rFonts w:hint="eastAsia"/>
          <w:rtl/>
        </w:rPr>
        <w:t>الراديوية</w:t>
      </w:r>
      <w:r w:rsidRPr="00FE2CFF">
        <w:rPr>
          <w:rtl/>
        </w:rPr>
        <w:t xml:space="preserve"> </w:t>
      </w:r>
      <w:r w:rsidRPr="00FE2CFF">
        <w:rPr>
          <w:rFonts w:hint="eastAsia"/>
          <w:rtl/>
        </w:rPr>
        <w:t>و</w:t>
      </w:r>
      <w:r w:rsidRPr="00FE2CFF">
        <w:rPr>
          <w:rFonts w:hint="cs"/>
          <w:rtl/>
        </w:rPr>
        <w:t>ب</w:t>
      </w:r>
      <w:r w:rsidRPr="00FE2CFF">
        <w:rPr>
          <w:rFonts w:hint="eastAsia"/>
          <w:rtl/>
        </w:rPr>
        <w:t>بنود</w:t>
      </w:r>
      <w:r w:rsidRPr="00FE2CFF">
        <w:rPr>
          <w:rtl/>
        </w:rPr>
        <w:t xml:space="preserve"> </w:t>
      </w:r>
      <w:r w:rsidRPr="00FE2CFF">
        <w:rPr>
          <w:rFonts w:hint="eastAsia"/>
          <w:rtl/>
        </w:rPr>
        <w:t>جداول</w:t>
      </w:r>
      <w:r w:rsidRPr="00FE2CFF">
        <w:rPr>
          <w:rtl/>
        </w:rPr>
        <w:t xml:space="preserve"> </w:t>
      </w:r>
      <w:r w:rsidRPr="00FE2CFF">
        <w:rPr>
          <w:rFonts w:hint="eastAsia"/>
          <w:rtl/>
        </w:rPr>
        <w:t>الأعمال</w:t>
      </w:r>
      <w:r w:rsidRPr="00FE2CFF">
        <w:rPr>
          <w:rtl/>
        </w:rPr>
        <w:t xml:space="preserve"> الأولية للمؤتمرات </w:t>
      </w:r>
      <w:r w:rsidRPr="00FE2CFF">
        <w:rPr>
          <w:rFonts w:hint="cs"/>
          <w:rtl/>
        </w:rPr>
        <w:t>اللاحقة</w:t>
      </w:r>
      <w:r w:rsidRPr="00FE2CFF">
        <w:rPr>
          <w:rtl/>
        </w:rPr>
        <w:t xml:space="preserve">، وفقاً للمادة </w:t>
      </w:r>
      <w:r w:rsidRPr="00FE2CFF">
        <w:t>7</w:t>
      </w:r>
      <w:r w:rsidRPr="00FE2CFF">
        <w:rPr>
          <w:rtl/>
        </w:rPr>
        <w:t xml:space="preserve"> من </w:t>
      </w:r>
      <w:r w:rsidRPr="00FE2CFF">
        <w:rPr>
          <w:rFonts w:hint="cs"/>
          <w:rtl/>
        </w:rPr>
        <w:t>اتفاقية الاتحاد</w:t>
      </w:r>
      <w:r w:rsidRPr="00FE2CFF">
        <w:rPr>
          <w:rtl/>
        </w:rPr>
        <w:t xml:space="preserve"> والقرار </w:t>
      </w:r>
      <w:r w:rsidRPr="00FE2CFF">
        <w:rPr>
          <w:b/>
          <w:bCs/>
          <w:iCs/>
        </w:rPr>
        <w:t>(Rev.WRC-19)</w:t>
      </w:r>
      <w:r w:rsidRPr="00FE2CFF">
        <w:rPr>
          <w:b/>
          <w:bCs/>
          <w:iCs/>
          <w:rtl/>
        </w:rPr>
        <w:t xml:space="preserve"> </w:t>
      </w:r>
      <w:r w:rsidRPr="00FE2CFF">
        <w:rPr>
          <w:b/>
          <w:bCs/>
          <w:iCs/>
          <w:lang w:val="en-GB"/>
        </w:rPr>
        <w:t>804</w:t>
      </w:r>
      <w:r w:rsidRPr="00FE2CFF">
        <w:rPr>
          <w:rFonts w:hint="eastAsia"/>
          <w:rtl/>
        </w:rPr>
        <w:t>،</w:t>
      </w:r>
    </w:p>
    <w:p w14:paraId="29D2F06D" w14:textId="5A61172D" w:rsidR="00417E14" w:rsidRDefault="0029024A" w:rsidP="0029024A">
      <w:pPr>
        <w:pStyle w:val="Headingb"/>
        <w:rPr>
          <w:rtl/>
        </w:rPr>
      </w:pPr>
      <w:r>
        <w:rPr>
          <w:rFonts w:hint="cs"/>
          <w:rtl/>
        </w:rPr>
        <w:t>مقدمة</w:t>
      </w:r>
    </w:p>
    <w:p w14:paraId="1E53CEF7" w14:textId="48E0F0B5" w:rsidR="00F47738" w:rsidRDefault="0029024A" w:rsidP="004351B3">
      <w:pPr>
        <w:rPr>
          <w:rtl/>
          <w:lang w:bidi="ar-LB"/>
        </w:rPr>
      </w:pPr>
      <w:r>
        <w:rPr>
          <w:rtl/>
        </w:rPr>
        <w:t>ي</w:t>
      </w:r>
      <w:r>
        <w:rPr>
          <w:rFonts w:hint="cs"/>
          <w:rtl/>
        </w:rPr>
        <w:t>حتاج</w:t>
      </w:r>
      <w:r>
        <w:rPr>
          <w:rtl/>
        </w:rPr>
        <w:t xml:space="preserve"> الطلب المتزايد على التطبيقات القائمة على الإنترنت </w:t>
      </w:r>
      <w:r>
        <w:rPr>
          <w:rFonts w:hint="cs"/>
          <w:rtl/>
        </w:rPr>
        <w:t>لصناعة</w:t>
      </w:r>
      <w:r>
        <w:rPr>
          <w:rtl/>
        </w:rPr>
        <w:t xml:space="preserve"> الطيران و</w:t>
      </w:r>
      <w:r>
        <w:rPr>
          <w:rFonts w:hint="cs"/>
          <w:rtl/>
        </w:rPr>
        <w:t xml:space="preserve">الصناعة </w:t>
      </w:r>
      <w:r>
        <w:rPr>
          <w:rtl/>
        </w:rPr>
        <w:t>البحرية</w:t>
      </w:r>
      <w:r>
        <w:rPr>
          <w:rFonts w:hint="cs"/>
          <w:rtl/>
        </w:rPr>
        <w:t xml:space="preserve"> إلى</w:t>
      </w:r>
      <w:r>
        <w:rPr>
          <w:rtl/>
        </w:rPr>
        <w:t xml:space="preserve"> </w:t>
      </w:r>
      <w:r>
        <w:rPr>
          <w:rFonts w:hint="cs"/>
          <w:rtl/>
        </w:rPr>
        <w:t>سعة</w:t>
      </w:r>
      <w:r>
        <w:rPr>
          <w:rtl/>
        </w:rPr>
        <w:t xml:space="preserve"> ساتلية إضافية </w:t>
      </w:r>
      <w:r>
        <w:rPr>
          <w:rFonts w:hint="cs"/>
          <w:rtl/>
        </w:rPr>
        <w:t>لهاتين الخدمتين</w:t>
      </w:r>
      <w:r w:rsidR="00F47738">
        <w:rPr>
          <w:rFonts w:hint="cs"/>
          <w:rtl/>
          <w:lang w:bidi="ar-LB"/>
        </w:rPr>
        <w:t xml:space="preserve">. ويمكن تلبية هذا الطلب جزئياً بتوفير سعة إضافية يتم الحصول عليها بالسماح بتشغيل المحطات الأرضية المتحركة </w:t>
      </w:r>
      <w:r w:rsidR="00F47738">
        <w:rPr>
          <w:lang w:bidi="ar-LB"/>
        </w:rPr>
        <w:t>(</w:t>
      </w:r>
      <w:r w:rsidR="00316D21">
        <w:rPr>
          <w:lang w:bidi="ar-LB"/>
        </w:rPr>
        <w:t>ESIM</w:t>
      </w:r>
      <w:r w:rsidR="00F47738">
        <w:rPr>
          <w:lang w:bidi="ar-LB"/>
        </w:rPr>
        <w:t>)</w:t>
      </w:r>
      <w:r w:rsidR="00F47738">
        <w:rPr>
          <w:rFonts w:hint="cs"/>
          <w:rtl/>
          <w:lang w:bidi="ar-LB"/>
        </w:rPr>
        <w:t xml:space="preserve"> التي تت</w:t>
      </w:r>
      <w:r w:rsidR="00357F89">
        <w:rPr>
          <w:rFonts w:hint="cs"/>
          <w:rtl/>
          <w:lang w:bidi="ar-LB"/>
        </w:rPr>
        <w:t>وا</w:t>
      </w:r>
      <w:r w:rsidR="00F47738">
        <w:rPr>
          <w:rFonts w:hint="cs"/>
          <w:rtl/>
          <w:lang w:bidi="ar-LB"/>
        </w:rPr>
        <w:t xml:space="preserve">صل </w:t>
      </w:r>
      <w:r w:rsidR="00357F89">
        <w:rPr>
          <w:rFonts w:hint="cs"/>
          <w:rtl/>
          <w:lang w:bidi="ar-LB"/>
        </w:rPr>
        <w:t xml:space="preserve">مع </w:t>
      </w:r>
      <w:r w:rsidR="00F47738">
        <w:rPr>
          <w:rFonts w:hint="cs"/>
          <w:rtl/>
          <w:lang w:bidi="ar-LB"/>
        </w:rPr>
        <w:t>محطات فضائية غير مستقرة بالنسبة إلى الأرض في الخدمة الثابتة الساتلية في نطاق التردد</w:t>
      </w:r>
      <w:r w:rsidR="00316D21">
        <w:rPr>
          <w:rtl/>
          <w:lang w:bidi="ar-LB"/>
        </w:rPr>
        <w:br/>
      </w:r>
      <w:r w:rsidR="00F47738">
        <w:rPr>
          <w:lang w:bidi="ar-LB"/>
        </w:rPr>
        <w:t>GHz 1</w:t>
      </w:r>
      <w:r w:rsidR="00316D21">
        <w:rPr>
          <w:lang w:bidi="ar-LB"/>
        </w:rPr>
        <w:t>3</w:t>
      </w:r>
      <w:r w:rsidR="00F47738">
        <w:rPr>
          <w:lang w:bidi="ar-LB"/>
        </w:rPr>
        <w:t>,25-1</w:t>
      </w:r>
      <w:r w:rsidR="00316D21">
        <w:rPr>
          <w:lang w:bidi="ar-LB"/>
        </w:rPr>
        <w:t>2</w:t>
      </w:r>
      <w:r w:rsidR="00F47738">
        <w:rPr>
          <w:lang w:bidi="ar-LB"/>
        </w:rPr>
        <w:t>,75</w:t>
      </w:r>
      <w:r w:rsidR="00F47738">
        <w:rPr>
          <w:rFonts w:hint="cs"/>
          <w:rtl/>
          <w:lang w:bidi="ar-LB"/>
        </w:rPr>
        <w:t xml:space="preserve">. </w:t>
      </w:r>
    </w:p>
    <w:p w14:paraId="3E96651A" w14:textId="6FC7AD39" w:rsidR="00357F89" w:rsidRDefault="00F47738" w:rsidP="004351B3">
      <w:pPr>
        <w:rPr>
          <w:rtl/>
          <w:lang w:bidi="ar-LB"/>
        </w:rPr>
      </w:pPr>
      <w:r>
        <w:rPr>
          <w:rFonts w:hint="cs"/>
          <w:rtl/>
          <w:lang w:bidi="ar-LB"/>
        </w:rPr>
        <w:t xml:space="preserve">ويمكن لهوائيات الصفيف المرتب الأطوار الموجهة إلكترونياً والمتعددة المدارات أن تسمح لمحطات </w:t>
      </w:r>
      <w:r>
        <w:rPr>
          <w:lang w:bidi="ar-LB"/>
        </w:rPr>
        <w:t>E</w:t>
      </w:r>
      <w:r w:rsidR="00316D21">
        <w:rPr>
          <w:lang w:bidi="ar-LB"/>
        </w:rPr>
        <w:t>SI</w:t>
      </w:r>
      <w:r>
        <w:rPr>
          <w:lang w:bidi="ar-LB"/>
        </w:rPr>
        <w:t>M</w:t>
      </w:r>
      <w:r>
        <w:rPr>
          <w:rFonts w:hint="cs"/>
          <w:rtl/>
          <w:lang w:bidi="ar-LB"/>
        </w:rPr>
        <w:t xml:space="preserve"> بالاتصال بالسواتل المستقرة وغير المستقرة بالنسبة </w:t>
      </w:r>
      <w:r w:rsidR="00357F89">
        <w:rPr>
          <w:rFonts w:hint="cs"/>
          <w:rtl/>
          <w:lang w:bidi="ar-LB"/>
        </w:rPr>
        <w:t>إ</w:t>
      </w:r>
      <w:r>
        <w:rPr>
          <w:rFonts w:hint="cs"/>
          <w:rtl/>
          <w:lang w:bidi="ar-LB"/>
        </w:rPr>
        <w:t>لى الأرض لتوفير أعلى مستويات الجودة لتجربة الإنترنت</w:t>
      </w:r>
      <w:r w:rsidR="00316D21">
        <w:rPr>
          <w:rFonts w:hint="cs"/>
          <w:rtl/>
        </w:rPr>
        <w:t xml:space="preserve"> </w:t>
      </w:r>
      <w:r w:rsidR="006B5902">
        <w:rPr>
          <w:rFonts w:hint="cs"/>
          <w:rtl/>
        </w:rPr>
        <w:t xml:space="preserve">أثناء الطيران وتجربة الإنترنت </w:t>
      </w:r>
      <w:r>
        <w:rPr>
          <w:rFonts w:hint="cs"/>
          <w:rtl/>
          <w:lang w:bidi="ar-LB"/>
        </w:rPr>
        <w:t>البحرية</w:t>
      </w:r>
      <w:r w:rsidR="00357F89">
        <w:rPr>
          <w:rFonts w:hint="cs"/>
          <w:rtl/>
          <w:lang w:bidi="ar-LB"/>
        </w:rPr>
        <w:t xml:space="preserve">، من خلال الجمع بين فوائد الكمون المنخفض للأنظمة غير المستقرة بالنسبة إلى الأرض وموثوقية الأنظمة المستقرة بالنسبة </w:t>
      </w:r>
      <w:r w:rsidR="00316D21">
        <w:rPr>
          <w:rFonts w:hint="cs"/>
          <w:rtl/>
          <w:lang w:bidi="ar-LB"/>
        </w:rPr>
        <w:t>إ</w:t>
      </w:r>
      <w:r w:rsidR="00357F89">
        <w:rPr>
          <w:rFonts w:hint="cs"/>
          <w:rtl/>
          <w:lang w:bidi="ar-LB"/>
        </w:rPr>
        <w:t>لى الأرض.</w:t>
      </w:r>
    </w:p>
    <w:p w14:paraId="2169D1D7" w14:textId="7403C084" w:rsidR="00723BEA" w:rsidRDefault="00357F89" w:rsidP="004351B3">
      <w:pPr>
        <w:rPr>
          <w:rtl/>
          <w:lang w:bidi="ar-LB"/>
        </w:rPr>
      </w:pPr>
      <w:r>
        <w:rPr>
          <w:rFonts w:hint="cs"/>
          <w:rtl/>
          <w:lang w:bidi="ar-LB"/>
        </w:rPr>
        <w:t xml:space="preserve">وقد دُرس نطاق التردد </w:t>
      </w:r>
      <w:r>
        <w:rPr>
          <w:lang w:bidi="ar-LB"/>
        </w:rPr>
        <w:t>GHz 1</w:t>
      </w:r>
      <w:r w:rsidR="00316D21">
        <w:rPr>
          <w:lang w:bidi="ar-LB"/>
        </w:rPr>
        <w:t>3</w:t>
      </w:r>
      <w:r>
        <w:rPr>
          <w:lang w:bidi="ar-LB"/>
        </w:rPr>
        <w:t>,25-1</w:t>
      </w:r>
      <w:r w:rsidR="00316D21">
        <w:rPr>
          <w:lang w:bidi="ar-LB"/>
        </w:rPr>
        <w:t>2</w:t>
      </w:r>
      <w:r>
        <w:rPr>
          <w:lang w:bidi="ar-LB"/>
        </w:rPr>
        <w:t>,75</w:t>
      </w:r>
      <w:r>
        <w:rPr>
          <w:rFonts w:hint="cs"/>
          <w:rtl/>
          <w:lang w:bidi="ar-LB"/>
        </w:rPr>
        <w:t xml:space="preserve"> لكي تستعمله المحطات الأرضية المتحركة للطيران </w:t>
      </w:r>
      <w:r>
        <w:rPr>
          <w:lang w:bidi="ar-LB"/>
        </w:rPr>
        <w:t>(A-ESIM)</w:t>
      </w:r>
      <w:r>
        <w:rPr>
          <w:rFonts w:hint="cs"/>
          <w:rtl/>
          <w:lang w:bidi="ar-LB"/>
        </w:rPr>
        <w:t xml:space="preserve"> والمحطات الأرضية المتحركة البحرية </w:t>
      </w:r>
      <w:r>
        <w:rPr>
          <w:lang w:bidi="ar-LB"/>
        </w:rPr>
        <w:t>(M-ESIM)</w:t>
      </w:r>
      <w:r>
        <w:rPr>
          <w:rFonts w:hint="cs"/>
          <w:rtl/>
          <w:lang w:bidi="ar-LB"/>
        </w:rPr>
        <w:t xml:space="preserve"> التي تتواصل مع محطات فضائية غير مستقرة بالنسبة إلى الأرض في الخدمة الثابتة الساتلية في إطار البند </w:t>
      </w:r>
      <w:r>
        <w:rPr>
          <w:lang w:bidi="ar-LB"/>
        </w:rPr>
        <w:t>15.1</w:t>
      </w:r>
      <w:r>
        <w:rPr>
          <w:rFonts w:hint="cs"/>
          <w:rtl/>
          <w:lang w:bidi="ar-LB"/>
        </w:rPr>
        <w:t xml:space="preserve"> من جدول أعمال المؤتمر </w:t>
      </w:r>
      <w:r>
        <w:rPr>
          <w:lang w:bidi="ar-LB"/>
        </w:rPr>
        <w:t>WRC-23</w:t>
      </w:r>
      <w:r>
        <w:rPr>
          <w:rFonts w:hint="cs"/>
          <w:rtl/>
          <w:lang w:bidi="ar-LB"/>
        </w:rPr>
        <w:t xml:space="preserve">، وفقاً للقرار </w:t>
      </w:r>
      <w:r w:rsidRPr="00357F89">
        <w:rPr>
          <w:b/>
          <w:bCs/>
          <w:lang w:bidi="ar-LB"/>
        </w:rPr>
        <w:t>172 (WRC-19)</w:t>
      </w:r>
      <w:r>
        <w:rPr>
          <w:rFonts w:hint="cs"/>
          <w:rtl/>
          <w:lang w:bidi="ar-LB"/>
        </w:rPr>
        <w:t xml:space="preserve">. وقد بيّنت هذه الدراسات </w:t>
      </w:r>
      <w:r w:rsidR="00316D21">
        <w:rPr>
          <w:rFonts w:hint="cs"/>
          <w:rtl/>
          <w:lang w:bidi="ar-LB"/>
        </w:rPr>
        <w:t>أنه</w:t>
      </w:r>
      <w:r>
        <w:rPr>
          <w:rFonts w:hint="cs"/>
          <w:rtl/>
          <w:lang w:bidi="ar-LB"/>
        </w:rPr>
        <w:t xml:space="preserve"> يمكن وضع مجموعة من الشروط التقنية والتشغيلية والتنظيمية للسماح بتشغيل </w:t>
      </w:r>
      <w:r w:rsidR="00723BEA">
        <w:rPr>
          <w:rFonts w:hint="cs"/>
          <w:rtl/>
          <w:lang w:bidi="ar-LB"/>
        </w:rPr>
        <w:t xml:space="preserve">محطات </w:t>
      </w:r>
      <w:r w:rsidR="00723BEA">
        <w:rPr>
          <w:lang w:bidi="ar-LB"/>
        </w:rPr>
        <w:t>A-ESIM</w:t>
      </w:r>
      <w:r w:rsidR="00723BEA">
        <w:rPr>
          <w:rFonts w:hint="cs"/>
          <w:rtl/>
          <w:lang w:bidi="ar-LB"/>
        </w:rPr>
        <w:t xml:space="preserve"> و</w:t>
      </w:r>
      <w:r w:rsidR="00723BEA">
        <w:rPr>
          <w:lang w:bidi="ar-LB"/>
        </w:rPr>
        <w:t>M-ESIM</w:t>
      </w:r>
      <w:r w:rsidR="00723BEA">
        <w:rPr>
          <w:rFonts w:hint="cs"/>
          <w:rtl/>
          <w:lang w:bidi="ar-LB"/>
        </w:rPr>
        <w:t xml:space="preserve"> مع محطات فضائية مستقرة بالنسبة إلى الأرض داخل النطاق مع توفير الحماية للخدمات الأخرى التي لديها توزيعات.</w:t>
      </w:r>
    </w:p>
    <w:p w14:paraId="7FE5AB41" w14:textId="77777777" w:rsidR="00723BEA" w:rsidRDefault="00723BEA" w:rsidP="004351B3">
      <w:pPr>
        <w:rPr>
          <w:rtl/>
          <w:lang w:bidi="ar-LB"/>
        </w:rPr>
      </w:pPr>
      <w:r>
        <w:rPr>
          <w:rFonts w:hint="cs"/>
          <w:rtl/>
          <w:lang w:bidi="ar-LB"/>
        </w:rPr>
        <w:t xml:space="preserve">وبينت الدراسات التي جرت في إطار البند </w:t>
      </w:r>
      <w:r>
        <w:rPr>
          <w:lang w:bidi="ar-LB"/>
        </w:rPr>
        <w:t>16.1</w:t>
      </w:r>
      <w:r>
        <w:rPr>
          <w:rFonts w:hint="cs"/>
          <w:rtl/>
          <w:lang w:bidi="ar-LB"/>
        </w:rPr>
        <w:t xml:space="preserve"> من جدول أعمال المؤتمر </w:t>
      </w:r>
      <w:r>
        <w:rPr>
          <w:lang w:bidi="ar-LB"/>
        </w:rPr>
        <w:t>WRC-23</w:t>
      </w:r>
      <w:r>
        <w:rPr>
          <w:rFonts w:hint="cs"/>
          <w:rtl/>
          <w:lang w:bidi="ar-LB"/>
        </w:rPr>
        <w:t xml:space="preserve">، وفقاً للقرار </w:t>
      </w:r>
      <w:r w:rsidRPr="00357F89">
        <w:rPr>
          <w:b/>
          <w:bCs/>
          <w:lang w:bidi="ar-LB"/>
        </w:rPr>
        <w:t>17</w:t>
      </w:r>
      <w:r>
        <w:rPr>
          <w:b/>
          <w:bCs/>
          <w:lang w:bidi="ar-LB"/>
        </w:rPr>
        <w:t>3</w:t>
      </w:r>
      <w:r w:rsidRPr="00357F89">
        <w:rPr>
          <w:b/>
          <w:bCs/>
          <w:lang w:bidi="ar-LB"/>
        </w:rPr>
        <w:t xml:space="preserve"> (WRC-19)</w:t>
      </w:r>
      <w:r>
        <w:rPr>
          <w:rFonts w:hint="cs"/>
          <w:rtl/>
          <w:lang w:bidi="ar-LB"/>
        </w:rPr>
        <w:t>، أن المحطات الأرضية المتحركة غير المستقرة والمستقرة بالنسبة إلى الأرض يمكن أن تعمل باستخدام شروط مماثلة لضمان حماية الخدمات القائمة.</w:t>
      </w:r>
    </w:p>
    <w:p w14:paraId="3F774A51" w14:textId="3581737C" w:rsidR="00E50EC2" w:rsidRDefault="00723BEA" w:rsidP="004351B3">
      <w:pPr>
        <w:rPr>
          <w:rtl/>
          <w:lang w:bidi="ar-LB"/>
        </w:rPr>
      </w:pPr>
      <w:r>
        <w:rPr>
          <w:rFonts w:hint="cs"/>
          <w:rtl/>
          <w:lang w:bidi="ar-LB"/>
        </w:rPr>
        <w:lastRenderedPageBreak/>
        <w:t>ومع الزيادة الكبيرة للكوكبات غير المستقرة بالنسبة إلى الأرض، فإن دراسة توسيع استعمال الخدمة الثابتة الساتلية ليشمل توفير تطبيقات ل</w:t>
      </w:r>
      <w:r w:rsidR="00316D21">
        <w:rPr>
          <w:rFonts w:hint="cs"/>
          <w:rtl/>
          <w:lang w:bidi="ar-LB"/>
        </w:rPr>
        <w:t>ل</w:t>
      </w:r>
      <w:r>
        <w:rPr>
          <w:rFonts w:hint="cs"/>
          <w:rtl/>
          <w:lang w:bidi="ar-LB"/>
        </w:rPr>
        <w:t xml:space="preserve">محطات الأرضية المتحركة غير المستقرة بالنسبة إلى الأرض في </w:t>
      </w:r>
      <w:r w:rsidR="00E50EC2">
        <w:rPr>
          <w:rFonts w:hint="cs"/>
          <w:rtl/>
          <w:lang w:bidi="ar-LB"/>
        </w:rPr>
        <w:t xml:space="preserve">نطاق التردد </w:t>
      </w:r>
      <w:r w:rsidR="00E50EC2">
        <w:rPr>
          <w:lang w:bidi="ar-LB"/>
        </w:rPr>
        <w:t>GHz 1</w:t>
      </w:r>
      <w:r w:rsidR="00316D21">
        <w:rPr>
          <w:lang w:bidi="ar-LB"/>
        </w:rPr>
        <w:t>3</w:t>
      </w:r>
      <w:r w:rsidR="00E50EC2">
        <w:rPr>
          <w:lang w:bidi="ar-LB"/>
        </w:rPr>
        <w:t>,25-1</w:t>
      </w:r>
      <w:r w:rsidR="00316D21">
        <w:rPr>
          <w:lang w:bidi="ar-LB"/>
        </w:rPr>
        <w:t>2</w:t>
      </w:r>
      <w:r w:rsidR="00E50EC2">
        <w:rPr>
          <w:lang w:bidi="ar-LB"/>
        </w:rPr>
        <w:t>,75</w:t>
      </w:r>
      <w:r w:rsidR="00E50EC2">
        <w:rPr>
          <w:rFonts w:hint="cs"/>
          <w:rtl/>
          <w:lang w:bidi="ar-LB"/>
        </w:rPr>
        <w:t xml:space="preserve"> مع حماية الخدمات القائمة سيكون </w:t>
      </w:r>
      <w:r w:rsidR="00A3202B">
        <w:rPr>
          <w:rFonts w:hint="cs"/>
          <w:rtl/>
          <w:lang w:bidi="ar-LB"/>
        </w:rPr>
        <w:t>أحد</w:t>
      </w:r>
      <w:r w:rsidR="00E50EC2">
        <w:rPr>
          <w:rFonts w:hint="cs"/>
          <w:rtl/>
          <w:lang w:bidi="ar-LB"/>
        </w:rPr>
        <w:t xml:space="preserve"> السبل لزيادة كفاءة استعمال الطيف المتاح للسواتل.</w:t>
      </w:r>
    </w:p>
    <w:p w14:paraId="1C5E4836" w14:textId="522F54CC" w:rsidR="00B24B17" w:rsidRDefault="00E50EC2" w:rsidP="004351B3">
      <w:pPr>
        <w:rPr>
          <w:rtl/>
          <w:lang w:bidi="ar-EG"/>
        </w:rPr>
      </w:pPr>
      <w:r>
        <w:rPr>
          <w:rFonts w:hint="cs"/>
          <w:rtl/>
          <w:lang w:bidi="ar-LB"/>
        </w:rPr>
        <w:t>وتكتسي الخدمات الساتلية لصناعات الطيران والصناعات البحرية طابعاً عالمياً وتستفيد بالتالي بشكل كبير من التنسيق التنظيمي العالمي من خلال لوائح الراديو الصادرة عن الاتحاد.</w:t>
      </w:r>
    </w:p>
    <w:p w14:paraId="31718605" w14:textId="78798096" w:rsidR="0029024A" w:rsidRDefault="0029024A" w:rsidP="0029024A">
      <w:pPr>
        <w:pStyle w:val="Headingb"/>
        <w:rPr>
          <w:rtl/>
        </w:rPr>
      </w:pPr>
      <w:r>
        <w:rPr>
          <w:rFonts w:hint="cs"/>
          <w:rtl/>
        </w:rPr>
        <w:t>المقترح</w:t>
      </w:r>
    </w:p>
    <w:p w14:paraId="0703854B" w14:textId="5F63180E" w:rsidR="0029024A" w:rsidRPr="007579F6" w:rsidRDefault="00E50EC2" w:rsidP="00E56BD6">
      <w:pPr>
        <w:rPr>
          <w:lang w:bidi="ar-EG"/>
        </w:rPr>
      </w:pPr>
      <w:r>
        <w:rPr>
          <w:rFonts w:hint="cs"/>
          <w:rtl/>
        </w:rPr>
        <w:t xml:space="preserve">تأييد وجود بند في جدول أعمال المؤتمر </w:t>
      </w:r>
      <w:r>
        <w:t>WRC-27</w:t>
      </w:r>
      <w:r>
        <w:rPr>
          <w:rFonts w:hint="cs"/>
          <w:rtl/>
          <w:lang w:bidi="ar-LB"/>
        </w:rPr>
        <w:t xml:space="preserve"> لدراسة استعمال نطاق التردد</w:t>
      </w:r>
      <w:r>
        <w:rPr>
          <w:rFonts w:hint="cs"/>
          <w:rtl/>
        </w:rPr>
        <w:t xml:space="preserve"> </w:t>
      </w:r>
      <w:r w:rsidR="00A2388D">
        <w:t>GHz 13,</w:t>
      </w:r>
      <w:r w:rsidR="00964D1F">
        <w:t>7</w:t>
      </w:r>
      <w:r w:rsidR="00A2388D">
        <w:t>5-12,75</w:t>
      </w:r>
      <w:r>
        <w:rPr>
          <w:rFonts w:hint="cs"/>
          <w:rtl/>
        </w:rPr>
        <w:t xml:space="preserve"> (أرض-فضاء) من طيف الخدمة الثابتة الساتلية لتشغيل </w:t>
      </w:r>
      <w:r>
        <w:rPr>
          <w:rFonts w:hint="cs"/>
          <w:rtl/>
          <w:lang w:bidi="ar-LB"/>
        </w:rPr>
        <w:t xml:space="preserve">محطات </w:t>
      </w:r>
      <w:r>
        <w:rPr>
          <w:lang w:bidi="ar-LB"/>
        </w:rPr>
        <w:t>A-ESIM</w:t>
      </w:r>
      <w:r>
        <w:rPr>
          <w:rFonts w:hint="cs"/>
          <w:rtl/>
          <w:lang w:bidi="ar-LB"/>
        </w:rPr>
        <w:t xml:space="preserve"> و</w:t>
      </w:r>
      <w:r>
        <w:rPr>
          <w:lang w:bidi="ar-LB"/>
        </w:rPr>
        <w:t>M-ESIM</w:t>
      </w:r>
      <w:r>
        <w:rPr>
          <w:rFonts w:hint="cs"/>
          <w:rtl/>
          <w:lang w:bidi="ar-LB"/>
        </w:rPr>
        <w:t xml:space="preserve"> التي تتواصل مع أنظمة غير مستقرة بالنسبة إلى الأرض مع ضمان حماية الخدمات القائمة.</w:t>
      </w:r>
    </w:p>
    <w:p w14:paraId="23AEF1B5" w14:textId="77777777" w:rsidR="004C67F1" w:rsidRDefault="004C67F1" w:rsidP="00FD7BB8">
      <w:pPr>
        <w:tabs>
          <w:tab w:val="clear" w:pos="1134"/>
          <w:tab w:val="clear" w:pos="1871"/>
          <w:tab w:val="clear" w:pos="2268"/>
        </w:tabs>
        <w:bidi w:val="0"/>
        <w:spacing w:before="0" w:line="240" w:lineRule="auto"/>
        <w:jc w:val="left"/>
        <w:rPr>
          <w:rtl/>
          <w:lang w:val="en-GB" w:bidi="ar-EG"/>
        </w:rPr>
      </w:pPr>
      <w:r>
        <w:rPr>
          <w:rtl/>
          <w:lang w:val="en-GB" w:bidi="ar-EG"/>
        </w:rPr>
        <w:br w:type="page"/>
      </w:r>
    </w:p>
    <w:p w14:paraId="68A4AA4D" w14:textId="6FF8294D" w:rsidR="008832E7" w:rsidRDefault="009C5157">
      <w:pPr>
        <w:pStyle w:val="Proposal"/>
      </w:pPr>
      <w:r>
        <w:lastRenderedPageBreak/>
        <w:t>ADD</w:t>
      </w:r>
      <w:r>
        <w:tab/>
      </w:r>
      <w:r w:rsidR="008B544A">
        <w:t>NIG/</w:t>
      </w:r>
      <w:r>
        <w:t>PNG/TON/164/1</w:t>
      </w:r>
    </w:p>
    <w:p w14:paraId="10262B6F" w14:textId="68B4BA2C" w:rsidR="008832E7" w:rsidRPr="0029024A" w:rsidRDefault="0029024A" w:rsidP="0029024A">
      <w:pPr>
        <w:pStyle w:val="ResNo"/>
      </w:pPr>
      <w:r w:rsidRPr="0029024A">
        <w:rPr>
          <w:rFonts w:hint="cs"/>
          <w:rtl/>
        </w:rPr>
        <w:t xml:space="preserve">مشروع القرار الجديد </w:t>
      </w:r>
      <w:r w:rsidRPr="0029024A">
        <w:t>[AI WRC-27] (WRC-23)</w:t>
      </w:r>
    </w:p>
    <w:p w14:paraId="235D0489" w14:textId="7AF3C220" w:rsidR="008832E7" w:rsidRDefault="0029024A">
      <w:pPr>
        <w:pStyle w:val="Restitle"/>
      </w:pPr>
      <w:r>
        <w:rPr>
          <w:rFonts w:ascii="Times New Roman" w:hint="cs"/>
          <w:rtl/>
        </w:rPr>
        <w:t xml:space="preserve">جدول أعمال المؤتمر العالمي للاتصالات الراديوية لعام </w:t>
      </w:r>
      <w:r w:rsidRPr="0077431B">
        <w:rPr>
          <w:rtl/>
        </w:rPr>
        <w:t>2027</w:t>
      </w:r>
    </w:p>
    <w:p w14:paraId="4283D2FC" w14:textId="58FC1868" w:rsidR="008832E7" w:rsidRDefault="0029024A">
      <w:pPr>
        <w:pStyle w:val="Normalaftertitle"/>
        <w:rPr>
          <w:rtl/>
        </w:rPr>
      </w:pPr>
      <w:r w:rsidRPr="00625EB3">
        <w:rPr>
          <w:rtl/>
        </w:rPr>
        <w:t>إن المؤتمر العالمي للاتصالات الراديوية (</w:t>
      </w:r>
      <w:r>
        <w:rPr>
          <w:rFonts w:hint="cs"/>
          <w:rtl/>
        </w:rPr>
        <w:t>دبي</w:t>
      </w:r>
      <w:r w:rsidRPr="00625EB3">
        <w:rPr>
          <w:rtl/>
        </w:rPr>
        <w:t xml:space="preserve">، </w:t>
      </w:r>
      <w:r>
        <w:rPr>
          <w:rFonts w:hint="cs"/>
          <w:rtl/>
        </w:rPr>
        <w:t>2023</w:t>
      </w:r>
      <w:r w:rsidRPr="00625EB3">
        <w:rPr>
          <w:rtl/>
        </w:rPr>
        <w:t>)،</w:t>
      </w:r>
    </w:p>
    <w:p w14:paraId="57F0D705" w14:textId="4C796DDC" w:rsidR="0029024A" w:rsidRPr="0029024A" w:rsidRDefault="0029024A" w:rsidP="0029024A">
      <w:pPr>
        <w:pStyle w:val="Call"/>
        <w:rPr>
          <w:rtl/>
        </w:rPr>
      </w:pPr>
      <w:r>
        <w:rPr>
          <w:rFonts w:hint="cs"/>
          <w:rtl/>
        </w:rPr>
        <w:t>إذ يضع في اعتباره</w:t>
      </w:r>
    </w:p>
    <w:p w14:paraId="33A35ED2" w14:textId="77FE98F5" w:rsidR="0029024A" w:rsidRDefault="0029024A" w:rsidP="0029024A">
      <w:r>
        <w:rPr>
          <w:rFonts w:hint="cs"/>
          <w:rtl/>
        </w:rPr>
        <w:t>...</w:t>
      </w:r>
    </w:p>
    <w:p w14:paraId="1EAE96A1" w14:textId="635EBA74" w:rsidR="0029024A" w:rsidRDefault="0029024A" w:rsidP="0029024A">
      <w:pPr>
        <w:pStyle w:val="Call"/>
        <w:rPr>
          <w:rtl/>
          <w:lang w:bidi="ar-EG"/>
        </w:rPr>
      </w:pPr>
      <w:r>
        <w:rPr>
          <w:rFonts w:hint="cs"/>
          <w:rtl/>
          <w:lang w:bidi="ar-EG"/>
        </w:rPr>
        <w:t>وإذ يدرك</w:t>
      </w:r>
    </w:p>
    <w:p w14:paraId="6ED69F2E" w14:textId="7F5723C0" w:rsidR="0029024A" w:rsidRDefault="0029024A" w:rsidP="0029024A">
      <w:pPr>
        <w:rPr>
          <w:rtl/>
          <w:lang w:bidi="ar-EG"/>
        </w:rPr>
      </w:pPr>
      <w:r>
        <w:rPr>
          <w:rFonts w:hint="cs"/>
          <w:rtl/>
          <w:lang w:bidi="ar-EG"/>
        </w:rPr>
        <w:t>...</w:t>
      </w:r>
    </w:p>
    <w:p w14:paraId="19FFECD7" w14:textId="069DCD25" w:rsidR="0029024A" w:rsidRDefault="0029024A" w:rsidP="0029024A">
      <w:pPr>
        <w:pStyle w:val="Call"/>
        <w:rPr>
          <w:lang w:bidi="ar-EG"/>
        </w:rPr>
      </w:pPr>
      <w:r>
        <w:rPr>
          <w:rFonts w:hint="cs"/>
          <w:rtl/>
          <w:lang w:bidi="ar-EG"/>
        </w:rPr>
        <w:t>يقرر</w:t>
      </w:r>
    </w:p>
    <w:p w14:paraId="4A0A1534" w14:textId="77777777" w:rsidR="00D35380" w:rsidRPr="00D35380" w:rsidRDefault="00D35380" w:rsidP="00D35380">
      <w:pPr>
        <w:rPr>
          <w:rtl/>
          <w:lang w:val="en-GB"/>
        </w:rPr>
      </w:pPr>
      <w:r w:rsidRPr="00D35380">
        <w:rPr>
          <w:rtl/>
          <w:lang w:val="en-GB"/>
        </w:rPr>
        <w:t>أن يوصي المجلس بعقد مؤتمر عالمي للاتصالات الراديوية مدته أربعة أسابيع في عام 2027، على أساس جدول الأعمال التالي:</w:t>
      </w:r>
    </w:p>
    <w:p w14:paraId="0DA412AB" w14:textId="7FDC48A6" w:rsidR="00D35380" w:rsidRDefault="00D35380" w:rsidP="00D35380">
      <w:pPr>
        <w:rPr>
          <w:lang w:val="en-GB"/>
        </w:rPr>
      </w:pPr>
      <w:r w:rsidRPr="00D35380">
        <w:rPr>
          <w:rtl/>
          <w:lang w:val="en-GB"/>
        </w:rPr>
        <w:t>1</w:t>
      </w:r>
      <w:r w:rsidRPr="00D35380">
        <w:rPr>
          <w:rtl/>
          <w:lang w:val="en-GB"/>
        </w:rPr>
        <w:tab/>
        <w:t>النظر في التدابير المناسبة واتخاذها فيما يتعلق بالموضوعات التالية، وذلك على أساس المقترحات المقدمة من الإدارات، مع مراعاة نتائج المؤتمر العالمي للاتصالات الراديوية لعام 2023 وتقرير الاجتماع التحضيري للمؤتمر، والمراعاة الواجبة لاحتياجات الخدمات القائمة والمستقبلية في نطاقات التردد:</w:t>
      </w:r>
    </w:p>
    <w:p w14:paraId="53817D82" w14:textId="15E83C74" w:rsidR="00D35380" w:rsidRDefault="00D35380" w:rsidP="00D35380">
      <w:pPr>
        <w:rPr>
          <w:rtl/>
          <w:lang w:val="en-GB" w:bidi="ar-EG"/>
        </w:rPr>
      </w:pPr>
      <w:r>
        <w:rPr>
          <w:rFonts w:hint="cs"/>
          <w:rtl/>
          <w:lang w:val="en-GB" w:bidi="ar-EG"/>
        </w:rPr>
        <w:t>...</w:t>
      </w:r>
    </w:p>
    <w:p w14:paraId="0DDB4E62" w14:textId="56C5083A" w:rsidR="00D35380" w:rsidRDefault="00D35380" w:rsidP="00D35380">
      <w:pPr>
        <w:rPr>
          <w:b/>
          <w:bCs/>
          <w:rtl/>
          <w:lang w:val="en-GB"/>
        </w:rPr>
      </w:pPr>
      <w:r>
        <w:rPr>
          <w:lang w:val="en-GB"/>
        </w:rPr>
        <w:t>X.1</w:t>
      </w:r>
      <w:r>
        <w:rPr>
          <w:rtl/>
          <w:lang w:val="en-GB"/>
        </w:rPr>
        <w:tab/>
      </w:r>
      <w:r w:rsidRPr="001230EA">
        <w:rPr>
          <w:rtl/>
          <w:lang w:val="en-GB"/>
        </w:rPr>
        <w:t xml:space="preserve">النظر في استخدام </w:t>
      </w:r>
      <w:r>
        <w:rPr>
          <w:rtl/>
        </w:rPr>
        <w:t>المحطات الأرضية المتحركة للطيران والمحطات الأرضية المتحركة</w:t>
      </w:r>
      <w:r>
        <w:rPr>
          <w:rFonts w:hint="cs"/>
          <w:rtl/>
        </w:rPr>
        <w:t xml:space="preserve"> </w:t>
      </w:r>
      <w:r>
        <w:rPr>
          <w:rtl/>
        </w:rPr>
        <w:t>البحرية</w:t>
      </w:r>
      <w:r w:rsidRPr="008752CE">
        <w:rPr>
          <w:rtl/>
          <w:lang w:bidi="ar-EG"/>
        </w:rPr>
        <w:t xml:space="preserve"> </w:t>
      </w:r>
      <w:r>
        <w:rPr>
          <w:rFonts w:hint="cs"/>
          <w:rtl/>
          <w:lang w:bidi="ar-EG"/>
        </w:rPr>
        <w:t xml:space="preserve">التي تتواصل </w:t>
      </w:r>
      <w:r w:rsidRPr="001230EA">
        <w:rPr>
          <w:rtl/>
          <w:lang w:val="en-GB"/>
        </w:rPr>
        <w:t xml:space="preserve">مع المحطات الفضائية غير المستقرة بالنسبة إلى الأرض في الخدمة الثابتة الساتلية (أرض-فضاء) </w:t>
      </w:r>
      <w:r>
        <w:rPr>
          <w:rFonts w:hint="cs"/>
          <w:rtl/>
          <w:lang w:val="en-GB"/>
        </w:rPr>
        <w:t>ل</w:t>
      </w:r>
      <w:r w:rsidRPr="008752CE">
        <w:rPr>
          <w:rtl/>
          <w:lang w:bidi="ar-EG"/>
        </w:rPr>
        <w:t>نطاق الترد</w:t>
      </w:r>
      <w:r>
        <w:rPr>
          <w:rFonts w:hint="cs"/>
          <w:rtl/>
          <w:lang w:bidi="ar-EG"/>
        </w:rPr>
        <w:t xml:space="preserve">د </w:t>
      </w:r>
      <w:r w:rsidRPr="00BD5D15">
        <w:t>GHz 13,25</w:t>
      </w:r>
      <w:r w:rsidRPr="00BD5D15">
        <w:noBreakHyphen/>
        <w:t>12,75</w:t>
      </w:r>
      <w:r w:rsidRPr="00BD5D15">
        <w:rPr>
          <w:rFonts w:hint="cs"/>
          <w:rtl/>
          <w:lang w:bidi="ar-EG"/>
        </w:rPr>
        <w:t xml:space="preserve"> </w:t>
      </w:r>
      <w:r w:rsidRPr="001230EA">
        <w:rPr>
          <w:rtl/>
          <w:lang w:val="en-GB"/>
        </w:rPr>
        <w:t>طبقاً للقرار</w:t>
      </w:r>
      <w:r>
        <w:rPr>
          <w:rFonts w:hint="cs"/>
          <w:rtl/>
          <w:lang w:val="en-GB"/>
        </w:rPr>
        <w:t xml:space="preserve"> </w:t>
      </w:r>
      <w:r w:rsidRPr="00D35380">
        <w:rPr>
          <w:b/>
          <w:bCs/>
          <w:lang w:val="en-GB"/>
        </w:rPr>
        <w:t>[NGSO ESIM 13 GHz] (WRC-23)</w:t>
      </w:r>
      <w:r w:rsidRPr="00AA58DD">
        <w:rPr>
          <w:rFonts w:hint="cs"/>
          <w:rtl/>
          <w:lang w:val="en-GB"/>
        </w:rPr>
        <w:t>،</w:t>
      </w:r>
    </w:p>
    <w:p w14:paraId="3498A0A1" w14:textId="2B5BE228" w:rsidR="00D35380" w:rsidRDefault="00D35380" w:rsidP="00D35380">
      <w:pPr>
        <w:rPr>
          <w:rtl/>
          <w:lang w:val="en-GB"/>
        </w:rPr>
      </w:pPr>
      <w:r w:rsidRPr="00D35380">
        <w:rPr>
          <w:rFonts w:hint="cs"/>
          <w:rtl/>
          <w:lang w:val="en-GB"/>
        </w:rPr>
        <w:t>...</w:t>
      </w:r>
    </w:p>
    <w:p w14:paraId="2F565741" w14:textId="77777777" w:rsidR="00D35380" w:rsidRDefault="00D35380" w:rsidP="00D35380">
      <w:pPr>
        <w:pStyle w:val="Call"/>
        <w:rPr>
          <w:rtl/>
          <w:lang w:val="en-GB"/>
        </w:rPr>
      </w:pPr>
      <w:r w:rsidRPr="003C44DD">
        <w:rPr>
          <w:rFonts w:hint="cs"/>
          <w:rtl/>
          <w:lang w:val="en-GB"/>
        </w:rPr>
        <w:t>يدعـو مجلس الاتحاد</w:t>
      </w:r>
    </w:p>
    <w:p w14:paraId="2C3DBBA8" w14:textId="1939A715" w:rsidR="00D35380" w:rsidRPr="00D35380" w:rsidRDefault="00D35380" w:rsidP="00D35380">
      <w:pPr>
        <w:rPr>
          <w:rtl/>
          <w:lang w:val="en-GB"/>
        </w:rPr>
      </w:pPr>
      <w:r>
        <w:rPr>
          <w:rFonts w:hint="cs"/>
          <w:rtl/>
          <w:lang w:val="en-GB"/>
        </w:rPr>
        <w:t>...</w:t>
      </w:r>
    </w:p>
    <w:p w14:paraId="21DA33E5" w14:textId="77777777" w:rsidR="00D35380" w:rsidRDefault="00D35380" w:rsidP="00D35380">
      <w:pPr>
        <w:pStyle w:val="Call"/>
        <w:rPr>
          <w:rtl/>
          <w:lang w:val="en-GB"/>
        </w:rPr>
      </w:pPr>
      <w:r w:rsidRPr="003C44DD">
        <w:rPr>
          <w:rFonts w:hint="cs"/>
          <w:rtl/>
          <w:lang w:val="en-GB"/>
        </w:rPr>
        <w:t>يكلف مدير مكتب الاتصالات الراديوية</w:t>
      </w:r>
    </w:p>
    <w:p w14:paraId="432FFF1E" w14:textId="31B97C24" w:rsidR="00D35380" w:rsidRPr="00D35380" w:rsidRDefault="00D35380" w:rsidP="00D35380">
      <w:pPr>
        <w:rPr>
          <w:rtl/>
          <w:lang w:val="en-GB"/>
        </w:rPr>
      </w:pPr>
      <w:r>
        <w:rPr>
          <w:rFonts w:hint="cs"/>
          <w:rtl/>
          <w:lang w:val="en-GB"/>
        </w:rPr>
        <w:t>...</w:t>
      </w:r>
    </w:p>
    <w:p w14:paraId="5707B38A" w14:textId="77777777" w:rsidR="00D35380" w:rsidRDefault="00D35380" w:rsidP="00D35380">
      <w:pPr>
        <w:pStyle w:val="Call"/>
        <w:rPr>
          <w:rtl/>
          <w:lang w:val="en-GB"/>
        </w:rPr>
      </w:pPr>
      <w:r w:rsidRPr="003C44DD">
        <w:rPr>
          <w:rFonts w:hint="cs"/>
          <w:rtl/>
          <w:lang w:val="en-GB"/>
        </w:rPr>
        <w:t>يكلف الأمين العام</w:t>
      </w:r>
    </w:p>
    <w:p w14:paraId="219554B0" w14:textId="1DE320E4" w:rsidR="00D35380" w:rsidRPr="00D35380" w:rsidRDefault="00D35380" w:rsidP="00D35380">
      <w:pPr>
        <w:rPr>
          <w:lang w:val="en-GB"/>
        </w:rPr>
      </w:pPr>
      <w:r>
        <w:rPr>
          <w:rFonts w:hint="cs"/>
          <w:rtl/>
          <w:lang w:val="en-GB"/>
        </w:rPr>
        <w:t>...</w:t>
      </w:r>
    </w:p>
    <w:p w14:paraId="5641F7DE" w14:textId="77777777" w:rsidR="008832E7" w:rsidRDefault="008832E7">
      <w:pPr>
        <w:pStyle w:val="Reasons"/>
      </w:pPr>
    </w:p>
    <w:p w14:paraId="3BCEF630" w14:textId="2727B1CE" w:rsidR="008832E7" w:rsidRDefault="009C5157">
      <w:pPr>
        <w:pStyle w:val="Proposal"/>
      </w:pPr>
      <w:r>
        <w:lastRenderedPageBreak/>
        <w:t>ADD</w:t>
      </w:r>
      <w:r>
        <w:tab/>
      </w:r>
      <w:r w:rsidR="008B544A">
        <w:t>NIG/</w:t>
      </w:r>
      <w:r>
        <w:t>PNG/TON/164/2</w:t>
      </w:r>
    </w:p>
    <w:p w14:paraId="09C1FBD1" w14:textId="1D8AE76B" w:rsidR="00D35380" w:rsidRDefault="00D35380" w:rsidP="00D35380">
      <w:pPr>
        <w:pStyle w:val="ResNo"/>
      </w:pPr>
      <w:r w:rsidRPr="00BD5D15">
        <w:rPr>
          <w:rFonts w:ascii="Times New Roman" w:hint="cs"/>
          <w:rtl/>
        </w:rPr>
        <w:t xml:space="preserve">مشروع القرار الجديد </w:t>
      </w:r>
      <w:r w:rsidRPr="00B72560">
        <w:t>[NGSO ESIM 13 GHz</w:t>
      </w:r>
      <w:r w:rsidRPr="00BD5D15">
        <w:t>] (WRC-23)</w:t>
      </w:r>
    </w:p>
    <w:p w14:paraId="71E6428F" w14:textId="77777777" w:rsidR="00D35380" w:rsidRPr="00BD5D15" w:rsidRDefault="00D35380" w:rsidP="00D35380">
      <w:pPr>
        <w:pStyle w:val="Restitle"/>
        <w:rPr>
          <w:rtl/>
          <w:lang w:bidi="ar-EG"/>
        </w:rPr>
      </w:pPr>
      <w:r w:rsidRPr="000960A3">
        <w:rPr>
          <w:rtl/>
          <w:lang w:val="en-GB"/>
        </w:rPr>
        <w:t>دراسة إمكانية استخدام</w:t>
      </w:r>
      <w:r w:rsidRPr="000960A3">
        <w:rPr>
          <w:rtl/>
        </w:rPr>
        <w:t xml:space="preserve"> </w:t>
      </w:r>
      <w:r w:rsidRPr="000960A3">
        <w:rPr>
          <w:rtl/>
          <w:lang w:val="en-GB"/>
        </w:rPr>
        <w:t>المحطات الأرضية المتحركة للطيران والمحطات الأرضية المتحركة البحرية التي تتواصل مع المحطات الفضائية غير المستقرة بالنسبة إلى الأرض في الخدمة الثابتة الساتلية (أرض-فضاء) لنطاق التردد</w:t>
      </w:r>
      <w:r>
        <w:rPr>
          <w:rFonts w:hint="cs"/>
          <w:rtl/>
          <w:lang w:val="en-GB"/>
        </w:rPr>
        <w:t xml:space="preserve"> </w:t>
      </w:r>
      <w:r>
        <w:t>GHz 13,25</w:t>
      </w:r>
      <w:r>
        <w:noBreakHyphen/>
        <w:t>12,75</w:t>
      </w:r>
    </w:p>
    <w:p w14:paraId="29946CA6" w14:textId="77777777" w:rsidR="00D35380" w:rsidRDefault="00D35380" w:rsidP="00D35380">
      <w:pPr>
        <w:pStyle w:val="Normalaftertitle"/>
        <w:rPr>
          <w:rtl/>
        </w:rPr>
      </w:pPr>
      <w:r>
        <w:rPr>
          <w:rFonts w:hint="cs"/>
          <w:rtl/>
        </w:rPr>
        <w:t>إن المؤتمر العالمي للاتصالات الراديوية (دبي، 2023)،</w:t>
      </w:r>
    </w:p>
    <w:p w14:paraId="3E18EA28" w14:textId="77777777" w:rsidR="00D35380" w:rsidRDefault="00D35380" w:rsidP="00D35380">
      <w:pPr>
        <w:pStyle w:val="Call"/>
        <w:rPr>
          <w:rtl/>
        </w:rPr>
      </w:pPr>
      <w:r>
        <w:rPr>
          <w:rFonts w:hint="cs"/>
          <w:rtl/>
        </w:rPr>
        <w:t>إذ يضع في اعتباره</w:t>
      </w:r>
    </w:p>
    <w:p w14:paraId="5CDBCFCE" w14:textId="77777777" w:rsidR="00D35380" w:rsidRDefault="00D35380" w:rsidP="00D35380">
      <w:pPr>
        <w:rPr>
          <w:rtl/>
          <w:lang w:val="en-GB"/>
        </w:rPr>
      </w:pPr>
      <w:r>
        <w:rPr>
          <w:rFonts w:hint="eastAsia"/>
          <w:rtl/>
          <w:lang w:val="en-GB"/>
        </w:rPr>
        <w:t> </w:t>
      </w:r>
      <w:r w:rsidRPr="00983B0D">
        <w:rPr>
          <w:rFonts w:hint="cs"/>
          <w:i/>
          <w:iCs/>
          <w:rtl/>
          <w:lang w:val="en-GB"/>
        </w:rPr>
        <w:t>أ</w:t>
      </w:r>
      <w:r w:rsidRPr="00983B0D">
        <w:rPr>
          <w:rFonts w:hint="eastAsia"/>
          <w:i/>
          <w:iCs/>
          <w:rtl/>
          <w:lang w:val="en-GB"/>
        </w:rPr>
        <w:t> </w:t>
      </w:r>
      <w:r w:rsidRPr="00983B0D">
        <w:rPr>
          <w:rFonts w:hint="cs"/>
          <w:i/>
          <w:iCs/>
          <w:rtl/>
          <w:lang w:val="en-GB"/>
        </w:rPr>
        <w:t>)</w:t>
      </w:r>
      <w:r>
        <w:rPr>
          <w:rtl/>
          <w:lang w:val="en-GB"/>
        </w:rPr>
        <w:tab/>
      </w:r>
      <w:r w:rsidRPr="00983B0D">
        <w:rPr>
          <w:rtl/>
          <w:lang w:val="en-GB"/>
        </w:rPr>
        <w:t xml:space="preserve">أن نطاق التردد </w:t>
      </w:r>
      <w:r w:rsidRPr="00983B0D">
        <w:t>GHz 13,25</w:t>
      </w:r>
      <w:r w:rsidRPr="00983B0D">
        <w:noBreakHyphen/>
        <w:t>12,75</w:t>
      </w:r>
      <w:r w:rsidRPr="00983B0D">
        <w:rPr>
          <w:rtl/>
          <w:lang w:val="en-GB"/>
        </w:rPr>
        <w:t xml:space="preserve"> موزع حالياً على أساس أولي</w:t>
      </w:r>
      <w:r>
        <w:rPr>
          <w:rFonts w:hint="cs"/>
          <w:rtl/>
          <w:lang w:val="en-GB"/>
        </w:rPr>
        <w:t xml:space="preserve"> </w:t>
      </w:r>
      <w:r w:rsidRPr="00CA7391">
        <w:rPr>
          <w:rtl/>
          <w:lang w:val="en-GB"/>
        </w:rPr>
        <w:t>للخدمة الثابتة</w:t>
      </w:r>
      <w:r>
        <w:rPr>
          <w:rFonts w:hint="cs"/>
          <w:rtl/>
          <w:lang w:val="en-GB"/>
        </w:rPr>
        <w:t xml:space="preserve"> </w:t>
      </w:r>
      <w:r w:rsidRPr="00CA7391">
        <w:rPr>
          <w:rtl/>
          <w:lang w:val="en-GB"/>
        </w:rPr>
        <w:t>والخدمة المتنقلة</w:t>
      </w:r>
      <w:r>
        <w:rPr>
          <w:rFonts w:hint="cs"/>
          <w:rtl/>
          <w:lang w:val="en-GB"/>
        </w:rPr>
        <w:t xml:space="preserve"> وا</w:t>
      </w:r>
      <w:r w:rsidRPr="00983B0D">
        <w:rPr>
          <w:rtl/>
          <w:lang w:val="en-GB"/>
        </w:rPr>
        <w:t>لخدم</w:t>
      </w:r>
      <w:r w:rsidRPr="00983B0D">
        <w:rPr>
          <w:rFonts w:hint="cs"/>
          <w:rtl/>
          <w:lang w:val="en-GB"/>
        </w:rPr>
        <w:t>ة</w:t>
      </w:r>
      <w:r w:rsidRPr="00983B0D">
        <w:rPr>
          <w:rtl/>
          <w:lang w:val="en-GB"/>
        </w:rPr>
        <w:t xml:space="preserve"> الثابتة </w:t>
      </w:r>
      <w:r w:rsidRPr="00983B0D">
        <w:rPr>
          <w:rFonts w:hint="cs"/>
          <w:rtl/>
          <w:lang w:val="en-GB"/>
        </w:rPr>
        <w:t>الساتلية</w:t>
      </w:r>
      <w:r>
        <w:rPr>
          <w:rFonts w:hint="cs"/>
          <w:rtl/>
          <w:lang w:val="en-GB"/>
        </w:rPr>
        <w:t xml:space="preserve"> </w:t>
      </w:r>
      <w:r>
        <w:t>(FSS)</w:t>
      </w:r>
      <w:r w:rsidRPr="00983B0D">
        <w:rPr>
          <w:rtl/>
          <w:lang w:val="en-GB"/>
        </w:rPr>
        <w:t xml:space="preserve"> (أرض</w:t>
      </w:r>
      <w:r w:rsidRPr="00983B0D">
        <w:rPr>
          <w:rFonts w:hint="cs"/>
          <w:rtl/>
          <w:lang w:val="en-GB"/>
        </w:rPr>
        <w:t>-</w:t>
      </w:r>
      <w:r w:rsidRPr="00983B0D">
        <w:rPr>
          <w:rtl/>
          <w:lang w:val="en-GB"/>
        </w:rPr>
        <w:t>فضاء)</w:t>
      </w:r>
      <w:r w:rsidRPr="00983B0D">
        <w:rPr>
          <w:rFonts w:hint="cs"/>
          <w:rtl/>
          <w:lang w:val="en-GB"/>
        </w:rPr>
        <w:t>،</w:t>
      </w:r>
      <w:r w:rsidRPr="00983B0D">
        <w:rPr>
          <w:rtl/>
          <w:lang w:val="en-GB"/>
        </w:rPr>
        <w:t xml:space="preserve"> </w:t>
      </w:r>
      <w:r w:rsidRPr="00CA7391">
        <w:rPr>
          <w:rtl/>
          <w:lang w:val="en-GB"/>
        </w:rPr>
        <w:t>وعلى أساس ثانوي لخدمة الأبحاث الفضائية (</w:t>
      </w:r>
      <w:r w:rsidRPr="00CA7391">
        <w:rPr>
          <w:lang w:val="en-GB"/>
        </w:rPr>
        <w:t>SRS</w:t>
      </w:r>
      <w:r w:rsidRPr="00CA7391">
        <w:rPr>
          <w:rtl/>
          <w:lang w:val="en-GB"/>
        </w:rPr>
        <w:t>) (فضاء سحيق) (فضاء-أرض)</w:t>
      </w:r>
      <w:r>
        <w:rPr>
          <w:rFonts w:hint="cs"/>
          <w:rtl/>
          <w:lang w:val="en-GB"/>
        </w:rPr>
        <w:t xml:space="preserve"> على الصعيد العالمي؛ </w:t>
      </w:r>
    </w:p>
    <w:p w14:paraId="77BFF26A" w14:textId="77777777" w:rsidR="00D35380" w:rsidRPr="00EA6C8F" w:rsidRDefault="00D35380" w:rsidP="00D35380">
      <w:pPr>
        <w:rPr>
          <w:rtl/>
          <w:lang w:val="en-GB"/>
        </w:rPr>
      </w:pPr>
      <w:r w:rsidRPr="00983B0D">
        <w:rPr>
          <w:rFonts w:hint="cs"/>
          <w:i/>
          <w:iCs/>
          <w:rtl/>
          <w:lang w:val="en-GB"/>
        </w:rPr>
        <w:t>ب)</w:t>
      </w:r>
      <w:r w:rsidRPr="00983B0D">
        <w:rPr>
          <w:i/>
          <w:iCs/>
          <w:rtl/>
          <w:lang w:val="en-GB"/>
        </w:rPr>
        <w:tab/>
      </w:r>
      <w:r w:rsidRPr="00983B0D">
        <w:rPr>
          <w:rtl/>
          <w:lang w:val="en-GB"/>
        </w:rPr>
        <w:t xml:space="preserve">أن نطاق التردد </w:t>
      </w:r>
      <w:r w:rsidRPr="00983B0D">
        <w:t>GHz 13,25</w:t>
      </w:r>
      <w:r w:rsidRPr="00983B0D">
        <w:noBreakHyphen/>
        <w:t>12,75</w:t>
      </w:r>
      <w:r w:rsidRPr="00983B0D">
        <w:rPr>
          <w:rtl/>
          <w:lang w:val="en-GB"/>
        </w:rPr>
        <w:t xml:space="preserve"> </w:t>
      </w:r>
      <w:r w:rsidRPr="00983B0D">
        <w:rPr>
          <w:rFonts w:hint="cs"/>
          <w:rtl/>
          <w:lang w:val="en-GB"/>
        </w:rPr>
        <w:t>ت</w:t>
      </w:r>
      <w:r w:rsidRPr="00983B0D">
        <w:rPr>
          <w:rtl/>
          <w:lang w:val="en-GB"/>
        </w:rPr>
        <w:t xml:space="preserve">ستخدمه </w:t>
      </w:r>
      <w:r>
        <w:rPr>
          <w:rFonts w:hint="cs"/>
          <w:rtl/>
          <w:lang w:val="en-GB"/>
        </w:rPr>
        <w:t>المحطات الفضائية لل</w:t>
      </w:r>
      <w:r w:rsidRPr="00983B0D">
        <w:rPr>
          <w:rtl/>
          <w:lang w:val="en-GB"/>
        </w:rPr>
        <w:t>س</w:t>
      </w:r>
      <w:r w:rsidRPr="00983B0D">
        <w:rPr>
          <w:rFonts w:hint="cs"/>
          <w:rtl/>
          <w:lang w:val="en-GB"/>
        </w:rPr>
        <w:t>و</w:t>
      </w:r>
      <w:r w:rsidRPr="00983B0D">
        <w:rPr>
          <w:rtl/>
          <w:lang w:val="en-GB"/>
        </w:rPr>
        <w:t>اتل المستقر</w:t>
      </w:r>
      <w:r w:rsidRPr="00983B0D">
        <w:rPr>
          <w:rFonts w:hint="cs"/>
          <w:rtl/>
          <w:lang w:val="en-GB"/>
        </w:rPr>
        <w:t>ة</w:t>
      </w:r>
      <w:r w:rsidRPr="00983B0D">
        <w:rPr>
          <w:rtl/>
          <w:lang w:val="en-GB"/>
        </w:rPr>
        <w:t xml:space="preserve"> بالنسبة إلى الأرض</w:t>
      </w:r>
      <w:r w:rsidRPr="00983B0D">
        <w:rPr>
          <w:rFonts w:hint="cs"/>
          <w:rtl/>
          <w:lang w:val="en-GB"/>
        </w:rPr>
        <w:t xml:space="preserve"> (</w:t>
      </w:r>
      <w:r w:rsidRPr="00983B0D">
        <w:t>GSO</w:t>
      </w:r>
      <w:r w:rsidRPr="00983B0D">
        <w:rPr>
          <w:rFonts w:hint="cs"/>
          <w:rtl/>
          <w:lang w:val="en-GB"/>
        </w:rPr>
        <w:t>) في</w:t>
      </w:r>
      <w:r w:rsidRPr="00983B0D">
        <w:rPr>
          <w:rFonts w:hint="eastAsia"/>
          <w:rtl/>
          <w:lang w:val="en-GB"/>
        </w:rPr>
        <w:t> </w:t>
      </w:r>
      <w:r w:rsidRPr="00983B0D">
        <w:rPr>
          <w:rFonts w:hint="cs"/>
          <w:rtl/>
          <w:lang w:val="en-GB"/>
        </w:rPr>
        <w:t>الخدمة الثابتة الساتلية (</w:t>
      </w:r>
      <w:r w:rsidRPr="00983B0D">
        <w:t>FSS</w:t>
      </w:r>
      <w:r w:rsidRPr="00983B0D">
        <w:rPr>
          <w:rFonts w:hint="cs"/>
          <w:rtl/>
          <w:lang w:val="en-GB"/>
        </w:rPr>
        <w:t>)</w:t>
      </w:r>
      <w:r w:rsidRPr="00983B0D">
        <w:rPr>
          <w:rtl/>
          <w:lang w:val="en-GB"/>
        </w:rPr>
        <w:t xml:space="preserve"> وفقاً لأحكام التذييل</w:t>
      </w:r>
      <w:r w:rsidRPr="00983B0D">
        <w:rPr>
          <w:rFonts w:hint="cs"/>
          <w:rtl/>
          <w:lang w:val="en-GB"/>
        </w:rPr>
        <w:t xml:space="preserve"> </w:t>
      </w:r>
      <w:r w:rsidRPr="00983B0D">
        <w:rPr>
          <w:b/>
          <w:bCs/>
        </w:rPr>
        <w:t>30B</w:t>
      </w:r>
      <w:r w:rsidRPr="00983B0D">
        <w:rPr>
          <w:rFonts w:hint="cs"/>
          <w:rtl/>
          <w:lang w:val="en-GB"/>
        </w:rPr>
        <w:t xml:space="preserve"> </w:t>
      </w:r>
      <w:r w:rsidRPr="00983B0D">
        <w:rPr>
          <w:rtl/>
          <w:lang w:val="en-GB"/>
        </w:rPr>
        <w:t>(</w:t>
      </w:r>
      <w:r w:rsidRPr="00983B0D">
        <w:rPr>
          <w:rFonts w:hint="cs"/>
          <w:rtl/>
          <w:lang w:val="en-GB" w:bidi="ar-SY"/>
        </w:rPr>
        <w:t>ال</w:t>
      </w:r>
      <w:r w:rsidRPr="00983B0D">
        <w:rPr>
          <w:rtl/>
          <w:lang w:val="en-GB"/>
        </w:rPr>
        <w:t xml:space="preserve">رقم </w:t>
      </w:r>
      <w:r w:rsidRPr="00BD5D15">
        <w:rPr>
          <w:rFonts w:hint="cs"/>
          <w:b/>
          <w:bCs/>
          <w:rtl/>
          <w:lang w:val="en-GB"/>
        </w:rPr>
        <w:t>441.5</w:t>
      </w:r>
      <w:r w:rsidRPr="00983B0D">
        <w:rPr>
          <w:rtl/>
          <w:lang w:val="en-GB"/>
        </w:rPr>
        <w:t xml:space="preserve">) وأن هناك العديد </w:t>
      </w:r>
      <w:r w:rsidRPr="00CA7391">
        <w:rPr>
          <w:rtl/>
          <w:lang w:val="en-GB"/>
        </w:rPr>
        <w:t>من شبكات المحطات الفضائية المستقرة بالنسبة إلى الأرض في الخدمة الثابتة الساتلية</w:t>
      </w:r>
      <w:r w:rsidRPr="00CA7391">
        <w:rPr>
          <w:rFonts w:hint="cs"/>
          <w:rtl/>
          <w:lang w:val="en-GB"/>
        </w:rPr>
        <w:t xml:space="preserve"> </w:t>
      </w:r>
      <w:r w:rsidRPr="00983B0D">
        <w:rPr>
          <w:rFonts w:hint="cs"/>
          <w:rtl/>
          <w:lang w:val="en-GB"/>
        </w:rPr>
        <w:t>تعمل</w:t>
      </w:r>
      <w:r w:rsidRPr="00983B0D">
        <w:rPr>
          <w:rtl/>
          <w:lang w:val="en-GB"/>
        </w:rPr>
        <w:t xml:space="preserve"> في نطاق التردد هذا؛</w:t>
      </w:r>
    </w:p>
    <w:p w14:paraId="19C3D1E2" w14:textId="77777777" w:rsidR="00D35380" w:rsidRPr="00BD5D15" w:rsidRDefault="00D35380" w:rsidP="00D35380">
      <w:pPr>
        <w:rPr>
          <w:rtl/>
          <w:lang w:val="en-GB"/>
        </w:rPr>
      </w:pPr>
      <w:r w:rsidRPr="00983B0D">
        <w:rPr>
          <w:rFonts w:hint="cs"/>
          <w:i/>
          <w:iCs/>
          <w:rtl/>
          <w:lang w:val="en-GB"/>
        </w:rPr>
        <w:t>ج)</w:t>
      </w:r>
      <w:r w:rsidRPr="00983B0D">
        <w:rPr>
          <w:i/>
          <w:iCs/>
          <w:rtl/>
          <w:lang w:val="en-GB"/>
        </w:rPr>
        <w:tab/>
      </w:r>
      <w:r w:rsidRPr="00F51899">
        <w:rPr>
          <w:rtl/>
          <w:lang w:val="en-GB"/>
        </w:rPr>
        <w:t xml:space="preserve">أن نطاق التردد </w:t>
      </w:r>
      <w:r w:rsidRPr="00F51899">
        <w:rPr>
          <w:lang w:val="en-GB"/>
        </w:rPr>
        <w:t>GHz 13,25-12,75</w:t>
      </w:r>
      <w:r w:rsidRPr="00F51899">
        <w:rPr>
          <w:rtl/>
          <w:lang w:val="en-GB"/>
        </w:rPr>
        <w:t xml:space="preserve"> </w:t>
      </w:r>
      <w:r w:rsidRPr="00983B0D">
        <w:rPr>
          <w:rFonts w:hint="cs"/>
          <w:rtl/>
          <w:lang w:val="en-GB"/>
        </w:rPr>
        <w:t>ت</w:t>
      </w:r>
      <w:r w:rsidRPr="00983B0D">
        <w:rPr>
          <w:rtl/>
          <w:lang w:val="en-GB"/>
        </w:rPr>
        <w:t xml:space="preserve">ستخدمه </w:t>
      </w:r>
      <w:r w:rsidRPr="00F51899">
        <w:rPr>
          <w:rtl/>
          <w:lang w:val="en-GB"/>
        </w:rPr>
        <w:t>الأنظمة غير المستقرة بالنسبة إلى الأرض في الخدمة الثابتة الساتلية طبقاً للرقم</w:t>
      </w:r>
      <w:r w:rsidRPr="00983B0D">
        <w:rPr>
          <w:rtl/>
          <w:lang w:val="en-GB"/>
        </w:rPr>
        <w:t xml:space="preserve"> </w:t>
      </w:r>
      <w:r w:rsidRPr="00BD5D15">
        <w:rPr>
          <w:rFonts w:hint="cs"/>
          <w:b/>
          <w:bCs/>
          <w:rtl/>
          <w:lang w:val="en-GB"/>
        </w:rPr>
        <w:t>441.5</w:t>
      </w:r>
      <w:r w:rsidRPr="007E5CB8">
        <w:rPr>
          <w:rFonts w:hint="cs"/>
          <w:rtl/>
          <w:lang w:val="en-GB"/>
        </w:rPr>
        <w:t>؛</w:t>
      </w:r>
    </w:p>
    <w:p w14:paraId="08578ADF" w14:textId="77777777" w:rsidR="00D35380" w:rsidRPr="00BD5D15" w:rsidRDefault="00D35380" w:rsidP="00D35380">
      <w:pPr>
        <w:rPr>
          <w:rtl/>
          <w:lang w:val="en-GB"/>
        </w:rPr>
      </w:pPr>
      <w:r>
        <w:rPr>
          <w:rFonts w:hint="cs"/>
          <w:i/>
          <w:iCs/>
          <w:rtl/>
          <w:lang w:val="en-GB"/>
        </w:rPr>
        <w:t>د )</w:t>
      </w:r>
      <w:r>
        <w:rPr>
          <w:i/>
          <w:iCs/>
          <w:rtl/>
          <w:lang w:val="en-GB"/>
        </w:rPr>
        <w:tab/>
      </w:r>
      <w:r w:rsidRPr="007E5CB8">
        <w:rPr>
          <w:rtl/>
          <w:lang w:val="en-GB"/>
        </w:rPr>
        <w:t>أن الحاجة المتزايدة لتوصيلية الطيران و</w:t>
      </w:r>
      <w:r>
        <w:rPr>
          <w:rFonts w:hint="cs"/>
          <w:rtl/>
          <w:lang w:val="en-GB"/>
        </w:rPr>
        <w:t xml:space="preserve">التوصيلية </w:t>
      </w:r>
      <w:r w:rsidRPr="007E5CB8">
        <w:rPr>
          <w:rtl/>
          <w:lang w:val="en-GB"/>
        </w:rPr>
        <w:t>البحري</w:t>
      </w:r>
      <w:r>
        <w:rPr>
          <w:rFonts w:hint="cs"/>
          <w:rtl/>
          <w:lang w:val="en-GB"/>
        </w:rPr>
        <w:t>ة</w:t>
      </w:r>
      <w:r w:rsidRPr="007E5CB8">
        <w:rPr>
          <w:rtl/>
          <w:lang w:val="en-GB"/>
        </w:rPr>
        <w:t xml:space="preserve"> يمكن تلبيتها جزئياً من خلال السماح للمحطات الأرضية المتحركة للطيران</w:t>
      </w:r>
      <w:r>
        <w:rPr>
          <w:rFonts w:hint="cs"/>
          <w:rtl/>
          <w:lang w:val="en-GB"/>
        </w:rPr>
        <w:t xml:space="preserve"> </w:t>
      </w:r>
      <w:r>
        <w:t>(ESIM</w:t>
      </w:r>
      <w:r>
        <w:noBreakHyphen/>
        <w:t>A)</w:t>
      </w:r>
      <w:r w:rsidRPr="007E5CB8">
        <w:rPr>
          <w:rtl/>
          <w:lang w:val="en-GB"/>
        </w:rPr>
        <w:t xml:space="preserve"> والمحطات الأرضية</w:t>
      </w:r>
      <w:r>
        <w:rPr>
          <w:rFonts w:hint="cs"/>
          <w:rtl/>
          <w:lang w:val="en-GB"/>
        </w:rPr>
        <w:t xml:space="preserve"> </w:t>
      </w:r>
      <w:r w:rsidRPr="007E5CB8">
        <w:rPr>
          <w:rtl/>
          <w:lang w:val="en-GB"/>
        </w:rPr>
        <w:t>المتحركة البحرية</w:t>
      </w:r>
      <w:r>
        <w:rPr>
          <w:rFonts w:hint="cs"/>
          <w:rtl/>
          <w:lang w:val="en-GB"/>
        </w:rPr>
        <w:t xml:space="preserve"> </w:t>
      </w:r>
      <w:r>
        <w:t>(ESIM</w:t>
      </w:r>
      <w:r>
        <w:noBreakHyphen/>
        <w:t>M)</w:t>
      </w:r>
      <w:r w:rsidRPr="007E5CB8">
        <w:rPr>
          <w:rtl/>
          <w:lang w:val="en-GB"/>
        </w:rPr>
        <w:t xml:space="preserve"> با</w:t>
      </w:r>
      <w:r>
        <w:rPr>
          <w:rFonts w:hint="cs"/>
          <w:rtl/>
          <w:lang w:val="en-GB"/>
        </w:rPr>
        <w:t>لتواصل مع</w:t>
      </w:r>
      <w:r w:rsidRPr="007E5CB8">
        <w:rPr>
          <w:rtl/>
          <w:lang w:val="en-GB"/>
        </w:rPr>
        <w:t xml:space="preserve"> المحطات الفضائية غير المستقرة بالنسبة إلى الأرض في الخدمة الثابتة الساتلية </w:t>
      </w:r>
      <w:r>
        <w:rPr>
          <w:rFonts w:hint="cs"/>
          <w:rtl/>
          <w:lang w:val="en-GB"/>
        </w:rPr>
        <w:t>في</w:t>
      </w:r>
      <w:r w:rsidRPr="007E5CB8">
        <w:rPr>
          <w:rtl/>
          <w:lang w:val="en-GB"/>
        </w:rPr>
        <w:t xml:space="preserve"> </w:t>
      </w:r>
      <w:r>
        <w:rPr>
          <w:rFonts w:hint="cs"/>
          <w:rtl/>
          <w:lang w:val="en-GB"/>
        </w:rPr>
        <w:t>ن</w:t>
      </w:r>
      <w:r w:rsidRPr="00F51899">
        <w:rPr>
          <w:rtl/>
          <w:lang w:val="en-GB"/>
        </w:rPr>
        <w:t xml:space="preserve">طاق التردد </w:t>
      </w:r>
      <w:r w:rsidRPr="00F51899">
        <w:rPr>
          <w:lang w:val="en-GB"/>
        </w:rPr>
        <w:t>GHz 13,25-12,75</w:t>
      </w:r>
      <w:r w:rsidRPr="00F51899">
        <w:rPr>
          <w:rtl/>
          <w:lang w:val="en-GB"/>
        </w:rPr>
        <w:t xml:space="preserve"> </w:t>
      </w:r>
      <w:r w:rsidRPr="007E5CB8">
        <w:rPr>
          <w:rtl/>
          <w:lang w:val="en-GB"/>
        </w:rPr>
        <w:t>(أرض-فضاء)؛</w:t>
      </w:r>
    </w:p>
    <w:p w14:paraId="2177303B" w14:textId="77777777" w:rsidR="00D35380" w:rsidRDefault="00D35380" w:rsidP="00D35380">
      <w:pPr>
        <w:rPr>
          <w:rtl/>
          <w:lang w:val="en-GB" w:bidi="ar-SY"/>
        </w:rPr>
      </w:pPr>
      <w:r>
        <w:rPr>
          <w:rFonts w:hint="cs"/>
          <w:i/>
          <w:iCs/>
          <w:rtl/>
          <w:lang w:val="en-GB"/>
        </w:rPr>
        <w:t>هـ )</w:t>
      </w:r>
      <w:r>
        <w:rPr>
          <w:i/>
          <w:iCs/>
          <w:rtl/>
          <w:lang w:val="en-GB"/>
        </w:rPr>
        <w:tab/>
      </w:r>
      <w:r w:rsidRPr="00983B0D">
        <w:rPr>
          <w:rFonts w:hint="cs"/>
          <w:rtl/>
          <w:lang w:val="en-GB" w:bidi="ar-SY"/>
        </w:rPr>
        <w:t xml:space="preserve">أن </w:t>
      </w:r>
      <w:r>
        <w:rPr>
          <w:rFonts w:hint="cs"/>
          <w:rtl/>
          <w:lang w:val="en-GB" w:bidi="ar-SY"/>
        </w:rPr>
        <w:t>الإنجازات</w:t>
      </w:r>
      <w:r w:rsidRPr="00983B0D">
        <w:rPr>
          <w:rFonts w:hint="cs"/>
          <w:rtl/>
          <w:lang w:val="en-GB" w:bidi="ar-SY"/>
        </w:rPr>
        <w:t xml:space="preserve"> التكنولوجي</w:t>
      </w:r>
      <w:r>
        <w:rPr>
          <w:rFonts w:hint="cs"/>
          <w:rtl/>
          <w:lang w:val="en-GB" w:bidi="ar-SY"/>
        </w:rPr>
        <w:t>ة</w:t>
      </w:r>
      <w:r w:rsidRPr="00983B0D">
        <w:rPr>
          <w:rFonts w:hint="cs"/>
          <w:rtl/>
          <w:lang w:val="en-GB"/>
        </w:rPr>
        <w:t>،</w:t>
      </w:r>
      <w:r w:rsidRPr="00983B0D">
        <w:rPr>
          <w:rFonts w:hint="cs"/>
          <w:rtl/>
          <w:lang w:val="en-GB" w:bidi="ar-SY"/>
        </w:rPr>
        <w:t xml:space="preserve"> بما في ذلك استخدام تقنيات التتبع، </w:t>
      </w:r>
      <w:r>
        <w:rPr>
          <w:rFonts w:hint="cs"/>
          <w:rtl/>
          <w:lang w:val="en-GB" w:bidi="ar-SY"/>
        </w:rPr>
        <w:t>ت</w:t>
      </w:r>
      <w:r w:rsidRPr="00983B0D">
        <w:rPr>
          <w:rFonts w:hint="cs"/>
          <w:rtl/>
          <w:lang w:val="en-GB" w:bidi="ar-SY"/>
        </w:rPr>
        <w:t xml:space="preserve">سمح للمحطات </w:t>
      </w:r>
      <w:r w:rsidRPr="007E5CB8">
        <w:rPr>
          <w:rtl/>
          <w:lang w:val="en-GB" w:bidi="ar-SY"/>
        </w:rPr>
        <w:t>الأرضية المتحركة للطيران والمحطات الأرضية المتحركة البحرية</w:t>
      </w:r>
      <w:r w:rsidRPr="007E5CB8">
        <w:rPr>
          <w:rFonts w:hint="cs"/>
          <w:rtl/>
          <w:lang w:val="en-GB" w:bidi="ar-SY"/>
        </w:rPr>
        <w:t xml:space="preserve"> </w:t>
      </w:r>
      <w:r w:rsidRPr="00983B0D">
        <w:rPr>
          <w:rFonts w:hint="cs"/>
          <w:rtl/>
          <w:lang w:val="en-GB" w:bidi="ar-SY"/>
        </w:rPr>
        <w:t>بالعمل في إطار خصائص المحطات الأرضية الثابتة في الخدمة الثابتة الساتلية؛</w:t>
      </w:r>
    </w:p>
    <w:p w14:paraId="74820925" w14:textId="7AB94E03" w:rsidR="00D35380" w:rsidRDefault="00D35380" w:rsidP="00D35380">
      <w:pPr>
        <w:rPr>
          <w:rtl/>
          <w:lang w:val="en-GB" w:bidi="ar-SY"/>
        </w:rPr>
      </w:pPr>
      <w:r w:rsidRPr="00983B0D">
        <w:rPr>
          <w:rFonts w:hint="cs"/>
          <w:i/>
          <w:iCs/>
          <w:rtl/>
          <w:lang w:val="en-GB" w:bidi="ar-SY"/>
        </w:rPr>
        <w:t>و</w:t>
      </w:r>
      <w:r w:rsidRPr="00983B0D">
        <w:rPr>
          <w:rFonts w:hint="eastAsia"/>
          <w:i/>
          <w:iCs/>
          <w:rtl/>
          <w:lang w:val="en-GB" w:bidi="ar-SY"/>
        </w:rPr>
        <w:t> </w:t>
      </w:r>
      <w:r w:rsidRPr="00983B0D">
        <w:rPr>
          <w:rFonts w:hint="cs"/>
          <w:i/>
          <w:iCs/>
          <w:rtl/>
          <w:lang w:val="en-GB" w:bidi="ar-SY"/>
        </w:rPr>
        <w:t>)</w:t>
      </w:r>
      <w:r>
        <w:rPr>
          <w:rtl/>
          <w:lang w:val="en-GB" w:bidi="ar-SY"/>
        </w:rPr>
        <w:tab/>
      </w:r>
      <w:r w:rsidRPr="007E5CB8">
        <w:rPr>
          <w:rtl/>
          <w:lang w:val="en-GB" w:bidi="ar-SY"/>
        </w:rPr>
        <w:t xml:space="preserve">أن استخدام نطاق التردد </w:t>
      </w:r>
      <w:r w:rsidRPr="007E5CB8">
        <w:rPr>
          <w:lang w:val="en-GB" w:bidi="ar-SY"/>
        </w:rPr>
        <w:t>GHz 13,25-12,75</w:t>
      </w:r>
      <w:r w:rsidRPr="007E5CB8">
        <w:rPr>
          <w:rtl/>
          <w:lang w:val="en-GB" w:bidi="ar-SY"/>
        </w:rPr>
        <w:t xml:space="preserve"> </w:t>
      </w:r>
      <w:r>
        <w:rPr>
          <w:rFonts w:hint="cs"/>
          <w:rtl/>
          <w:lang w:val="en-GB" w:bidi="ar-SY"/>
        </w:rPr>
        <w:t>للربط</w:t>
      </w:r>
      <w:r w:rsidRPr="007E5CB8">
        <w:rPr>
          <w:rtl/>
          <w:lang w:val="en-GB" w:bidi="ar-SY"/>
        </w:rPr>
        <w:t xml:space="preserve"> </w:t>
      </w:r>
      <w:r>
        <w:rPr>
          <w:rFonts w:hint="cs"/>
          <w:rtl/>
          <w:lang w:val="en-GB" w:bidi="ar-SY"/>
        </w:rPr>
        <w:t>بين ال</w:t>
      </w:r>
      <w:r w:rsidRPr="00983B0D">
        <w:rPr>
          <w:rFonts w:hint="cs"/>
          <w:rtl/>
          <w:lang w:val="en-GB" w:bidi="ar-SY"/>
        </w:rPr>
        <w:t xml:space="preserve">محطات </w:t>
      </w:r>
      <w:r w:rsidRPr="007E5CB8">
        <w:rPr>
          <w:rtl/>
          <w:lang w:val="en-GB" w:bidi="ar-SY"/>
        </w:rPr>
        <w:t>الأرضية المتحركة للطيرا</w:t>
      </w:r>
      <w:r>
        <w:rPr>
          <w:rFonts w:hint="cs"/>
          <w:rtl/>
          <w:lang w:val="en-GB" w:bidi="ar-SY"/>
        </w:rPr>
        <w:t>ن و</w:t>
      </w:r>
      <w:r w:rsidRPr="007E5CB8">
        <w:rPr>
          <w:rtl/>
          <w:lang w:val="en-GB" w:bidi="ar-SY"/>
        </w:rPr>
        <w:t>المحطات الأرضية المتحركة البحرية</w:t>
      </w:r>
      <w:r w:rsidRPr="007E5CB8">
        <w:rPr>
          <w:rFonts w:hint="cs"/>
          <w:rtl/>
          <w:lang w:val="en-GB" w:bidi="ar-SY"/>
        </w:rPr>
        <w:t xml:space="preserve"> </w:t>
      </w:r>
      <w:r>
        <w:rPr>
          <w:rFonts w:hint="cs"/>
          <w:rtl/>
          <w:lang w:val="en-GB" w:bidi="ar-SY"/>
        </w:rPr>
        <w:t>ال</w:t>
      </w:r>
      <w:r w:rsidRPr="007E5CB8">
        <w:rPr>
          <w:rtl/>
          <w:lang w:val="en-GB" w:bidi="ar-SY"/>
        </w:rPr>
        <w:t xml:space="preserve">عاملة مع الخدمة الثابتة الساتلية غير المستقرة بالنسبة إلى الأرض يمكن أن يساهم، كاستخدام إضافي للطيف، في تحسين </w:t>
      </w:r>
      <w:r w:rsidRPr="007242E3">
        <w:rPr>
          <w:rtl/>
          <w:lang w:val="en-GB" w:bidi="ar-SY"/>
        </w:rPr>
        <w:t xml:space="preserve">الاتصالات عريضة النطاق </w:t>
      </w:r>
      <w:r>
        <w:rPr>
          <w:rFonts w:hint="cs"/>
          <w:rtl/>
          <w:lang w:val="en-GB" w:bidi="ar-SY"/>
        </w:rPr>
        <w:t>للمسافرين</w:t>
      </w:r>
      <w:r w:rsidRPr="007E5CB8">
        <w:rPr>
          <w:rtl/>
          <w:lang w:val="en-GB" w:bidi="ar-SY"/>
        </w:rPr>
        <w:t>؛</w:t>
      </w:r>
    </w:p>
    <w:p w14:paraId="3BA5B5BF" w14:textId="77777777" w:rsidR="00D35380" w:rsidRDefault="00D35380" w:rsidP="00D35380">
      <w:pPr>
        <w:rPr>
          <w:rtl/>
          <w:lang w:val="en-GB" w:bidi="ar-SY"/>
        </w:rPr>
      </w:pPr>
      <w:r w:rsidRPr="00983B0D">
        <w:rPr>
          <w:rFonts w:hint="cs"/>
          <w:i/>
          <w:iCs/>
          <w:rtl/>
          <w:lang w:val="en-GB" w:bidi="ar-SY"/>
        </w:rPr>
        <w:t>ز</w:t>
      </w:r>
      <w:r w:rsidRPr="00983B0D">
        <w:rPr>
          <w:rFonts w:hint="eastAsia"/>
          <w:i/>
          <w:iCs/>
          <w:rtl/>
          <w:lang w:val="en-GB" w:bidi="ar-SY"/>
        </w:rPr>
        <w:t> </w:t>
      </w:r>
      <w:r w:rsidRPr="00983B0D">
        <w:rPr>
          <w:rFonts w:hint="cs"/>
          <w:i/>
          <w:iCs/>
          <w:rtl/>
          <w:lang w:val="en-GB" w:bidi="ar-SY"/>
        </w:rPr>
        <w:t>)</w:t>
      </w:r>
      <w:r>
        <w:rPr>
          <w:rtl/>
          <w:lang w:val="en-GB" w:bidi="ar-SY"/>
        </w:rPr>
        <w:tab/>
      </w:r>
      <w:r w:rsidRPr="007E5CB8">
        <w:rPr>
          <w:rtl/>
          <w:lang w:val="en-GB" w:bidi="ar-SY"/>
        </w:rPr>
        <w:t xml:space="preserve">أن </w:t>
      </w:r>
      <w:r>
        <w:rPr>
          <w:rFonts w:hint="cs"/>
          <w:rtl/>
          <w:lang w:val="en-GB" w:bidi="ar-SY"/>
        </w:rPr>
        <w:t>ال</w:t>
      </w:r>
      <w:r w:rsidRPr="00983B0D">
        <w:rPr>
          <w:rFonts w:hint="cs"/>
          <w:rtl/>
          <w:lang w:val="en-GB" w:bidi="ar-SY"/>
        </w:rPr>
        <w:t xml:space="preserve">محطات </w:t>
      </w:r>
      <w:r w:rsidRPr="007E5CB8">
        <w:rPr>
          <w:rtl/>
          <w:lang w:val="en-GB" w:bidi="ar-SY"/>
        </w:rPr>
        <w:t>الأرضية المتحركة للطيرا</w:t>
      </w:r>
      <w:r>
        <w:rPr>
          <w:rFonts w:hint="cs"/>
          <w:rtl/>
          <w:lang w:val="en-GB" w:bidi="ar-SY"/>
        </w:rPr>
        <w:t>ن و</w:t>
      </w:r>
      <w:r w:rsidRPr="007E5CB8">
        <w:rPr>
          <w:rtl/>
          <w:lang w:val="en-GB" w:bidi="ar-SY"/>
        </w:rPr>
        <w:t>المحطات الأرضية المتحركة البحرية</w:t>
      </w:r>
      <w:r>
        <w:rPr>
          <w:rFonts w:hint="cs"/>
          <w:rtl/>
          <w:lang w:val="en-GB" w:bidi="ar-SY"/>
        </w:rPr>
        <w:t xml:space="preserve"> </w:t>
      </w:r>
      <w:r w:rsidRPr="007E5CB8">
        <w:rPr>
          <w:rtl/>
          <w:lang w:val="en-GB" w:bidi="ar-SY"/>
        </w:rPr>
        <w:t>المشار إليهما في هذا القرار يجب ألا ي</w:t>
      </w:r>
      <w:r>
        <w:rPr>
          <w:rFonts w:hint="cs"/>
          <w:rtl/>
          <w:lang w:val="en-GB" w:bidi="ar-SY"/>
        </w:rPr>
        <w:t>ُ</w:t>
      </w:r>
      <w:r w:rsidRPr="007E5CB8">
        <w:rPr>
          <w:rtl/>
          <w:lang w:val="en-GB" w:bidi="ar-SY"/>
        </w:rPr>
        <w:t xml:space="preserve">ستخدما في </w:t>
      </w:r>
      <w:r w:rsidRPr="007242E3">
        <w:rPr>
          <w:rtl/>
          <w:lang w:val="en-GB" w:bidi="ar-SY"/>
        </w:rPr>
        <w:t>التطبيقات المتعلقة بسلامة الأرواح</w:t>
      </w:r>
      <w:r>
        <w:rPr>
          <w:rFonts w:hint="cs"/>
          <w:rtl/>
          <w:lang w:val="en-GB" w:bidi="ar-SY"/>
        </w:rPr>
        <w:t>،</w:t>
      </w:r>
    </w:p>
    <w:p w14:paraId="5F3A2A0A" w14:textId="77777777" w:rsidR="00D35380" w:rsidRPr="00983B0D" w:rsidRDefault="00D35380" w:rsidP="00D35380">
      <w:pPr>
        <w:pStyle w:val="Call"/>
        <w:rPr>
          <w:rtl/>
          <w:lang w:val="en-GB" w:bidi="ar-SY"/>
        </w:rPr>
      </w:pPr>
      <w:r w:rsidRPr="00195C98">
        <w:rPr>
          <w:rtl/>
          <w:lang w:val="en-GB" w:bidi="ar-SY"/>
        </w:rPr>
        <w:t xml:space="preserve">وإذ </w:t>
      </w:r>
      <w:r>
        <w:rPr>
          <w:rFonts w:hint="cs"/>
          <w:rtl/>
          <w:lang w:val="en-GB" w:bidi="ar-SY"/>
        </w:rPr>
        <w:t>يلاحظ</w:t>
      </w:r>
    </w:p>
    <w:p w14:paraId="556BB0AD" w14:textId="77777777" w:rsidR="00D35380" w:rsidRPr="00BD5D15" w:rsidRDefault="00D35380" w:rsidP="00D35380">
      <w:pPr>
        <w:rPr>
          <w:rtl/>
          <w:lang w:bidi="ar-EG"/>
        </w:rPr>
      </w:pPr>
      <w:r>
        <w:rPr>
          <w:rFonts w:hint="cs"/>
          <w:rtl/>
          <w:lang w:val="en-GB" w:bidi="ar-SY"/>
        </w:rPr>
        <w:t> </w:t>
      </w:r>
      <w:r w:rsidRPr="00983B0D">
        <w:rPr>
          <w:rFonts w:hint="cs"/>
          <w:i/>
          <w:iCs/>
          <w:rtl/>
          <w:lang w:val="en-GB" w:bidi="ar-SY"/>
        </w:rPr>
        <w:t>أ</w:t>
      </w:r>
      <w:r w:rsidRPr="00983B0D">
        <w:rPr>
          <w:rFonts w:hint="eastAsia"/>
          <w:i/>
          <w:iCs/>
          <w:rtl/>
          <w:lang w:val="en-GB" w:bidi="ar-SY"/>
        </w:rPr>
        <w:t> </w:t>
      </w:r>
      <w:r w:rsidRPr="00983B0D">
        <w:rPr>
          <w:rFonts w:hint="cs"/>
          <w:i/>
          <w:iCs/>
          <w:rtl/>
          <w:lang w:val="en-GB" w:bidi="ar-SY"/>
        </w:rPr>
        <w:t>)</w:t>
      </w:r>
      <w:r>
        <w:rPr>
          <w:rtl/>
          <w:lang w:val="en-GB" w:bidi="ar-SY"/>
        </w:rPr>
        <w:tab/>
      </w:r>
      <w:r w:rsidRPr="006270EE">
        <w:rPr>
          <w:rtl/>
          <w:lang w:val="en-GB" w:bidi="ar-SY"/>
        </w:rPr>
        <w:t xml:space="preserve">أن القرار </w:t>
      </w:r>
      <w:r w:rsidRPr="006270EE">
        <w:rPr>
          <w:b/>
          <w:bCs/>
          <w:rtl/>
          <w:lang w:val="en-GB" w:bidi="ar-SY"/>
        </w:rPr>
        <w:t>(</w:t>
      </w:r>
      <w:r w:rsidRPr="006270EE">
        <w:rPr>
          <w:b/>
          <w:bCs/>
          <w:lang w:val="en-GB" w:bidi="ar-SY"/>
        </w:rPr>
        <w:t>WRC-19</w:t>
      </w:r>
      <w:r w:rsidRPr="006270EE">
        <w:rPr>
          <w:b/>
          <w:bCs/>
          <w:rtl/>
          <w:lang w:val="en-GB" w:bidi="ar-SY"/>
        </w:rPr>
        <w:t>) 169</w:t>
      </w:r>
      <w:r w:rsidRPr="006270EE">
        <w:rPr>
          <w:rtl/>
          <w:lang w:val="en-GB" w:bidi="ar-SY"/>
        </w:rPr>
        <w:t xml:space="preserve"> يتناول استخدام</w:t>
      </w:r>
      <w:r w:rsidRPr="00BD0A8A">
        <w:rPr>
          <w:rtl/>
          <w:lang w:val="en-GB" w:bidi="ar-SY"/>
        </w:rPr>
        <w:t xml:space="preserve"> المحطات الأرضية المتحركة </w:t>
      </w:r>
      <w:r>
        <w:rPr>
          <w:rFonts w:hint="cs"/>
          <w:rtl/>
          <w:lang w:val="en-GB" w:bidi="ar-SY"/>
        </w:rPr>
        <w:t>التي تتواصل</w:t>
      </w:r>
      <w:r w:rsidRPr="00BD0A8A">
        <w:rPr>
          <w:rtl/>
          <w:lang w:val="en-GB" w:bidi="ar-SY"/>
        </w:rPr>
        <w:t xml:space="preserve"> مع المحطات الفضائية المستقرة بالنسبة إلى الأرض في الخدمة الثابتة الساتلية في نطاقي التردد</w:t>
      </w:r>
      <w:r>
        <w:rPr>
          <w:rFonts w:hint="cs"/>
          <w:rtl/>
          <w:lang w:val="en-GB" w:bidi="ar-SY"/>
        </w:rPr>
        <w:t xml:space="preserve"> </w:t>
      </w:r>
      <w:r>
        <w:rPr>
          <w:lang w:bidi="ar-SY"/>
        </w:rPr>
        <w:t>GHz 19,7</w:t>
      </w:r>
      <w:r>
        <w:rPr>
          <w:lang w:bidi="ar-SY"/>
        </w:rPr>
        <w:noBreakHyphen/>
        <w:t>17,7</w:t>
      </w:r>
      <w:r>
        <w:rPr>
          <w:rFonts w:hint="cs"/>
          <w:rtl/>
          <w:lang w:bidi="ar-EG"/>
        </w:rPr>
        <w:t xml:space="preserve"> و</w:t>
      </w:r>
      <w:r>
        <w:rPr>
          <w:lang w:bidi="ar-EG"/>
        </w:rPr>
        <w:t>GHz 29,5</w:t>
      </w:r>
      <w:r>
        <w:rPr>
          <w:lang w:bidi="ar-EG"/>
        </w:rPr>
        <w:noBreakHyphen/>
        <w:t>27,5</w:t>
      </w:r>
      <w:r>
        <w:rPr>
          <w:rFonts w:hint="cs"/>
          <w:rtl/>
          <w:lang w:bidi="ar-EG"/>
        </w:rPr>
        <w:t xml:space="preserve"> طبقاً للشروط</w:t>
      </w:r>
      <w:r w:rsidRPr="00BD0A8A">
        <w:rPr>
          <w:rtl/>
          <w:lang w:bidi="ar-EG"/>
        </w:rPr>
        <w:t xml:space="preserve"> الواردة في القرار المذكور؛</w:t>
      </w:r>
    </w:p>
    <w:p w14:paraId="1F65BE08" w14:textId="5F15D5DC" w:rsidR="00D35380" w:rsidRPr="00BD5D15" w:rsidRDefault="00D35380" w:rsidP="00D35380">
      <w:pPr>
        <w:rPr>
          <w:rtl/>
          <w:lang w:bidi="ar-EG"/>
        </w:rPr>
      </w:pPr>
      <w:r w:rsidRPr="00983B0D">
        <w:rPr>
          <w:rFonts w:hint="cs"/>
          <w:i/>
          <w:iCs/>
          <w:rtl/>
          <w:lang w:val="en-GB" w:bidi="ar-SY"/>
        </w:rPr>
        <w:t>ب)</w:t>
      </w:r>
      <w:r w:rsidRPr="00983B0D">
        <w:rPr>
          <w:i/>
          <w:iCs/>
          <w:rtl/>
          <w:lang w:val="en-GB" w:bidi="ar-SY"/>
        </w:rPr>
        <w:tab/>
      </w:r>
      <w:r w:rsidRPr="00BD0A8A">
        <w:rPr>
          <w:rtl/>
          <w:lang w:val="en-GB" w:bidi="ar-SY"/>
        </w:rPr>
        <w:t xml:space="preserve">أن القرار </w:t>
      </w:r>
      <w:r w:rsidRPr="006270EE">
        <w:rPr>
          <w:b/>
          <w:bCs/>
          <w:rtl/>
          <w:lang w:val="en-GB" w:bidi="ar-SY"/>
        </w:rPr>
        <w:t>(</w:t>
      </w:r>
      <w:r w:rsidRPr="006270EE">
        <w:rPr>
          <w:b/>
          <w:bCs/>
          <w:lang w:val="en-GB" w:bidi="ar-SY"/>
        </w:rPr>
        <w:t>WRC-19</w:t>
      </w:r>
      <w:r w:rsidRPr="006270EE">
        <w:rPr>
          <w:b/>
          <w:bCs/>
          <w:rtl/>
          <w:lang w:val="en-GB" w:bidi="ar-SY"/>
        </w:rPr>
        <w:t xml:space="preserve">) </w:t>
      </w:r>
      <w:r>
        <w:rPr>
          <w:rFonts w:hint="cs"/>
          <w:b/>
          <w:bCs/>
          <w:rtl/>
          <w:lang w:val="en-GB" w:bidi="ar-SY"/>
        </w:rPr>
        <w:t>173</w:t>
      </w:r>
      <w:r w:rsidRPr="006270EE">
        <w:rPr>
          <w:rtl/>
          <w:lang w:val="en-GB" w:bidi="ar-SY"/>
        </w:rPr>
        <w:t xml:space="preserve"> </w:t>
      </w:r>
      <w:r w:rsidRPr="00BD0A8A">
        <w:rPr>
          <w:rtl/>
          <w:lang w:val="en-GB" w:bidi="ar-SY"/>
        </w:rPr>
        <w:t xml:space="preserve">يهدف إلى توسيع إطار القرار </w:t>
      </w:r>
      <w:r w:rsidRPr="006270EE">
        <w:rPr>
          <w:b/>
          <w:bCs/>
          <w:rtl/>
          <w:lang w:val="en-GB" w:bidi="ar-SY"/>
        </w:rPr>
        <w:t>(</w:t>
      </w:r>
      <w:r w:rsidRPr="006270EE">
        <w:rPr>
          <w:b/>
          <w:bCs/>
          <w:lang w:val="en-GB" w:bidi="ar-SY"/>
        </w:rPr>
        <w:t>WRC-19</w:t>
      </w:r>
      <w:r w:rsidRPr="006270EE">
        <w:rPr>
          <w:b/>
          <w:bCs/>
          <w:rtl/>
          <w:lang w:val="en-GB" w:bidi="ar-SY"/>
        </w:rPr>
        <w:t>) 169</w:t>
      </w:r>
      <w:r w:rsidRPr="006270EE">
        <w:rPr>
          <w:rtl/>
          <w:lang w:val="en-GB" w:bidi="ar-SY"/>
        </w:rPr>
        <w:t xml:space="preserve"> </w:t>
      </w:r>
      <w:r w:rsidRPr="00BD0A8A">
        <w:rPr>
          <w:rtl/>
          <w:lang w:val="en-GB" w:bidi="ar-SY"/>
        </w:rPr>
        <w:t xml:space="preserve">من خلال دراسة استخدام المحطات الأرضية المتحركة </w:t>
      </w:r>
      <w:r>
        <w:rPr>
          <w:rFonts w:hint="cs"/>
          <w:rtl/>
          <w:lang w:val="en-GB" w:bidi="ar-SY"/>
        </w:rPr>
        <w:t>التي تتواصل</w:t>
      </w:r>
      <w:r w:rsidRPr="00BD0A8A">
        <w:rPr>
          <w:rtl/>
          <w:lang w:val="en-GB" w:bidi="ar-SY"/>
        </w:rPr>
        <w:t xml:space="preserve"> مع المحطات الفضائية غير المستقرة بالنسبة إلى الأرض في الخدمة الثابتة الساتلية في نطاقات </w:t>
      </w:r>
      <w:r w:rsidRPr="00BD0A8A">
        <w:rPr>
          <w:rFonts w:hint="cs"/>
          <w:rtl/>
        </w:rPr>
        <w:t xml:space="preserve">التردد </w:t>
      </w:r>
      <w:r w:rsidRPr="00BD0A8A">
        <w:t>GHz 18,6</w:t>
      </w:r>
      <w:r w:rsidRPr="00BD0A8A">
        <w:noBreakHyphen/>
        <w:t>17,7</w:t>
      </w:r>
      <w:r w:rsidRPr="00BD0A8A">
        <w:rPr>
          <w:rFonts w:hint="cs"/>
          <w:rtl/>
        </w:rPr>
        <w:t xml:space="preserve"> </w:t>
      </w:r>
      <w:r w:rsidRPr="00DC2DE8">
        <w:rPr>
          <w:rFonts w:hint="cs"/>
          <w:rtl/>
        </w:rPr>
        <w:t>و</w:t>
      </w:r>
      <w:r w:rsidRPr="00DC2DE8">
        <w:t>GHz 19,3</w:t>
      </w:r>
      <w:r w:rsidRPr="00DC2DE8">
        <w:noBreakHyphen/>
        <w:t>18,8</w:t>
      </w:r>
      <w:r w:rsidRPr="00DC2DE8">
        <w:rPr>
          <w:rFonts w:hint="cs"/>
          <w:rtl/>
        </w:rPr>
        <w:t xml:space="preserve"> </w:t>
      </w:r>
      <w:r w:rsidR="009C5157">
        <w:rPr>
          <w:rFonts w:hint="cs"/>
          <w:rtl/>
        </w:rPr>
        <w:t>و</w:t>
      </w:r>
      <w:r w:rsidR="009C5157" w:rsidRPr="00DC2DE8">
        <w:t>GHz</w:t>
      </w:r>
      <w:r w:rsidRPr="00DC2DE8">
        <w:t> 20,2</w:t>
      </w:r>
      <w:r w:rsidRPr="00DC2DE8">
        <w:noBreakHyphen/>
        <w:t>19,7</w:t>
      </w:r>
      <w:r w:rsidR="009C5157">
        <w:rPr>
          <w:rFonts w:hint="cs"/>
          <w:rtl/>
        </w:rPr>
        <w:t xml:space="preserve"> </w:t>
      </w:r>
      <w:r w:rsidRPr="00BD0A8A">
        <w:rPr>
          <w:rFonts w:hint="cs"/>
          <w:rtl/>
        </w:rPr>
        <w:t>(فضاء-أرض) ونطاق</w:t>
      </w:r>
      <w:r>
        <w:rPr>
          <w:rFonts w:hint="cs"/>
          <w:rtl/>
        </w:rPr>
        <w:t>ي</w:t>
      </w:r>
      <w:r w:rsidRPr="00BD0A8A">
        <w:rPr>
          <w:rFonts w:hint="cs"/>
          <w:rtl/>
        </w:rPr>
        <w:t xml:space="preserve"> التردد </w:t>
      </w:r>
      <w:r w:rsidRPr="00BD0A8A">
        <w:t>GHz 29,1</w:t>
      </w:r>
      <w:r w:rsidRPr="00BD0A8A">
        <w:noBreakHyphen/>
        <w:t>27,5</w:t>
      </w:r>
      <w:r w:rsidRPr="00BD0A8A">
        <w:rPr>
          <w:rFonts w:hint="cs"/>
          <w:rtl/>
        </w:rPr>
        <w:t xml:space="preserve"> </w:t>
      </w:r>
      <w:r>
        <w:rPr>
          <w:rFonts w:hint="cs"/>
          <w:rtl/>
        </w:rPr>
        <w:t>و</w:t>
      </w:r>
      <w:r w:rsidRPr="00DC2DE8">
        <w:t>GHz 30,</w:t>
      </w:r>
      <w:r>
        <w:t>0</w:t>
      </w:r>
      <w:r w:rsidRPr="00DC2DE8">
        <w:noBreakHyphen/>
        <w:t>29,5</w:t>
      </w:r>
      <w:r w:rsidRPr="00DC2DE8">
        <w:rPr>
          <w:rFonts w:hint="cs"/>
          <w:rtl/>
        </w:rPr>
        <w:t xml:space="preserve"> </w:t>
      </w:r>
      <w:r w:rsidRPr="00BD0A8A">
        <w:rPr>
          <w:rFonts w:hint="cs"/>
          <w:rtl/>
        </w:rPr>
        <w:t>(أرض-فضاء)؛</w:t>
      </w:r>
    </w:p>
    <w:p w14:paraId="1D3802F0" w14:textId="77777777" w:rsidR="00D35380" w:rsidRPr="00BD5D15" w:rsidRDefault="00D35380" w:rsidP="00D35380">
      <w:pPr>
        <w:rPr>
          <w:rtl/>
          <w:lang w:bidi="ar-EG"/>
        </w:rPr>
      </w:pPr>
      <w:r w:rsidRPr="00983B0D">
        <w:rPr>
          <w:rFonts w:hint="cs"/>
          <w:i/>
          <w:iCs/>
          <w:rtl/>
          <w:lang w:val="en-GB" w:bidi="ar-SY"/>
        </w:rPr>
        <w:t>ج)</w:t>
      </w:r>
      <w:r w:rsidRPr="00983B0D">
        <w:rPr>
          <w:i/>
          <w:iCs/>
          <w:rtl/>
          <w:lang w:val="en-GB" w:bidi="ar-SY"/>
        </w:rPr>
        <w:tab/>
      </w:r>
      <w:r w:rsidRPr="00BD0A8A">
        <w:rPr>
          <w:rtl/>
          <w:lang w:val="en-GB" w:bidi="ar-SY"/>
        </w:rPr>
        <w:t xml:space="preserve">أن القرار </w:t>
      </w:r>
      <w:r w:rsidRPr="006270EE">
        <w:rPr>
          <w:b/>
          <w:bCs/>
          <w:lang w:val="en-GB" w:bidi="ar-SY"/>
        </w:rPr>
        <w:t>WRC-19</w:t>
      </w:r>
      <w:r w:rsidRPr="006270EE">
        <w:rPr>
          <w:b/>
          <w:bCs/>
          <w:rtl/>
          <w:lang w:val="en-GB" w:bidi="ar-SY"/>
        </w:rPr>
        <w:t xml:space="preserve">) </w:t>
      </w:r>
      <w:r>
        <w:rPr>
          <w:rFonts w:hint="cs"/>
          <w:b/>
          <w:bCs/>
          <w:rtl/>
          <w:lang w:val="en-GB" w:bidi="ar-SY"/>
        </w:rPr>
        <w:t>172</w:t>
      </w:r>
      <w:r w:rsidRPr="006270EE">
        <w:rPr>
          <w:rtl/>
          <w:lang w:val="en-GB" w:bidi="ar-SY"/>
        </w:rPr>
        <w:t xml:space="preserve"> </w:t>
      </w:r>
      <w:r w:rsidRPr="00BD0A8A">
        <w:rPr>
          <w:rtl/>
          <w:lang w:val="en-GB" w:bidi="ar-SY"/>
        </w:rPr>
        <w:t xml:space="preserve">يدعو إلى إجراء دراسات لاستخدام </w:t>
      </w:r>
      <w:r w:rsidRPr="008D4293">
        <w:rPr>
          <w:rtl/>
          <w:lang w:val="en-GB" w:bidi="ar-SY"/>
        </w:rPr>
        <w:t>المحطات الأرضية المتحركة للطيران والمحطات الأرضية المتحركة البحرية</w:t>
      </w:r>
      <w:r w:rsidRPr="00BD0A8A">
        <w:rPr>
          <w:rtl/>
          <w:lang w:val="en-GB" w:bidi="ar-SY"/>
        </w:rPr>
        <w:t xml:space="preserve"> </w:t>
      </w:r>
      <w:r>
        <w:rPr>
          <w:rFonts w:hint="cs"/>
          <w:rtl/>
          <w:lang w:val="en-GB" w:bidi="ar-SY"/>
        </w:rPr>
        <w:t>التي تتواصل</w:t>
      </w:r>
      <w:r w:rsidRPr="00BD0A8A">
        <w:rPr>
          <w:rtl/>
          <w:lang w:val="en-GB" w:bidi="ar-SY"/>
        </w:rPr>
        <w:t xml:space="preserve"> مع المحطات الفضائية المستقرة بالنسبة إلى الأرض في الخدمة الثابتة الساتلية في </w:t>
      </w:r>
      <w:r>
        <w:rPr>
          <w:rFonts w:hint="cs"/>
          <w:rtl/>
          <w:lang w:val="en-GB" w:bidi="ar-SY"/>
        </w:rPr>
        <w:t xml:space="preserve">نطاق التردد </w:t>
      </w:r>
      <w:r>
        <w:rPr>
          <w:lang w:bidi="ar-SY"/>
        </w:rPr>
        <w:t>GHz 13,25</w:t>
      </w:r>
      <w:r>
        <w:rPr>
          <w:lang w:bidi="ar-SY"/>
        </w:rPr>
        <w:noBreakHyphen/>
        <w:t>12,75</w:t>
      </w:r>
      <w:r>
        <w:rPr>
          <w:rFonts w:hint="cs"/>
          <w:rtl/>
          <w:lang w:bidi="ar-EG"/>
        </w:rPr>
        <w:t>،</w:t>
      </w:r>
    </w:p>
    <w:p w14:paraId="08D5765A" w14:textId="77777777" w:rsidR="00D35380" w:rsidRDefault="00D35380" w:rsidP="00D35380">
      <w:pPr>
        <w:pStyle w:val="Call"/>
        <w:rPr>
          <w:rtl/>
          <w:lang w:val="en-GB" w:bidi="ar-SY"/>
        </w:rPr>
      </w:pPr>
      <w:r>
        <w:rPr>
          <w:rFonts w:hint="cs"/>
          <w:rtl/>
          <w:lang w:val="en-GB" w:bidi="ar-SY"/>
        </w:rPr>
        <w:lastRenderedPageBreak/>
        <w:t>وإذ يدرك</w:t>
      </w:r>
    </w:p>
    <w:p w14:paraId="002A00EA" w14:textId="77777777" w:rsidR="00D35380" w:rsidRDefault="00D35380" w:rsidP="00D35380">
      <w:pPr>
        <w:rPr>
          <w:rtl/>
          <w:lang w:val="en-GB"/>
        </w:rPr>
      </w:pPr>
      <w:r w:rsidRPr="00752580">
        <w:rPr>
          <w:rFonts w:hint="eastAsia"/>
          <w:i/>
          <w:iCs/>
          <w:rtl/>
          <w:lang w:val="en-GB"/>
        </w:rPr>
        <w:t> </w:t>
      </w:r>
      <w:r w:rsidRPr="00752580">
        <w:rPr>
          <w:rFonts w:hint="cs"/>
          <w:i/>
          <w:iCs/>
          <w:rtl/>
          <w:lang w:val="en-GB"/>
        </w:rPr>
        <w:t>أ )</w:t>
      </w:r>
      <w:r>
        <w:rPr>
          <w:rtl/>
          <w:lang w:val="en-GB"/>
        </w:rPr>
        <w:tab/>
      </w:r>
      <w:r w:rsidRPr="00EF4ADD">
        <w:rPr>
          <w:rtl/>
          <w:lang w:val="en-GB"/>
        </w:rPr>
        <w:t>أنه، وفقاً للرقم</w:t>
      </w:r>
      <w:r w:rsidRPr="00983B0D">
        <w:rPr>
          <w:rtl/>
          <w:lang w:val="en-GB"/>
        </w:rPr>
        <w:t xml:space="preserve"> </w:t>
      </w:r>
      <w:r w:rsidRPr="00BD5D15">
        <w:rPr>
          <w:rFonts w:hint="cs"/>
          <w:b/>
          <w:bCs/>
          <w:rtl/>
          <w:lang w:val="en-GB"/>
        </w:rPr>
        <w:t>441.5</w:t>
      </w:r>
      <w:r w:rsidRPr="00EF4ADD">
        <w:rPr>
          <w:rtl/>
          <w:lang w:val="en-GB"/>
        </w:rPr>
        <w:t xml:space="preserve">، لا يمكن للأنظمة غير المستقرة بالنسبة إلى الأرض أن </w:t>
      </w:r>
      <w:r>
        <w:rPr>
          <w:rFonts w:hint="cs"/>
          <w:rtl/>
          <w:lang w:val="en-GB"/>
        </w:rPr>
        <w:t>تطلب</w:t>
      </w:r>
      <w:r w:rsidRPr="00EF4ADD">
        <w:rPr>
          <w:rtl/>
          <w:lang w:val="en-GB"/>
        </w:rPr>
        <w:t xml:space="preserve"> الحماية من الشبكات المستقرة بالنسبة إلى الأرض التي تعمل وفقاً للوائح الراديو</w:t>
      </w:r>
      <w:r>
        <w:rPr>
          <w:rFonts w:hint="cs"/>
          <w:rtl/>
          <w:lang w:val="en-GB"/>
        </w:rPr>
        <w:t>،</w:t>
      </w:r>
      <w:r w:rsidRPr="00EF4ADD">
        <w:rPr>
          <w:rtl/>
          <w:lang w:val="en-GB"/>
        </w:rPr>
        <w:t xml:space="preserve"> ويجب أن تعمل بطريقة </w:t>
      </w:r>
      <w:r>
        <w:rPr>
          <w:rFonts w:hint="cs"/>
          <w:rtl/>
          <w:lang w:val="en-GB"/>
        </w:rPr>
        <w:t>تزيل</w:t>
      </w:r>
      <w:r w:rsidRPr="00EF4ADD">
        <w:rPr>
          <w:rtl/>
          <w:lang w:val="en-GB"/>
        </w:rPr>
        <w:t xml:space="preserve"> بسرعة أي تداخل غير مقبول </w:t>
      </w:r>
      <w:r>
        <w:rPr>
          <w:rFonts w:hint="cs"/>
          <w:rtl/>
          <w:lang w:val="en-GB"/>
        </w:rPr>
        <w:t>يمكن أن</w:t>
      </w:r>
      <w:r w:rsidRPr="00EF4ADD">
        <w:rPr>
          <w:rtl/>
          <w:lang w:val="en-GB"/>
        </w:rPr>
        <w:t xml:space="preserve"> يحدث أثناء التشغيل؛</w:t>
      </w:r>
    </w:p>
    <w:p w14:paraId="6671B68B" w14:textId="68FFC8CD" w:rsidR="00D35380" w:rsidRDefault="00D35380" w:rsidP="00D35380">
      <w:pPr>
        <w:rPr>
          <w:rtl/>
          <w:lang w:val="en-GB"/>
        </w:rPr>
      </w:pPr>
      <w:r w:rsidRPr="00752580">
        <w:rPr>
          <w:rFonts w:hint="cs"/>
          <w:i/>
          <w:iCs/>
          <w:rtl/>
          <w:lang w:val="en-GB"/>
        </w:rPr>
        <w:t>ب)</w:t>
      </w:r>
      <w:r>
        <w:rPr>
          <w:rtl/>
          <w:lang w:val="en-GB"/>
        </w:rPr>
        <w:tab/>
      </w:r>
      <w:r w:rsidRPr="00EF4ADD">
        <w:rPr>
          <w:rtl/>
          <w:lang w:val="en-GB"/>
        </w:rPr>
        <w:t>أنه، وفقاً للرقم</w:t>
      </w:r>
      <w:r w:rsidRPr="00983B0D">
        <w:rPr>
          <w:rtl/>
          <w:lang w:val="en-GB"/>
        </w:rPr>
        <w:t xml:space="preserve"> </w:t>
      </w:r>
      <w:r w:rsidRPr="00BD5D15">
        <w:rPr>
          <w:rFonts w:hint="cs"/>
          <w:b/>
          <w:bCs/>
          <w:rtl/>
          <w:lang w:val="en-GB"/>
        </w:rPr>
        <w:t>441.5</w:t>
      </w:r>
      <w:r w:rsidRPr="00361653">
        <w:rPr>
          <w:rtl/>
          <w:lang w:val="en-GB"/>
        </w:rPr>
        <w:t>،</w:t>
      </w:r>
      <w:r w:rsidRPr="00EF4ADD">
        <w:rPr>
          <w:rtl/>
          <w:lang w:val="en-GB"/>
        </w:rPr>
        <w:t xml:space="preserve"> فإن استخدام </w:t>
      </w:r>
      <w:r>
        <w:rPr>
          <w:rFonts w:hint="cs"/>
          <w:rtl/>
          <w:lang w:val="en-GB"/>
        </w:rPr>
        <w:t xml:space="preserve">أي </w:t>
      </w:r>
      <w:r w:rsidR="00260B39">
        <w:rPr>
          <w:rFonts w:hint="cs"/>
          <w:rtl/>
          <w:lang w:val="en-GB"/>
        </w:rPr>
        <w:t>نظام</w:t>
      </w:r>
      <w:r w:rsidRPr="00EF4ADD">
        <w:rPr>
          <w:rtl/>
          <w:lang w:bidi="ar-SY"/>
        </w:rPr>
        <w:t xml:space="preserve"> غير مستقر بالنسبة إلى الأرض في الخدمة الثابتة الساتلية</w:t>
      </w:r>
      <w:r>
        <w:rPr>
          <w:rFonts w:hint="cs"/>
          <w:rtl/>
          <w:lang w:bidi="ar-SY"/>
        </w:rPr>
        <w:t xml:space="preserve"> ل</w:t>
      </w:r>
      <w:r>
        <w:rPr>
          <w:rFonts w:hint="cs"/>
          <w:rtl/>
          <w:lang w:val="en-GB" w:bidi="ar-SY"/>
        </w:rPr>
        <w:t xml:space="preserve">نطاق التردد </w:t>
      </w:r>
      <w:r>
        <w:rPr>
          <w:lang w:bidi="ar-SY"/>
        </w:rPr>
        <w:t>GHz 13,25</w:t>
      </w:r>
      <w:r>
        <w:rPr>
          <w:lang w:bidi="ar-SY"/>
        </w:rPr>
        <w:noBreakHyphen/>
        <w:t>12,75</w:t>
      </w:r>
      <w:r>
        <w:rPr>
          <w:rFonts w:hint="cs"/>
          <w:rtl/>
          <w:lang w:bidi="ar-SY"/>
        </w:rPr>
        <w:t xml:space="preserve"> (أرض-فضاء) </w:t>
      </w:r>
      <w:r w:rsidRPr="00EF4ADD">
        <w:rPr>
          <w:rtl/>
          <w:lang w:bidi="ar-SY"/>
        </w:rPr>
        <w:t xml:space="preserve">يخضع لتطبيق أحكام الرقم </w:t>
      </w:r>
      <w:r w:rsidRPr="005A3144">
        <w:rPr>
          <w:rFonts w:hint="cs"/>
          <w:b/>
          <w:bCs/>
          <w:rtl/>
          <w:lang w:bidi="ar-SY"/>
        </w:rPr>
        <w:t>12.9</w:t>
      </w:r>
      <w:r w:rsidRPr="005A3144">
        <w:rPr>
          <w:b/>
          <w:bCs/>
          <w:rtl/>
          <w:lang w:bidi="ar-SY"/>
        </w:rPr>
        <w:t xml:space="preserve"> </w:t>
      </w:r>
      <w:r w:rsidRPr="00EF4ADD">
        <w:rPr>
          <w:rtl/>
          <w:lang w:bidi="ar-SY"/>
        </w:rPr>
        <w:t>وللتنسيق مع الأنظمة الأخرى غير المستقرة بالنسبة إلى الأرض في الخدمة الثابتة الساتلية؛</w:t>
      </w:r>
    </w:p>
    <w:p w14:paraId="3374F2C7" w14:textId="77777777" w:rsidR="00D35380" w:rsidRDefault="00D35380" w:rsidP="00D35380">
      <w:pPr>
        <w:rPr>
          <w:rtl/>
          <w:lang w:val="en-GB"/>
        </w:rPr>
      </w:pPr>
      <w:r w:rsidRPr="00752580">
        <w:rPr>
          <w:rFonts w:hint="cs"/>
          <w:i/>
          <w:iCs/>
          <w:rtl/>
          <w:lang w:val="en-GB"/>
        </w:rPr>
        <w:t>ج)</w:t>
      </w:r>
      <w:r>
        <w:rPr>
          <w:rtl/>
          <w:lang w:val="en-GB"/>
        </w:rPr>
        <w:tab/>
      </w:r>
      <w:bookmarkStart w:id="1" w:name="_Hlk148705447"/>
      <w:r w:rsidRPr="00EF4ADD">
        <w:rPr>
          <w:rtl/>
          <w:lang w:val="en-GB"/>
        </w:rPr>
        <w:t xml:space="preserve">أنه، وفقاً للأحكام ذات الصلة من المادتين </w:t>
      </w:r>
      <w:r w:rsidRPr="005A3144">
        <w:rPr>
          <w:b/>
          <w:bCs/>
          <w:rtl/>
          <w:lang w:val="en-GB"/>
        </w:rPr>
        <w:t>9</w:t>
      </w:r>
      <w:r w:rsidRPr="00EF4ADD">
        <w:rPr>
          <w:rtl/>
          <w:lang w:val="en-GB"/>
        </w:rPr>
        <w:t xml:space="preserve"> و</w:t>
      </w:r>
      <w:r w:rsidRPr="005A3144">
        <w:rPr>
          <w:b/>
          <w:bCs/>
          <w:rtl/>
          <w:lang w:val="en-GB"/>
        </w:rPr>
        <w:t>11</w:t>
      </w:r>
      <w:r w:rsidRPr="00EF4ADD">
        <w:rPr>
          <w:rtl/>
          <w:lang w:val="en-GB"/>
        </w:rPr>
        <w:t xml:space="preserve">، يجب على شبكات الخدمة الثابتة الساتلية غير المستقرة بالنسبة إلى الأرض التي تعتزم العمل في </w:t>
      </w:r>
      <w:r>
        <w:rPr>
          <w:rFonts w:hint="cs"/>
          <w:rtl/>
          <w:lang w:val="en-GB" w:bidi="ar-SY"/>
        </w:rPr>
        <w:t xml:space="preserve">نطاق التردد </w:t>
      </w:r>
      <w:r>
        <w:rPr>
          <w:lang w:bidi="ar-SY"/>
        </w:rPr>
        <w:t>GHz 13,25</w:t>
      </w:r>
      <w:r>
        <w:rPr>
          <w:lang w:bidi="ar-SY"/>
        </w:rPr>
        <w:noBreakHyphen/>
        <w:t>12,75</w:t>
      </w:r>
      <w:r>
        <w:rPr>
          <w:rFonts w:hint="cs"/>
          <w:rtl/>
          <w:lang w:bidi="ar-SY"/>
        </w:rPr>
        <w:t xml:space="preserve"> (أرض-فضاء) </w:t>
      </w:r>
      <w:bookmarkEnd w:id="1"/>
      <w:r w:rsidRPr="00EF4ADD">
        <w:rPr>
          <w:rtl/>
          <w:lang w:bidi="ar-SY"/>
        </w:rPr>
        <w:t xml:space="preserve">أن </w:t>
      </w:r>
      <w:r>
        <w:rPr>
          <w:rFonts w:hint="cs"/>
          <w:rtl/>
          <w:lang w:bidi="ar-SY"/>
        </w:rPr>
        <w:t>تقوم بإجراءات التنسيق والتبليغ فيما بينها</w:t>
      </w:r>
      <w:r w:rsidRPr="00EF4ADD">
        <w:rPr>
          <w:rtl/>
          <w:lang w:bidi="ar-SY"/>
        </w:rPr>
        <w:t>؛</w:t>
      </w:r>
    </w:p>
    <w:p w14:paraId="28927CF5" w14:textId="77777777" w:rsidR="00D35380" w:rsidRDefault="00D35380" w:rsidP="00D35380">
      <w:pPr>
        <w:rPr>
          <w:rtl/>
          <w:lang w:val="en-GB"/>
        </w:rPr>
      </w:pPr>
      <w:r w:rsidRPr="00752580">
        <w:rPr>
          <w:rFonts w:hint="cs"/>
          <w:i/>
          <w:iCs/>
          <w:rtl/>
          <w:lang w:val="en-GB"/>
        </w:rPr>
        <w:t>د )</w:t>
      </w:r>
      <w:r>
        <w:rPr>
          <w:rtl/>
          <w:lang w:val="en-GB"/>
        </w:rPr>
        <w:tab/>
      </w:r>
      <w:r w:rsidRPr="00EF4ADD">
        <w:rPr>
          <w:rtl/>
          <w:lang w:val="en-GB"/>
        </w:rPr>
        <w:t xml:space="preserve">أن المادة </w:t>
      </w:r>
      <w:r w:rsidRPr="00D73D0D">
        <w:rPr>
          <w:b/>
          <w:bCs/>
          <w:rtl/>
          <w:lang w:val="en-GB"/>
        </w:rPr>
        <w:t>21</w:t>
      </w:r>
      <w:r w:rsidRPr="00EF4ADD">
        <w:rPr>
          <w:rtl/>
          <w:lang w:val="en-GB"/>
        </w:rPr>
        <w:t xml:space="preserve"> ت</w:t>
      </w:r>
      <w:r>
        <w:rPr>
          <w:rFonts w:hint="cs"/>
          <w:rtl/>
          <w:lang w:val="en-GB"/>
        </w:rPr>
        <w:t>نص على</w:t>
      </w:r>
      <w:r w:rsidRPr="00EF4ADD">
        <w:rPr>
          <w:rtl/>
          <w:lang w:val="en-GB"/>
        </w:rPr>
        <w:t xml:space="preserve"> حدود القدرة المشعة المتناحية المكافئة (</w:t>
      </w:r>
      <w:r>
        <w:rPr>
          <w:lang w:val="en-GB"/>
        </w:rPr>
        <w:t>e.i.r.p.</w:t>
      </w:r>
      <w:r w:rsidRPr="00EF4ADD">
        <w:rPr>
          <w:rtl/>
          <w:lang w:val="en-GB"/>
        </w:rPr>
        <w:t>) المطبقة على الأنظمة غير المستقرة بالنسبة إلى الأرض في الخدمة الثابتة الساتلية لحماية المحطات الأرضية الثابتة والمتنقلة؛</w:t>
      </w:r>
    </w:p>
    <w:p w14:paraId="16D0937B" w14:textId="4F07FEBF" w:rsidR="00D35380" w:rsidRDefault="00D35380" w:rsidP="00D35380">
      <w:pPr>
        <w:rPr>
          <w:rtl/>
          <w:lang w:val="en-GB"/>
        </w:rPr>
      </w:pPr>
      <w:r w:rsidRPr="00752580">
        <w:rPr>
          <w:rFonts w:hint="cs"/>
          <w:i/>
          <w:iCs/>
          <w:rtl/>
          <w:lang w:val="en-GB"/>
        </w:rPr>
        <w:t>هـ )</w:t>
      </w:r>
      <w:r>
        <w:rPr>
          <w:rtl/>
          <w:lang w:val="en-GB"/>
        </w:rPr>
        <w:tab/>
      </w:r>
      <w:r w:rsidRPr="00EF4ADD">
        <w:rPr>
          <w:rtl/>
          <w:lang w:val="en-GB"/>
        </w:rPr>
        <w:t xml:space="preserve">أن المادة </w:t>
      </w:r>
      <w:r w:rsidRPr="00D73D0D">
        <w:rPr>
          <w:b/>
          <w:bCs/>
          <w:rtl/>
          <w:lang w:val="en-GB"/>
        </w:rPr>
        <w:t>22</w:t>
      </w:r>
      <w:r w:rsidRPr="00EF4ADD">
        <w:rPr>
          <w:rtl/>
          <w:lang w:val="en-GB"/>
        </w:rPr>
        <w:t xml:space="preserve"> </w:t>
      </w:r>
      <w:r>
        <w:rPr>
          <w:rFonts w:hint="cs"/>
          <w:rtl/>
          <w:lang w:val="en-GB"/>
        </w:rPr>
        <w:t>تتضمن</w:t>
      </w:r>
      <w:r w:rsidRPr="00EF4ADD">
        <w:rPr>
          <w:rtl/>
          <w:lang w:val="en-GB"/>
        </w:rPr>
        <w:t xml:space="preserve"> حدود كثافة تدفق القدرة المكافئة</w:t>
      </w:r>
      <w:r w:rsidR="00A70D53">
        <w:rPr>
          <w:rFonts w:hint="cs"/>
          <w:rtl/>
          <w:lang w:val="en-GB"/>
        </w:rPr>
        <w:t xml:space="preserve"> </w:t>
      </w:r>
      <w:r w:rsidR="00A70D53">
        <w:t>(epfd)</w:t>
      </w:r>
      <w:r w:rsidRPr="00EF4ADD">
        <w:rPr>
          <w:rtl/>
          <w:lang w:val="en-GB"/>
        </w:rPr>
        <w:t xml:space="preserve"> لأنظمة الخدمة الثابتة الساتلية غير المستقرة بالنسبة إلى الأرض في نطاق </w:t>
      </w:r>
      <w:r>
        <w:rPr>
          <w:rFonts w:hint="cs"/>
          <w:rtl/>
          <w:lang w:val="en-GB" w:bidi="ar-SY"/>
        </w:rPr>
        <w:t xml:space="preserve">التردد </w:t>
      </w:r>
      <w:r>
        <w:rPr>
          <w:lang w:bidi="ar-SY"/>
        </w:rPr>
        <w:t>GHz 13,25</w:t>
      </w:r>
      <w:r>
        <w:rPr>
          <w:lang w:bidi="ar-SY"/>
        </w:rPr>
        <w:noBreakHyphen/>
        <w:t>12,75</w:t>
      </w:r>
      <w:r>
        <w:rPr>
          <w:rFonts w:hint="cs"/>
          <w:rtl/>
          <w:lang w:bidi="ar-SY"/>
        </w:rPr>
        <w:t xml:space="preserve"> (أرض-فضاء)، و</w:t>
      </w:r>
      <w:r w:rsidRPr="00EF4ADD">
        <w:rPr>
          <w:rtl/>
          <w:lang w:bidi="ar-SY"/>
        </w:rPr>
        <w:t>التي تضمن حماية الشبكات المستقرة بالنسبة إلى الأرض؛</w:t>
      </w:r>
    </w:p>
    <w:p w14:paraId="5AB68C4E" w14:textId="77777777" w:rsidR="00D35380" w:rsidRDefault="00D35380" w:rsidP="00D35380">
      <w:pPr>
        <w:rPr>
          <w:rtl/>
          <w:lang w:val="en-GB"/>
        </w:rPr>
      </w:pPr>
      <w:r w:rsidRPr="00752580">
        <w:rPr>
          <w:rFonts w:hint="cs"/>
          <w:i/>
          <w:iCs/>
          <w:rtl/>
          <w:lang w:val="en-GB"/>
        </w:rPr>
        <w:t>و )</w:t>
      </w:r>
      <w:r>
        <w:rPr>
          <w:rtl/>
          <w:lang w:val="en-GB"/>
        </w:rPr>
        <w:tab/>
      </w:r>
      <w:r w:rsidRPr="00EF4ADD">
        <w:rPr>
          <w:rtl/>
          <w:lang w:val="en-GB"/>
        </w:rPr>
        <w:t xml:space="preserve">أنه يجب حماية الاستخدام الحالي </w:t>
      </w:r>
      <w:r>
        <w:rPr>
          <w:rFonts w:hint="cs"/>
          <w:rtl/>
          <w:lang w:val="en-GB"/>
        </w:rPr>
        <w:t>والتطوير</w:t>
      </w:r>
      <w:r w:rsidRPr="00EF4ADD">
        <w:rPr>
          <w:rtl/>
          <w:lang w:val="en-GB"/>
        </w:rPr>
        <w:t xml:space="preserve"> المستقبلي للخدمات الحالية </w:t>
      </w:r>
      <w:r>
        <w:rPr>
          <w:rFonts w:hint="cs"/>
          <w:rtl/>
          <w:lang w:val="en-GB"/>
        </w:rPr>
        <w:t xml:space="preserve">العاملة </w:t>
      </w:r>
      <w:r w:rsidRPr="00EF4ADD">
        <w:rPr>
          <w:rtl/>
          <w:lang w:val="en-GB"/>
        </w:rPr>
        <w:t xml:space="preserve">في نطاق التردد دون فرض قيود إضافية بسبب تشغيل </w:t>
      </w:r>
      <w:r w:rsidRPr="000960A3">
        <w:rPr>
          <w:rtl/>
          <w:lang w:val="en-GB"/>
        </w:rPr>
        <w:t>المحطات الأرضية المتحركة للطيران والمحطات الأرضية المتحركة البحرية</w:t>
      </w:r>
      <w:r w:rsidRPr="00EF4ADD">
        <w:rPr>
          <w:rtl/>
          <w:lang w:val="en-GB"/>
        </w:rPr>
        <w:t xml:space="preserve"> في النطاق،</w:t>
      </w:r>
    </w:p>
    <w:p w14:paraId="28317623" w14:textId="77777777" w:rsidR="00D35380" w:rsidRDefault="00D35380" w:rsidP="00D35380">
      <w:pPr>
        <w:pStyle w:val="Call"/>
        <w:rPr>
          <w:rtl/>
          <w:lang w:val="en-GB"/>
        </w:rPr>
      </w:pPr>
      <w:r w:rsidRPr="00832038">
        <w:rPr>
          <w:rtl/>
          <w:lang w:val="en-GB"/>
        </w:rPr>
        <w:t>يقرر أن يدعو قطاع الاتصالات الراديوية بالاتحاد</w:t>
      </w:r>
    </w:p>
    <w:p w14:paraId="0C8DE27A" w14:textId="77777777" w:rsidR="00D35380" w:rsidRDefault="00D35380" w:rsidP="00D35380">
      <w:pPr>
        <w:rPr>
          <w:rtl/>
          <w:lang w:val="en-GB"/>
        </w:rPr>
      </w:pPr>
      <w:r>
        <w:rPr>
          <w:rFonts w:hint="cs"/>
          <w:rtl/>
          <w:lang w:val="en-GB"/>
        </w:rPr>
        <w:t>1</w:t>
      </w:r>
      <w:r>
        <w:rPr>
          <w:rtl/>
          <w:lang w:val="en-GB"/>
        </w:rPr>
        <w:tab/>
      </w:r>
      <w:r>
        <w:rPr>
          <w:rFonts w:hint="cs"/>
          <w:rtl/>
          <w:lang w:val="en-GB"/>
        </w:rPr>
        <w:t xml:space="preserve">إلى </w:t>
      </w:r>
      <w:r w:rsidRPr="00832038">
        <w:rPr>
          <w:rtl/>
          <w:lang w:val="en-GB"/>
        </w:rPr>
        <w:t xml:space="preserve">دراسة الخصائص التقنية والتشغيلية ومتطلبات المستعمل للمحطات </w:t>
      </w:r>
      <w:r w:rsidRPr="000960A3">
        <w:rPr>
          <w:rtl/>
          <w:lang w:val="en-GB"/>
        </w:rPr>
        <w:t>الأرضية المتحركة للطيران والمحطات الأرضية المتحركة البحرية</w:t>
      </w:r>
      <w:r w:rsidRPr="00832038">
        <w:rPr>
          <w:rtl/>
          <w:lang w:val="en-GB"/>
        </w:rPr>
        <w:t xml:space="preserve"> التي تتواصل </w:t>
      </w:r>
      <w:r>
        <w:rPr>
          <w:rFonts w:hint="cs"/>
          <w:rtl/>
          <w:lang w:val="en-GB"/>
        </w:rPr>
        <w:t xml:space="preserve">أو تعتزم التواصل </w:t>
      </w:r>
      <w:r w:rsidRPr="00832038">
        <w:rPr>
          <w:rtl/>
          <w:lang w:val="en-GB"/>
        </w:rPr>
        <w:t>مع المحطات الفضائية غير المستقرة بالنسبة إلى الأرض في الخدمة الثابتة الساتلية في نطاق التردد</w:t>
      </w:r>
      <w:r>
        <w:rPr>
          <w:rFonts w:hint="cs"/>
          <w:rtl/>
          <w:lang w:val="en-GB" w:bidi="ar-SY"/>
        </w:rPr>
        <w:t xml:space="preserve"> </w:t>
      </w:r>
      <w:r>
        <w:rPr>
          <w:lang w:bidi="ar-SY"/>
        </w:rPr>
        <w:t>GHz 13,25</w:t>
      </w:r>
      <w:r>
        <w:rPr>
          <w:lang w:bidi="ar-SY"/>
        </w:rPr>
        <w:noBreakHyphen/>
        <w:t>12,75</w:t>
      </w:r>
      <w:r>
        <w:rPr>
          <w:rFonts w:hint="cs"/>
          <w:rtl/>
          <w:lang w:bidi="ar-SY"/>
        </w:rPr>
        <w:t xml:space="preserve"> (أرض-فضاء)؛</w:t>
      </w:r>
    </w:p>
    <w:p w14:paraId="3A3619EB" w14:textId="37C760E7" w:rsidR="00D35380" w:rsidRDefault="00D35380" w:rsidP="00D35380">
      <w:pPr>
        <w:rPr>
          <w:rtl/>
          <w:lang w:val="en-GB"/>
        </w:rPr>
      </w:pPr>
      <w:r>
        <w:rPr>
          <w:rFonts w:hint="cs"/>
          <w:rtl/>
          <w:lang w:val="en-GB"/>
        </w:rPr>
        <w:t>2</w:t>
      </w:r>
      <w:r>
        <w:rPr>
          <w:rtl/>
          <w:lang w:val="en-GB"/>
        </w:rPr>
        <w:tab/>
      </w:r>
      <w:r>
        <w:rPr>
          <w:rFonts w:hint="cs"/>
          <w:rtl/>
          <w:lang w:val="en-GB"/>
        </w:rPr>
        <w:t xml:space="preserve">إلى </w:t>
      </w:r>
      <w:r w:rsidRPr="00832038">
        <w:rPr>
          <w:rtl/>
          <w:lang w:val="en-GB"/>
        </w:rPr>
        <w:t xml:space="preserve">دراسة التقاسم والتوافق بين </w:t>
      </w:r>
      <w:r w:rsidRPr="000960A3">
        <w:rPr>
          <w:rtl/>
          <w:lang w:val="en-GB"/>
        </w:rPr>
        <w:t>المحطات الأرضية المتحركة للطيران والمحطات الأرضية المتحركة البحرية</w:t>
      </w:r>
      <w:r w:rsidRPr="00EF4ADD">
        <w:rPr>
          <w:rtl/>
          <w:lang w:val="en-GB"/>
        </w:rPr>
        <w:t xml:space="preserve"> </w:t>
      </w:r>
      <w:r w:rsidRPr="00832038">
        <w:rPr>
          <w:rtl/>
          <w:lang w:val="en-GB"/>
        </w:rPr>
        <w:t>التي تتواصل مع المحطات غير المستقرة بالنسبة إلى الأرض في الخدمة الثابتة الساتلية والمحطات الحالية والمخططة للخدمات القائمة</w:t>
      </w:r>
      <w:r>
        <w:rPr>
          <w:rFonts w:hint="cs"/>
          <w:rtl/>
          <w:lang w:val="en-GB"/>
        </w:rPr>
        <w:t xml:space="preserve"> الموزعة</w:t>
      </w:r>
      <w:r w:rsidRPr="00832038">
        <w:rPr>
          <w:rtl/>
          <w:lang w:val="en-GB"/>
        </w:rPr>
        <w:t xml:space="preserve"> في</w:t>
      </w:r>
      <w:r>
        <w:rPr>
          <w:rFonts w:hint="cs"/>
          <w:rtl/>
          <w:lang w:val="en-GB" w:bidi="ar-SY"/>
        </w:rPr>
        <w:t xml:space="preserve"> نطاق التردد </w:t>
      </w:r>
      <w:r>
        <w:rPr>
          <w:lang w:bidi="ar-SY"/>
        </w:rPr>
        <w:t>GHz 13,25</w:t>
      </w:r>
      <w:r>
        <w:rPr>
          <w:lang w:bidi="ar-SY"/>
        </w:rPr>
        <w:noBreakHyphen/>
        <w:t>12,75</w:t>
      </w:r>
      <w:r>
        <w:rPr>
          <w:rFonts w:hint="cs"/>
          <w:rtl/>
          <w:lang w:bidi="ar-SY"/>
        </w:rPr>
        <w:t>؛</w:t>
      </w:r>
    </w:p>
    <w:p w14:paraId="488D1DAB" w14:textId="4AD7E54C" w:rsidR="00D35380" w:rsidRDefault="00D35380" w:rsidP="00D35380">
      <w:pPr>
        <w:rPr>
          <w:rtl/>
          <w:lang w:val="en-GB"/>
        </w:rPr>
      </w:pPr>
      <w:r>
        <w:rPr>
          <w:rFonts w:hint="cs"/>
          <w:rtl/>
          <w:lang w:val="en-GB"/>
        </w:rPr>
        <w:t>3</w:t>
      </w:r>
      <w:r>
        <w:rPr>
          <w:rtl/>
          <w:lang w:val="en-GB"/>
        </w:rPr>
        <w:tab/>
      </w:r>
      <w:r>
        <w:rPr>
          <w:rFonts w:hint="cs"/>
          <w:rtl/>
          <w:lang w:val="en-GB"/>
        </w:rPr>
        <w:t xml:space="preserve">إلى </w:t>
      </w:r>
      <w:r w:rsidRPr="00263BF1">
        <w:rPr>
          <w:rtl/>
          <w:lang w:val="en-GB"/>
        </w:rPr>
        <w:t>وضع معايير لضمان ألا</w:t>
      </w:r>
      <w:r>
        <w:rPr>
          <w:rFonts w:hint="cs"/>
          <w:rtl/>
          <w:lang w:val="en-GB"/>
        </w:rPr>
        <w:t xml:space="preserve"> </w:t>
      </w:r>
      <w:r w:rsidRPr="00263BF1">
        <w:rPr>
          <w:rtl/>
          <w:lang w:val="en-GB"/>
        </w:rPr>
        <w:t xml:space="preserve">تطلب المحطات الأرضية </w:t>
      </w:r>
      <w:r>
        <w:rPr>
          <w:rFonts w:hint="cs"/>
          <w:rtl/>
          <w:lang w:val="en-GB"/>
        </w:rPr>
        <w:t>المتحركة</w:t>
      </w:r>
      <w:r w:rsidRPr="00263BF1">
        <w:rPr>
          <w:rtl/>
          <w:lang w:val="en-GB"/>
        </w:rPr>
        <w:t xml:space="preserve"> مزيداً من الحماية أو تسبب تداخلاً أكبر مما تسببه المحطات الأرضية النمطية القائمة؛</w:t>
      </w:r>
    </w:p>
    <w:p w14:paraId="68B80608" w14:textId="7A472ED2" w:rsidR="00D35380" w:rsidRDefault="00D35380" w:rsidP="00D35380">
      <w:pPr>
        <w:rPr>
          <w:rtl/>
          <w:lang w:val="en-GB"/>
        </w:rPr>
      </w:pPr>
      <w:r>
        <w:rPr>
          <w:rFonts w:hint="cs"/>
          <w:rtl/>
          <w:lang w:val="en-GB"/>
        </w:rPr>
        <w:t>4</w:t>
      </w:r>
      <w:r>
        <w:rPr>
          <w:rtl/>
          <w:lang w:val="en-GB"/>
        </w:rPr>
        <w:tab/>
      </w:r>
      <w:r>
        <w:rPr>
          <w:rFonts w:hint="cs"/>
          <w:rtl/>
          <w:lang w:val="en-GB"/>
        </w:rPr>
        <w:t xml:space="preserve">إلى </w:t>
      </w:r>
      <w:r w:rsidRPr="00263BF1">
        <w:rPr>
          <w:rtl/>
          <w:lang w:val="en-GB"/>
        </w:rPr>
        <w:t xml:space="preserve">وضع الشروط التقنية والأحكام التنظيمية لتشغيل </w:t>
      </w:r>
      <w:r w:rsidRPr="000960A3">
        <w:rPr>
          <w:rtl/>
          <w:lang w:val="en-GB"/>
        </w:rPr>
        <w:t xml:space="preserve">المحطات الأرضية المتحركة للطيران والمحطات الأرضية المتحركة </w:t>
      </w:r>
      <w:r w:rsidRPr="000960A3">
        <w:rPr>
          <w:rFonts w:hint="cs"/>
          <w:rtl/>
          <w:lang w:val="en-GB"/>
        </w:rPr>
        <w:t>البحرية</w:t>
      </w:r>
      <w:r w:rsidRPr="00EF4ADD">
        <w:rPr>
          <w:rFonts w:hint="cs"/>
          <w:rtl/>
          <w:lang w:val="en-GB"/>
        </w:rPr>
        <w:t xml:space="preserve"> </w:t>
      </w:r>
      <w:r>
        <w:rPr>
          <w:rFonts w:hint="cs"/>
          <w:rtl/>
          <w:lang w:val="en-GB"/>
        </w:rPr>
        <w:t xml:space="preserve">التي تتواصل </w:t>
      </w:r>
      <w:r w:rsidRPr="00263BF1">
        <w:rPr>
          <w:rtl/>
          <w:lang w:val="en-GB"/>
        </w:rPr>
        <w:t>مع المحطات الفضائية غير المستقرة بالنسبة إلى الأرض في الخدمة الثابتة الساتلية التي تعمل</w:t>
      </w:r>
      <w:r>
        <w:rPr>
          <w:rFonts w:hint="cs"/>
          <w:rtl/>
          <w:lang w:val="en-GB"/>
        </w:rPr>
        <w:t xml:space="preserve"> في</w:t>
      </w:r>
      <w:r>
        <w:rPr>
          <w:rFonts w:hint="cs"/>
          <w:rtl/>
          <w:lang w:val="en-GB" w:bidi="ar-SY"/>
        </w:rPr>
        <w:t xml:space="preserve"> نطاق التردد </w:t>
      </w:r>
      <w:r>
        <w:rPr>
          <w:lang w:bidi="ar-SY"/>
        </w:rPr>
        <w:t>GHz 13,25</w:t>
      </w:r>
      <w:r>
        <w:rPr>
          <w:lang w:bidi="ar-SY"/>
        </w:rPr>
        <w:noBreakHyphen/>
        <w:t>12,75</w:t>
      </w:r>
      <w:r>
        <w:rPr>
          <w:rFonts w:hint="cs"/>
          <w:rtl/>
          <w:lang w:bidi="ar-SY"/>
        </w:rPr>
        <w:t xml:space="preserve"> (أرض-فضاء) </w:t>
      </w:r>
      <w:r w:rsidRPr="00263BF1">
        <w:rPr>
          <w:rtl/>
          <w:lang w:bidi="ar-SY"/>
        </w:rPr>
        <w:t xml:space="preserve">مع مراعاة نتائج الدراسات المبينة في </w:t>
      </w:r>
      <w:r w:rsidR="00A70D53" w:rsidRPr="006B5902">
        <w:rPr>
          <w:rFonts w:hint="cs"/>
          <w:rtl/>
          <w:lang w:bidi="ar-SY"/>
        </w:rPr>
        <w:t>ال</w:t>
      </w:r>
      <w:r w:rsidR="00A70D53" w:rsidRPr="006B5902">
        <w:rPr>
          <w:rFonts w:hint="cs"/>
          <w:rtl/>
          <w:lang w:bidi="ar-LB"/>
        </w:rPr>
        <w:t>قرارين</w:t>
      </w:r>
      <w:r w:rsidR="00A70D53" w:rsidRPr="006B5902">
        <w:rPr>
          <w:rFonts w:hint="cs"/>
          <w:rtl/>
          <w:lang w:bidi="ar-SY"/>
        </w:rPr>
        <w:t xml:space="preserve"> </w:t>
      </w:r>
      <w:r w:rsidRPr="006B5902">
        <w:rPr>
          <w:rFonts w:hint="cs"/>
          <w:rtl/>
          <w:lang w:bidi="ar-SY"/>
        </w:rPr>
        <w:t xml:space="preserve">1 و2 من </w:t>
      </w:r>
      <w:r w:rsidR="006B5902">
        <w:rPr>
          <w:rFonts w:hint="cs"/>
          <w:rtl/>
        </w:rPr>
        <w:t>"</w:t>
      </w:r>
      <w:r w:rsidRPr="006B5902">
        <w:rPr>
          <w:i/>
          <w:iCs/>
          <w:rtl/>
          <w:lang w:bidi="ar-SY"/>
        </w:rPr>
        <w:t>يدعو قطاع الاتصالات الراديوية بالاتحاد</w:t>
      </w:r>
      <w:r w:rsidR="006B5902">
        <w:rPr>
          <w:rFonts w:hint="cs"/>
          <w:i/>
          <w:iCs/>
          <w:rtl/>
          <w:lang w:bidi="ar-SY"/>
        </w:rPr>
        <w:t>"</w:t>
      </w:r>
      <w:r w:rsidRPr="00263BF1">
        <w:rPr>
          <w:rtl/>
          <w:lang w:bidi="ar-SY"/>
        </w:rPr>
        <w:t>، مع ضمان حماية الخدمات القائمة،</w:t>
      </w:r>
    </w:p>
    <w:p w14:paraId="76CC43BC" w14:textId="77777777" w:rsidR="00D35380" w:rsidRDefault="00D35380" w:rsidP="00D35380">
      <w:pPr>
        <w:pStyle w:val="Call"/>
        <w:rPr>
          <w:rtl/>
          <w:lang w:val="en-GB"/>
        </w:rPr>
      </w:pPr>
      <w:r w:rsidRPr="00263BF1">
        <w:rPr>
          <w:rtl/>
          <w:lang w:val="en-GB"/>
        </w:rPr>
        <w:t>يدعو المؤتمر العالمي للاتصالات الراديوية لعام 2027</w:t>
      </w:r>
    </w:p>
    <w:p w14:paraId="154F738B" w14:textId="77777777" w:rsidR="00D35380" w:rsidRDefault="00D35380" w:rsidP="00D35380">
      <w:pPr>
        <w:rPr>
          <w:rtl/>
          <w:lang w:val="en-GB"/>
        </w:rPr>
      </w:pPr>
      <w:r>
        <w:rPr>
          <w:rFonts w:hint="cs"/>
          <w:rtl/>
          <w:lang w:val="en-GB"/>
        </w:rPr>
        <w:t xml:space="preserve">إلى </w:t>
      </w:r>
      <w:r w:rsidRPr="00263BF1">
        <w:rPr>
          <w:rtl/>
          <w:lang w:val="en-GB"/>
        </w:rPr>
        <w:t>النظر في نتائج الدراسات المذكورة أعلاه وا</w:t>
      </w:r>
      <w:r>
        <w:rPr>
          <w:rFonts w:hint="cs"/>
          <w:rtl/>
          <w:lang w:val="en-GB"/>
        </w:rPr>
        <w:t>عتماد</w:t>
      </w:r>
      <w:r w:rsidRPr="00263BF1">
        <w:rPr>
          <w:rtl/>
          <w:lang w:val="en-GB"/>
        </w:rPr>
        <w:t xml:space="preserve"> الإجراءات اللازمة بناء</w:t>
      </w:r>
      <w:r>
        <w:rPr>
          <w:rFonts w:hint="cs"/>
          <w:rtl/>
          <w:lang w:val="en-GB"/>
        </w:rPr>
        <w:t>ً</w:t>
      </w:r>
      <w:r w:rsidRPr="00263BF1">
        <w:rPr>
          <w:rtl/>
          <w:lang w:val="en-GB"/>
        </w:rPr>
        <w:t xml:space="preserve"> عليها،</w:t>
      </w:r>
    </w:p>
    <w:p w14:paraId="241052DF" w14:textId="77777777" w:rsidR="00D35380" w:rsidRDefault="00D35380" w:rsidP="00D35380">
      <w:pPr>
        <w:pStyle w:val="Call"/>
        <w:rPr>
          <w:rtl/>
          <w:lang w:val="en-GB"/>
        </w:rPr>
      </w:pPr>
      <w:r w:rsidRPr="00263BF1">
        <w:rPr>
          <w:rtl/>
          <w:lang w:val="en-GB"/>
        </w:rPr>
        <w:t>يدعو الإدارات</w:t>
      </w:r>
    </w:p>
    <w:p w14:paraId="2147F168" w14:textId="77777777" w:rsidR="00D35380" w:rsidRPr="00983B0D" w:rsidRDefault="00D35380" w:rsidP="00D35380">
      <w:pPr>
        <w:rPr>
          <w:rtl/>
          <w:lang w:val="en-GB"/>
        </w:rPr>
      </w:pPr>
      <w:r>
        <w:rPr>
          <w:rFonts w:hint="cs"/>
          <w:rtl/>
          <w:lang w:val="en-GB"/>
        </w:rPr>
        <w:t>إلى ا</w:t>
      </w:r>
      <w:r w:rsidRPr="00263BF1">
        <w:rPr>
          <w:rtl/>
          <w:lang w:val="en-GB"/>
        </w:rPr>
        <w:t xml:space="preserve">لمشاركة بنشاط في </w:t>
      </w:r>
      <w:r>
        <w:rPr>
          <w:rFonts w:hint="cs"/>
          <w:rtl/>
          <w:lang w:val="en-GB"/>
        </w:rPr>
        <w:t xml:space="preserve">هذه </w:t>
      </w:r>
      <w:r w:rsidRPr="00263BF1">
        <w:rPr>
          <w:rtl/>
          <w:lang w:val="en-GB"/>
        </w:rPr>
        <w:t>الدراسات بإرسال مساهماتها إلى قطاع الاتصالات الراديوية</w:t>
      </w:r>
      <w:r>
        <w:rPr>
          <w:rFonts w:hint="cs"/>
          <w:rtl/>
          <w:lang w:val="en-GB"/>
        </w:rPr>
        <w:t>.</w:t>
      </w:r>
    </w:p>
    <w:p w14:paraId="3E775F13" w14:textId="77777777" w:rsidR="008832E7" w:rsidRDefault="008832E7">
      <w:pPr>
        <w:pStyle w:val="Reasons"/>
      </w:pPr>
    </w:p>
    <w:p w14:paraId="048732E6" w14:textId="181C8B4D" w:rsidR="008832E7" w:rsidRDefault="009C5157">
      <w:pPr>
        <w:pStyle w:val="Proposal"/>
      </w:pPr>
      <w:r>
        <w:lastRenderedPageBreak/>
        <w:t>SUP</w:t>
      </w:r>
      <w:r>
        <w:tab/>
      </w:r>
      <w:r w:rsidR="008B544A">
        <w:t>NIG/</w:t>
      </w:r>
      <w:r>
        <w:t>PNG/TON/164/3</w:t>
      </w:r>
    </w:p>
    <w:p w14:paraId="51B8509C" w14:textId="77777777" w:rsidR="009C5157" w:rsidRPr="00FE2CFF" w:rsidRDefault="009C5157" w:rsidP="007511FA">
      <w:pPr>
        <w:pStyle w:val="ResNo"/>
        <w:rPr>
          <w:rtl/>
          <w:lang w:val="en-CA"/>
        </w:rPr>
      </w:pPr>
      <w:bookmarkStart w:id="2" w:name="_Toc36038473"/>
      <w:bookmarkStart w:id="3" w:name="_Toc40075995"/>
      <w:r w:rsidRPr="00FE2CFF">
        <w:rPr>
          <w:rFonts w:hint="cs"/>
          <w:rtl/>
        </w:rPr>
        <w:t xml:space="preserve">القرار </w:t>
      </w:r>
      <w:r>
        <w:rPr>
          <w:rStyle w:val="href"/>
        </w:rPr>
        <w:t>812</w:t>
      </w:r>
      <w:r w:rsidRPr="00FE2CFF">
        <w:rPr>
          <w:lang w:val="en-CA"/>
        </w:rPr>
        <w:t xml:space="preserve"> (WRC</w:t>
      </w:r>
      <w:r w:rsidRPr="00FE2CFF">
        <w:rPr>
          <w:lang w:val="en-CA"/>
        </w:rPr>
        <w:noBreakHyphen/>
      </w:r>
      <w:r w:rsidRPr="00FE2CFF">
        <w:t>19</w:t>
      </w:r>
      <w:r w:rsidRPr="00FE2CFF">
        <w:rPr>
          <w:lang w:val="en-CA"/>
        </w:rPr>
        <w:t>)</w:t>
      </w:r>
      <w:bookmarkEnd w:id="2"/>
      <w:bookmarkEnd w:id="3"/>
    </w:p>
    <w:p w14:paraId="26F94D36" w14:textId="77777777" w:rsidR="009C5157" w:rsidRPr="00FE2CFF" w:rsidRDefault="009C5157" w:rsidP="007511FA">
      <w:pPr>
        <w:pStyle w:val="Restitle"/>
      </w:pPr>
      <w:bookmarkStart w:id="4" w:name="_Toc36038474"/>
      <w:bookmarkStart w:id="5" w:name="_Toc40075996"/>
      <w:r w:rsidRPr="00FE2CFF">
        <w:rPr>
          <w:rFonts w:hint="cs"/>
          <w:rtl/>
        </w:rPr>
        <w:t xml:space="preserve">جدول الأعمال التمهيدي للمؤتمر العالمي للاتصالات الراديوية لعام </w:t>
      </w:r>
      <w:r w:rsidRPr="00FE2CFF">
        <w:t>2027</w:t>
      </w:r>
      <w:r w:rsidRPr="00FE2CFF">
        <w:rPr>
          <w:rStyle w:val="FootnoteReference"/>
          <w:rtl/>
        </w:rPr>
        <w:footnoteReference w:customMarkFollows="1" w:id="1"/>
        <w:t>*</w:t>
      </w:r>
      <w:bookmarkEnd w:id="4"/>
      <w:bookmarkEnd w:id="5"/>
    </w:p>
    <w:p w14:paraId="2436A8CC" w14:textId="699E6C51" w:rsidR="00D35380" w:rsidRDefault="009C5157">
      <w:pPr>
        <w:pStyle w:val="Reasons"/>
        <w:rPr>
          <w:b w:val="0"/>
          <w:bCs w:val="0"/>
          <w:rtl/>
          <w:lang w:bidi="ar-EG"/>
        </w:rPr>
      </w:pPr>
      <w:r>
        <w:rPr>
          <w:rtl/>
        </w:rPr>
        <w:t>الأسباب:</w:t>
      </w:r>
      <w:r>
        <w:tab/>
      </w:r>
      <w:r w:rsidR="00D35380" w:rsidRPr="00874AA5">
        <w:rPr>
          <w:b w:val="0"/>
          <w:bCs w:val="0"/>
          <w:rtl/>
          <w:lang w:val="en-GB"/>
        </w:rPr>
        <w:t xml:space="preserve">ينبغي </w:t>
      </w:r>
      <w:r w:rsidR="00D35380">
        <w:rPr>
          <w:rFonts w:hint="cs"/>
          <w:b w:val="0"/>
          <w:bCs w:val="0"/>
          <w:rtl/>
          <w:lang w:val="en-GB"/>
        </w:rPr>
        <w:t>إلغاء</w:t>
      </w:r>
      <w:r w:rsidR="00D35380" w:rsidRPr="00874AA5">
        <w:rPr>
          <w:b w:val="0"/>
          <w:bCs w:val="0"/>
          <w:rtl/>
          <w:lang w:val="en-GB"/>
        </w:rPr>
        <w:t xml:space="preserve"> هذا القرار لأن المؤتمر العالمي للاتصالات الراديوية لعام </w:t>
      </w:r>
      <w:r w:rsidR="00D35380">
        <w:rPr>
          <w:rFonts w:hint="cs"/>
          <w:b w:val="0"/>
          <w:bCs w:val="0"/>
          <w:rtl/>
          <w:lang w:val="en-GB"/>
        </w:rPr>
        <w:t>2023</w:t>
      </w:r>
      <w:r w:rsidR="00D35380" w:rsidRPr="00874AA5">
        <w:rPr>
          <w:b w:val="0"/>
          <w:bCs w:val="0"/>
          <w:rtl/>
          <w:lang w:val="en-GB"/>
        </w:rPr>
        <w:t xml:space="preserve"> سيضع قرار</w:t>
      </w:r>
      <w:r w:rsidR="00D35380">
        <w:rPr>
          <w:rFonts w:hint="cs"/>
          <w:b w:val="0"/>
          <w:bCs w:val="0"/>
          <w:rtl/>
          <w:lang w:val="en-GB"/>
        </w:rPr>
        <w:t>اً</w:t>
      </w:r>
      <w:r w:rsidR="00D35380" w:rsidRPr="00874AA5">
        <w:rPr>
          <w:b w:val="0"/>
          <w:bCs w:val="0"/>
          <w:rtl/>
          <w:lang w:val="en-GB"/>
        </w:rPr>
        <w:t xml:space="preserve"> جديد</w:t>
      </w:r>
      <w:r w:rsidR="00D35380">
        <w:rPr>
          <w:rFonts w:hint="cs"/>
          <w:b w:val="0"/>
          <w:bCs w:val="0"/>
          <w:rtl/>
          <w:lang w:val="en-GB"/>
        </w:rPr>
        <w:t>اً</w:t>
      </w:r>
      <w:r w:rsidR="00D35380" w:rsidRPr="00874AA5">
        <w:rPr>
          <w:b w:val="0"/>
          <w:bCs w:val="0"/>
          <w:rtl/>
          <w:lang w:val="en-GB"/>
        </w:rPr>
        <w:t xml:space="preserve"> يتضمن جدول أعمال المؤتمر العالمي للاتصالات الراديوية لعام </w:t>
      </w:r>
      <w:r w:rsidR="00D35380">
        <w:rPr>
          <w:b w:val="0"/>
          <w:bCs w:val="0"/>
          <w:lang w:val="en-GB"/>
        </w:rPr>
        <w:t>2027</w:t>
      </w:r>
      <w:r w:rsidR="00D35380">
        <w:rPr>
          <w:rFonts w:hint="cs"/>
          <w:b w:val="0"/>
          <w:bCs w:val="0"/>
          <w:rtl/>
          <w:lang w:bidi="ar-EG"/>
        </w:rPr>
        <w:t>.</w:t>
      </w:r>
      <w:r w:rsidR="00D35380">
        <w:rPr>
          <w:b w:val="0"/>
          <w:bCs w:val="0"/>
          <w:rtl/>
          <w:lang w:bidi="ar-EG"/>
        </w:rPr>
        <w:br w:type="page"/>
      </w:r>
    </w:p>
    <w:p w14:paraId="24AE9FA3" w14:textId="77777777" w:rsidR="00D35380" w:rsidRDefault="00D35380" w:rsidP="00D35380">
      <w:pPr>
        <w:pStyle w:val="AnnexNo"/>
        <w:rPr>
          <w:rtl/>
          <w:lang w:bidi="ar-SA"/>
        </w:rPr>
      </w:pPr>
      <w:r>
        <w:rPr>
          <w:rFonts w:hint="cs"/>
          <w:rtl/>
          <w:lang w:bidi="ar-SA"/>
        </w:rPr>
        <w:lastRenderedPageBreak/>
        <w:t>المرفق</w:t>
      </w:r>
    </w:p>
    <w:p w14:paraId="5A2EFE37" w14:textId="7632D6E5" w:rsidR="00D35380" w:rsidRDefault="00A70D53" w:rsidP="00D35380">
      <w:pPr>
        <w:pStyle w:val="Annextitle"/>
        <w:rPr>
          <w:rtl/>
        </w:rPr>
      </w:pPr>
      <w:r>
        <w:rPr>
          <w:rFonts w:hint="cs"/>
          <w:rtl/>
          <w:lang w:bidi="ar-SY"/>
        </w:rPr>
        <w:t>مقترحات بش</w:t>
      </w:r>
      <w:r w:rsidR="00A3202B">
        <w:rPr>
          <w:rFonts w:hint="cs"/>
          <w:rtl/>
          <w:lang w:bidi="ar-SY"/>
        </w:rPr>
        <w:t>أ</w:t>
      </w:r>
      <w:r>
        <w:rPr>
          <w:rFonts w:hint="cs"/>
          <w:rtl/>
          <w:lang w:bidi="ar-SY"/>
        </w:rPr>
        <w:t xml:space="preserve">ن بند جدول </w:t>
      </w:r>
      <w:r w:rsidR="00964D1F">
        <w:rPr>
          <w:rFonts w:hint="cs"/>
          <w:rtl/>
        </w:rPr>
        <w:t>أ</w:t>
      </w:r>
      <w:r>
        <w:rPr>
          <w:rFonts w:hint="cs"/>
          <w:rtl/>
          <w:lang w:bidi="ar-SY"/>
        </w:rPr>
        <w:t xml:space="preserve">عمال المؤتمر </w:t>
      </w:r>
      <w:r>
        <w:rPr>
          <w:lang w:bidi="ar-SY"/>
        </w:rPr>
        <w:t>WRC-27</w:t>
      </w:r>
      <w:r w:rsidR="00D35380">
        <w:rPr>
          <w:rFonts w:hint="cs"/>
          <w:rtl/>
        </w:rPr>
        <w:t xml:space="preserve"> </w:t>
      </w:r>
    </w:p>
    <w:tbl>
      <w:tblPr>
        <w:bidiVisual/>
        <w:tblW w:w="9658"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0"/>
        <w:gridCol w:w="5558"/>
      </w:tblGrid>
      <w:tr w:rsidR="00D35380" w:rsidRPr="00752580" w14:paraId="162C6D25" w14:textId="77777777" w:rsidTr="00B977C3">
        <w:trPr>
          <w:trHeight w:val="300"/>
        </w:trPr>
        <w:tc>
          <w:tcPr>
            <w:tcW w:w="9658" w:type="dxa"/>
            <w:gridSpan w:val="2"/>
            <w:tcBorders>
              <w:top w:val="nil"/>
              <w:left w:val="nil"/>
              <w:bottom w:val="nil"/>
              <w:right w:val="nil"/>
            </w:tcBorders>
            <w:shd w:val="clear" w:color="auto" w:fill="auto"/>
            <w:hideMark/>
          </w:tcPr>
          <w:p w14:paraId="57DB6131" w14:textId="3E499812" w:rsidR="00D35380" w:rsidRPr="00752580" w:rsidRDefault="00D35380" w:rsidP="00787EBD">
            <w:pPr>
              <w:rPr>
                <w:rtl/>
                <w:lang w:val="en-GB"/>
              </w:rPr>
            </w:pPr>
            <w:r w:rsidRPr="00D622B9">
              <w:rPr>
                <w:b/>
                <w:bCs/>
                <w:rtl/>
                <w:lang w:val="en-GB" w:eastAsia="en-GB"/>
              </w:rPr>
              <w:t>الموضوع:</w:t>
            </w:r>
            <w:r>
              <w:rPr>
                <w:b/>
                <w:bCs/>
                <w:rtl/>
                <w:lang w:val="en-GB" w:eastAsia="en-GB"/>
              </w:rPr>
              <w:tab/>
            </w:r>
            <w:r w:rsidR="00A70D53">
              <w:rPr>
                <w:rFonts w:hint="cs"/>
                <w:rtl/>
                <w:lang w:val="en-GB" w:eastAsia="en-GB" w:bidi="ar-EG"/>
              </w:rPr>
              <w:t xml:space="preserve">استعمال </w:t>
            </w:r>
            <w:r w:rsidR="00451F16">
              <w:rPr>
                <w:rFonts w:hint="cs"/>
                <w:rtl/>
                <w:lang w:val="en-GB" w:eastAsia="en-GB"/>
              </w:rPr>
              <w:t xml:space="preserve">نطاق </w:t>
            </w:r>
            <w:r w:rsidRPr="00426FA5">
              <w:rPr>
                <w:rtl/>
                <w:lang w:val="en-GB" w:eastAsia="en-GB"/>
              </w:rPr>
              <w:t>التردد</w:t>
            </w:r>
            <w:r w:rsidRPr="00BD5D15">
              <w:rPr>
                <w:rFonts w:hint="cs"/>
                <w:rtl/>
                <w:lang w:val="en-GB" w:eastAsia="en-GB" w:bidi="ar-SY"/>
              </w:rPr>
              <w:t xml:space="preserve"> </w:t>
            </w:r>
            <w:r w:rsidRPr="00BD5D15">
              <w:rPr>
                <w:lang w:eastAsia="en-GB"/>
              </w:rPr>
              <w:t>GHz 13,25</w:t>
            </w:r>
            <w:r w:rsidRPr="00BD5D15">
              <w:rPr>
                <w:lang w:eastAsia="en-GB"/>
              </w:rPr>
              <w:noBreakHyphen/>
              <w:t>12,75</w:t>
            </w:r>
            <w:r w:rsidR="00A70D53">
              <w:rPr>
                <w:rFonts w:hint="cs"/>
                <w:rtl/>
                <w:lang w:val="en-GB" w:eastAsia="en-GB" w:bidi="ar-SY"/>
              </w:rPr>
              <w:t xml:space="preserve"> في المحطات الأرضية المتحركة في الطائرات والسفن التي تتواصل مع محطات فضائية غير مستقرة بالنسبة إلى الأرض في الخدمة الثابتة الساتلية (أرض-فضاء)</w:t>
            </w:r>
          </w:p>
        </w:tc>
      </w:tr>
      <w:tr w:rsidR="00D35380" w:rsidRPr="00752580" w14:paraId="2F4239D4" w14:textId="77777777" w:rsidTr="00B977C3">
        <w:trPr>
          <w:trHeight w:val="300"/>
        </w:trPr>
        <w:tc>
          <w:tcPr>
            <w:tcW w:w="9658" w:type="dxa"/>
            <w:gridSpan w:val="2"/>
            <w:tcBorders>
              <w:top w:val="nil"/>
              <w:left w:val="nil"/>
              <w:bottom w:val="single" w:sz="6" w:space="0" w:color="auto"/>
              <w:right w:val="nil"/>
            </w:tcBorders>
            <w:shd w:val="clear" w:color="auto" w:fill="auto"/>
            <w:hideMark/>
          </w:tcPr>
          <w:p w14:paraId="4163DDD6" w14:textId="6F10B9CA" w:rsidR="00D35380" w:rsidRPr="00752580" w:rsidRDefault="00D35380" w:rsidP="00451F16">
            <w:pPr>
              <w:rPr>
                <w:lang w:val="en-GB" w:eastAsia="en-GB"/>
              </w:rPr>
            </w:pPr>
            <w:r>
              <w:rPr>
                <w:rFonts w:hint="cs"/>
                <w:b/>
                <w:bCs/>
                <w:rtl/>
                <w:lang w:val="en-GB" w:eastAsia="en-GB"/>
              </w:rPr>
              <w:t>المصدر:</w:t>
            </w:r>
            <w:r>
              <w:rPr>
                <w:b/>
                <w:bCs/>
                <w:rtl/>
                <w:lang w:val="en-GB" w:eastAsia="en-GB"/>
              </w:rPr>
              <w:tab/>
            </w:r>
            <w:r w:rsidR="008B544A" w:rsidRPr="008B544A">
              <w:rPr>
                <w:rFonts w:hint="cs"/>
                <w:rtl/>
                <w:lang w:val="en-GB" w:eastAsia="en-GB"/>
              </w:rPr>
              <w:t>جمهورية نيجيريا الاتحادية،</w:t>
            </w:r>
            <w:r w:rsidR="008B544A">
              <w:rPr>
                <w:rFonts w:hint="cs"/>
                <w:b/>
                <w:bCs/>
                <w:rtl/>
                <w:lang w:val="en-GB" w:eastAsia="en-GB"/>
              </w:rPr>
              <w:t xml:space="preserve"> </w:t>
            </w:r>
            <w:r w:rsidR="00451F16" w:rsidRPr="00451F16">
              <w:rPr>
                <w:rtl/>
                <w:lang w:val="en-GB" w:eastAsia="en-GB"/>
              </w:rPr>
              <w:t>بابوا غينيا الجديدة</w:t>
            </w:r>
            <w:r w:rsidR="00451F16" w:rsidRPr="00451F16">
              <w:rPr>
                <w:rFonts w:hint="cs"/>
                <w:rtl/>
                <w:lang w:val="en-GB" w:eastAsia="en-GB"/>
              </w:rPr>
              <w:t xml:space="preserve">، </w:t>
            </w:r>
            <w:r w:rsidR="00451F16" w:rsidRPr="00451F16">
              <w:rPr>
                <w:rtl/>
                <w:lang w:val="en-GB" w:eastAsia="en-GB"/>
              </w:rPr>
              <w:t>مملكة تونغا</w:t>
            </w:r>
          </w:p>
        </w:tc>
      </w:tr>
      <w:tr w:rsidR="00D35380" w:rsidRPr="00752580" w14:paraId="353998B4" w14:textId="77777777" w:rsidTr="00B977C3">
        <w:trPr>
          <w:trHeight w:val="300"/>
        </w:trPr>
        <w:tc>
          <w:tcPr>
            <w:tcW w:w="9658" w:type="dxa"/>
            <w:gridSpan w:val="2"/>
            <w:tcBorders>
              <w:top w:val="single" w:sz="6" w:space="0" w:color="auto"/>
              <w:left w:val="nil"/>
              <w:bottom w:val="single" w:sz="6" w:space="0" w:color="auto"/>
              <w:right w:val="nil"/>
            </w:tcBorders>
            <w:shd w:val="clear" w:color="auto" w:fill="auto"/>
            <w:hideMark/>
          </w:tcPr>
          <w:p w14:paraId="1AB140C0" w14:textId="77777777" w:rsidR="00D35380" w:rsidRPr="00F9146F" w:rsidRDefault="00D35380" w:rsidP="00787EBD">
            <w:pPr>
              <w:tabs>
                <w:tab w:val="clear" w:pos="1134"/>
                <w:tab w:val="clear" w:pos="1871"/>
                <w:tab w:val="clear" w:pos="2268"/>
              </w:tabs>
              <w:spacing w:before="0" w:line="240" w:lineRule="auto"/>
              <w:jc w:val="left"/>
              <w:textAlignment w:val="baseline"/>
              <w:rPr>
                <w:b/>
                <w:bCs/>
                <w:lang w:val="en-GB" w:eastAsia="en-GB"/>
              </w:rPr>
            </w:pPr>
            <w:r w:rsidRPr="005C3C22">
              <w:rPr>
                <w:rFonts w:hint="cs"/>
                <w:b/>
                <w:bCs/>
                <w:i/>
                <w:iCs/>
                <w:color w:val="000000"/>
                <w:rtl/>
                <w:lang w:val="en-GB" w:eastAsia="en-GB"/>
              </w:rPr>
              <w:t>المقترح</w:t>
            </w:r>
            <w:r w:rsidRPr="00F9146F">
              <w:rPr>
                <w:rFonts w:hint="cs"/>
                <w:b/>
                <w:bCs/>
                <w:color w:val="000000"/>
                <w:rtl/>
                <w:lang w:val="en-GB" w:eastAsia="en-GB"/>
              </w:rPr>
              <w:t>:</w:t>
            </w:r>
            <w:r w:rsidRPr="00F9146F">
              <w:rPr>
                <w:b/>
                <w:bCs/>
                <w:color w:val="000000"/>
                <w:lang w:val="en-GB" w:eastAsia="en-GB"/>
              </w:rPr>
              <w:t> </w:t>
            </w:r>
          </w:p>
          <w:p w14:paraId="1D0DCB36" w14:textId="53B8F067" w:rsidR="00D35380" w:rsidRPr="00752580" w:rsidRDefault="00A70D53" w:rsidP="00787EBD">
            <w:pPr>
              <w:rPr>
                <w:lang w:val="en-GB"/>
              </w:rPr>
            </w:pPr>
            <w:r w:rsidRPr="00C22E75">
              <w:rPr>
                <w:rtl/>
                <w:lang w:val="en-GB"/>
              </w:rPr>
              <w:t xml:space="preserve"> </w:t>
            </w:r>
            <w:r>
              <w:rPr>
                <w:rFonts w:hint="cs"/>
                <w:rtl/>
                <w:lang w:val="en-GB" w:eastAsia="en-GB" w:bidi="ar-EG"/>
              </w:rPr>
              <w:t xml:space="preserve">استعمال </w:t>
            </w:r>
            <w:r>
              <w:rPr>
                <w:rFonts w:hint="cs"/>
                <w:rtl/>
                <w:lang w:val="en-GB" w:eastAsia="en-GB"/>
              </w:rPr>
              <w:t xml:space="preserve">نطاق </w:t>
            </w:r>
            <w:r w:rsidRPr="00426FA5">
              <w:rPr>
                <w:rtl/>
                <w:lang w:val="en-GB" w:eastAsia="en-GB"/>
              </w:rPr>
              <w:t>التردد</w:t>
            </w:r>
            <w:r w:rsidRPr="00BD5D15">
              <w:rPr>
                <w:rFonts w:hint="cs"/>
                <w:rtl/>
                <w:lang w:val="en-GB" w:eastAsia="en-GB" w:bidi="ar-SY"/>
              </w:rPr>
              <w:t xml:space="preserve"> </w:t>
            </w:r>
            <w:r w:rsidRPr="00BD5D15">
              <w:rPr>
                <w:lang w:eastAsia="en-GB"/>
              </w:rPr>
              <w:t>GHz 13,25</w:t>
            </w:r>
            <w:r w:rsidRPr="00BD5D15">
              <w:rPr>
                <w:lang w:eastAsia="en-GB"/>
              </w:rPr>
              <w:noBreakHyphen/>
              <w:t>12,75</w:t>
            </w:r>
            <w:r>
              <w:rPr>
                <w:rFonts w:hint="cs"/>
                <w:rtl/>
                <w:lang w:val="en-GB" w:eastAsia="en-GB" w:bidi="ar-SY"/>
              </w:rPr>
              <w:t xml:space="preserve"> في المحطات الأرضية المتحركة في الطائرات والسفن التي تتواصل مع محطات فضائية غير مستقرة بالنسبة إلى الأرض في الخدمة الثابتة الساتلية (أرض-فضاء)</w:t>
            </w:r>
            <w:r w:rsidR="00B977C3">
              <w:rPr>
                <w:rFonts w:hint="cs"/>
                <w:rtl/>
                <w:lang w:val="en-GB" w:bidi="ar-SY"/>
              </w:rPr>
              <w:t xml:space="preserve"> وفقاً للقرار</w:t>
            </w:r>
            <w:r w:rsidR="00964D1F">
              <w:rPr>
                <w:rtl/>
                <w:lang w:val="en-GB" w:bidi="ar-SY"/>
              </w:rPr>
              <w:br/>
            </w:r>
            <w:r w:rsidR="00964D1F" w:rsidRPr="00B72560">
              <w:rPr>
                <w:b/>
              </w:rPr>
              <w:t>(WRC-23</w:t>
            </w:r>
            <w:r w:rsidR="00964D1F">
              <w:rPr>
                <w:b/>
              </w:rPr>
              <w:t>)</w:t>
            </w:r>
            <w:r w:rsidR="00964D1F" w:rsidRPr="00B72560">
              <w:rPr>
                <w:b/>
                <w:iCs/>
                <w:color w:val="000000"/>
              </w:rPr>
              <w:t xml:space="preserve"> </w:t>
            </w:r>
            <w:r w:rsidR="00B977C3" w:rsidRPr="00B72560">
              <w:rPr>
                <w:b/>
                <w:iCs/>
                <w:color w:val="000000"/>
              </w:rPr>
              <w:t>[</w:t>
            </w:r>
            <w:r w:rsidR="00B977C3" w:rsidRPr="00B72560">
              <w:rPr>
                <w:b/>
              </w:rPr>
              <w:t>NGSO ESIM 13 GHz]</w:t>
            </w:r>
            <w:r w:rsidR="00B977C3">
              <w:rPr>
                <w:rFonts w:hint="cs"/>
                <w:b/>
                <w:rtl/>
                <w:lang w:bidi="ar-LB"/>
              </w:rPr>
              <w:t>.</w:t>
            </w:r>
          </w:p>
        </w:tc>
      </w:tr>
      <w:tr w:rsidR="00D35380" w:rsidRPr="00752580" w14:paraId="7F3F63FA" w14:textId="77777777" w:rsidTr="00B977C3">
        <w:trPr>
          <w:trHeight w:val="300"/>
        </w:trPr>
        <w:tc>
          <w:tcPr>
            <w:tcW w:w="9658" w:type="dxa"/>
            <w:gridSpan w:val="2"/>
            <w:tcBorders>
              <w:top w:val="single" w:sz="6" w:space="0" w:color="auto"/>
              <w:left w:val="nil"/>
              <w:bottom w:val="single" w:sz="6" w:space="0" w:color="auto"/>
              <w:right w:val="nil"/>
            </w:tcBorders>
            <w:shd w:val="clear" w:color="auto" w:fill="auto"/>
            <w:hideMark/>
          </w:tcPr>
          <w:p w14:paraId="7DA4132B" w14:textId="77777777" w:rsidR="00D35380" w:rsidRPr="00752580" w:rsidRDefault="00D35380" w:rsidP="00787EBD">
            <w:pPr>
              <w:tabs>
                <w:tab w:val="clear" w:pos="1134"/>
                <w:tab w:val="clear" w:pos="1871"/>
                <w:tab w:val="clear" w:pos="2268"/>
              </w:tabs>
              <w:spacing w:before="0" w:line="240" w:lineRule="auto"/>
              <w:jc w:val="left"/>
              <w:textAlignment w:val="baseline"/>
              <w:rPr>
                <w:lang w:val="en-GB" w:eastAsia="en-GB"/>
              </w:rPr>
            </w:pPr>
            <w:r>
              <w:rPr>
                <w:rFonts w:hint="cs"/>
                <w:b/>
                <w:bCs/>
                <w:i/>
                <w:iCs/>
                <w:rtl/>
                <w:lang w:val="en-GB" w:eastAsia="en-GB"/>
              </w:rPr>
              <w:t>الخلفية/الأسباب الداعية إلى المقترح</w:t>
            </w:r>
            <w:r w:rsidRPr="00F9146F">
              <w:rPr>
                <w:rFonts w:hint="cs"/>
                <w:b/>
                <w:bCs/>
                <w:rtl/>
                <w:lang w:val="en-GB" w:eastAsia="en-GB"/>
              </w:rPr>
              <w:t>:</w:t>
            </w:r>
          </w:p>
          <w:p w14:paraId="11D975CB" w14:textId="0F2D07E9" w:rsidR="00B977C3" w:rsidRDefault="00B977C3" w:rsidP="00B977C3">
            <w:pPr>
              <w:rPr>
                <w:rtl/>
                <w:lang w:bidi="ar-LB"/>
              </w:rPr>
            </w:pPr>
            <w:r>
              <w:rPr>
                <w:rtl/>
              </w:rPr>
              <w:t>ي</w:t>
            </w:r>
            <w:r>
              <w:rPr>
                <w:rFonts w:hint="cs"/>
                <w:rtl/>
              </w:rPr>
              <w:t>حتاج</w:t>
            </w:r>
            <w:r>
              <w:rPr>
                <w:rtl/>
              </w:rPr>
              <w:t xml:space="preserve"> الطلب المتزايد على التطبيقات القائمة على الإنترنت </w:t>
            </w:r>
            <w:r>
              <w:rPr>
                <w:rFonts w:hint="cs"/>
                <w:rtl/>
              </w:rPr>
              <w:t>لصناعة</w:t>
            </w:r>
            <w:r>
              <w:rPr>
                <w:rtl/>
              </w:rPr>
              <w:t xml:space="preserve"> الطيران و</w:t>
            </w:r>
            <w:r>
              <w:rPr>
                <w:rFonts w:hint="cs"/>
                <w:rtl/>
              </w:rPr>
              <w:t xml:space="preserve">الصناعة </w:t>
            </w:r>
            <w:r>
              <w:rPr>
                <w:rtl/>
              </w:rPr>
              <w:t>البحرية</w:t>
            </w:r>
            <w:r>
              <w:rPr>
                <w:rFonts w:hint="cs"/>
                <w:rtl/>
              </w:rPr>
              <w:t xml:space="preserve"> إلى</w:t>
            </w:r>
            <w:r>
              <w:rPr>
                <w:rtl/>
              </w:rPr>
              <w:t xml:space="preserve"> </w:t>
            </w:r>
            <w:r>
              <w:rPr>
                <w:rFonts w:hint="cs"/>
                <w:rtl/>
              </w:rPr>
              <w:t>سعة</w:t>
            </w:r>
            <w:r>
              <w:rPr>
                <w:rtl/>
              </w:rPr>
              <w:t xml:space="preserve"> ساتلية إضافية </w:t>
            </w:r>
            <w:r>
              <w:rPr>
                <w:rFonts w:hint="cs"/>
                <w:rtl/>
              </w:rPr>
              <w:t>لهاتين الخدمتين</w:t>
            </w:r>
            <w:r>
              <w:rPr>
                <w:rFonts w:hint="cs"/>
                <w:rtl/>
                <w:lang w:bidi="ar-LB"/>
              </w:rPr>
              <w:t xml:space="preserve">. ويمكن تلبية هذا الطلب جزئياً بتوفير سعة إضافية يتم الحصول عليها بالسماح بتشغيل المحطات الأرضية المتحركة </w:t>
            </w:r>
            <w:r>
              <w:rPr>
                <w:lang w:bidi="ar-LB"/>
              </w:rPr>
              <w:t>(</w:t>
            </w:r>
            <w:r w:rsidR="00316D21">
              <w:rPr>
                <w:lang w:bidi="ar-LB"/>
              </w:rPr>
              <w:t>ESIM</w:t>
            </w:r>
            <w:r>
              <w:rPr>
                <w:lang w:bidi="ar-LB"/>
              </w:rPr>
              <w:t>)</w:t>
            </w:r>
            <w:r>
              <w:rPr>
                <w:rFonts w:hint="cs"/>
                <w:rtl/>
                <w:lang w:bidi="ar-LB"/>
              </w:rPr>
              <w:t xml:space="preserve"> التي تتواصل مع محطات فضائية غير مستقرة بالنسبة إلى الأرض في الخدمة الثابتة الساتلية في نطاق التردد</w:t>
            </w:r>
            <w:r w:rsidR="00316D21">
              <w:rPr>
                <w:rtl/>
                <w:lang w:bidi="ar-LB"/>
              </w:rPr>
              <w:br/>
            </w:r>
            <w:r>
              <w:rPr>
                <w:lang w:bidi="ar-LB"/>
              </w:rPr>
              <w:t>GHz 1</w:t>
            </w:r>
            <w:r w:rsidR="00316D21">
              <w:rPr>
                <w:lang w:bidi="ar-LB"/>
              </w:rPr>
              <w:t>3</w:t>
            </w:r>
            <w:r>
              <w:rPr>
                <w:lang w:bidi="ar-LB"/>
              </w:rPr>
              <w:t>,25-1</w:t>
            </w:r>
            <w:r w:rsidR="00316D21">
              <w:rPr>
                <w:lang w:bidi="ar-LB"/>
              </w:rPr>
              <w:t>2</w:t>
            </w:r>
            <w:r>
              <w:rPr>
                <w:lang w:bidi="ar-LB"/>
              </w:rPr>
              <w:t>,75</w:t>
            </w:r>
            <w:r>
              <w:rPr>
                <w:rFonts w:hint="cs"/>
                <w:rtl/>
                <w:lang w:bidi="ar-LB"/>
              </w:rPr>
              <w:t xml:space="preserve">. </w:t>
            </w:r>
          </w:p>
          <w:p w14:paraId="39078CEF" w14:textId="2CD217F0" w:rsidR="00B977C3" w:rsidRDefault="00B977C3" w:rsidP="00B977C3">
            <w:pPr>
              <w:rPr>
                <w:rtl/>
                <w:lang w:bidi="ar-LB"/>
              </w:rPr>
            </w:pPr>
            <w:r>
              <w:rPr>
                <w:rFonts w:hint="cs"/>
                <w:rtl/>
                <w:lang w:bidi="ar-LB"/>
              </w:rPr>
              <w:t xml:space="preserve">وقد دُرس نطاق التردد </w:t>
            </w:r>
            <w:r>
              <w:rPr>
                <w:lang w:bidi="ar-LB"/>
              </w:rPr>
              <w:t>GHz 1</w:t>
            </w:r>
            <w:r w:rsidR="00316D21">
              <w:rPr>
                <w:lang w:bidi="ar-LB"/>
              </w:rPr>
              <w:t>3</w:t>
            </w:r>
            <w:r>
              <w:rPr>
                <w:lang w:bidi="ar-LB"/>
              </w:rPr>
              <w:t>,25-1</w:t>
            </w:r>
            <w:r w:rsidR="00316D21">
              <w:rPr>
                <w:lang w:bidi="ar-LB"/>
              </w:rPr>
              <w:t>2</w:t>
            </w:r>
            <w:r>
              <w:rPr>
                <w:lang w:bidi="ar-LB"/>
              </w:rPr>
              <w:t>,75</w:t>
            </w:r>
            <w:r>
              <w:rPr>
                <w:rFonts w:hint="cs"/>
                <w:rtl/>
                <w:lang w:bidi="ar-LB"/>
              </w:rPr>
              <w:t xml:space="preserve"> لكي تستعمله المحطات الأرضية المتحركة للطيران </w:t>
            </w:r>
            <w:r>
              <w:rPr>
                <w:lang w:bidi="ar-LB"/>
              </w:rPr>
              <w:t>(A-ESIM)</w:t>
            </w:r>
            <w:r>
              <w:rPr>
                <w:rFonts w:hint="cs"/>
                <w:rtl/>
                <w:lang w:bidi="ar-LB"/>
              </w:rPr>
              <w:t xml:space="preserve"> والمحطات الأرضية المتحركة البحرية </w:t>
            </w:r>
            <w:r>
              <w:rPr>
                <w:lang w:bidi="ar-LB"/>
              </w:rPr>
              <w:t>(M-ESIM)</w:t>
            </w:r>
            <w:r>
              <w:rPr>
                <w:rFonts w:hint="cs"/>
                <w:rtl/>
                <w:lang w:bidi="ar-LB"/>
              </w:rPr>
              <w:t xml:space="preserve"> التي تتواصل مع محطات فضائية غير مستقرة بالنسبة إلى الأرض في الخدمة الثابتة الساتلية في إطار البند </w:t>
            </w:r>
            <w:r>
              <w:rPr>
                <w:lang w:bidi="ar-LB"/>
              </w:rPr>
              <w:t>15.1</w:t>
            </w:r>
            <w:r>
              <w:rPr>
                <w:rFonts w:hint="cs"/>
                <w:rtl/>
                <w:lang w:bidi="ar-LB"/>
              </w:rPr>
              <w:t xml:space="preserve"> من جدول أعمال المؤتمر </w:t>
            </w:r>
            <w:r>
              <w:rPr>
                <w:lang w:bidi="ar-LB"/>
              </w:rPr>
              <w:t>WRC-23</w:t>
            </w:r>
            <w:r>
              <w:rPr>
                <w:rFonts w:hint="cs"/>
                <w:rtl/>
                <w:lang w:bidi="ar-LB"/>
              </w:rPr>
              <w:t xml:space="preserve">، وفقاً للقرار </w:t>
            </w:r>
            <w:r w:rsidRPr="00357F89">
              <w:rPr>
                <w:b/>
                <w:bCs/>
                <w:lang w:bidi="ar-LB"/>
              </w:rPr>
              <w:t>172 (WRC-19)</w:t>
            </w:r>
            <w:r>
              <w:rPr>
                <w:rFonts w:hint="cs"/>
                <w:rtl/>
                <w:lang w:bidi="ar-LB"/>
              </w:rPr>
              <w:t xml:space="preserve">. وقد بيّنت هذه الدراسات </w:t>
            </w:r>
            <w:r w:rsidR="00964D1F">
              <w:rPr>
                <w:rFonts w:hint="cs"/>
                <w:rtl/>
                <w:lang w:bidi="ar-LB"/>
              </w:rPr>
              <w:t>أنه</w:t>
            </w:r>
            <w:r>
              <w:rPr>
                <w:rFonts w:hint="cs"/>
                <w:rtl/>
                <w:lang w:bidi="ar-LB"/>
              </w:rPr>
              <w:t xml:space="preserve"> يمكن وضع مجموعة من الشروط التقنية والتشغيلية والتنظيمية للسماح بتشغيل محطات </w:t>
            </w:r>
            <w:r>
              <w:rPr>
                <w:lang w:bidi="ar-LB"/>
              </w:rPr>
              <w:t>A-ESIM</w:t>
            </w:r>
            <w:r>
              <w:rPr>
                <w:rFonts w:hint="cs"/>
                <w:rtl/>
                <w:lang w:bidi="ar-LB"/>
              </w:rPr>
              <w:t xml:space="preserve"> و</w:t>
            </w:r>
            <w:r>
              <w:rPr>
                <w:lang w:bidi="ar-LB"/>
              </w:rPr>
              <w:t>M-ESIM</w:t>
            </w:r>
            <w:r>
              <w:rPr>
                <w:rFonts w:hint="cs"/>
                <w:rtl/>
                <w:lang w:bidi="ar-LB"/>
              </w:rPr>
              <w:t xml:space="preserve"> مع محطات فضائية مستقرة بالنسبة إلى الأرض داخل النطاق مع توفير الحماية للخدمات الأخرى التي لديها توزيعات.</w:t>
            </w:r>
          </w:p>
          <w:p w14:paraId="71B67C9F" w14:textId="77777777" w:rsidR="00B977C3" w:rsidRDefault="00B977C3" w:rsidP="00B977C3">
            <w:pPr>
              <w:rPr>
                <w:rtl/>
                <w:lang w:bidi="ar-LB"/>
              </w:rPr>
            </w:pPr>
            <w:r>
              <w:rPr>
                <w:rFonts w:hint="cs"/>
                <w:rtl/>
                <w:lang w:bidi="ar-LB"/>
              </w:rPr>
              <w:t xml:space="preserve">وبينت الدراسات التي جرت في إطار البند </w:t>
            </w:r>
            <w:r>
              <w:rPr>
                <w:lang w:bidi="ar-LB"/>
              </w:rPr>
              <w:t>16.1</w:t>
            </w:r>
            <w:r>
              <w:rPr>
                <w:rFonts w:hint="cs"/>
                <w:rtl/>
                <w:lang w:bidi="ar-LB"/>
              </w:rPr>
              <w:t xml:space="preserve"> من جدول أعمال المؤتمر </w:t>
            </w:r>
            <w:r>
              <w:rPr>
                <w:lang w:bidi="ar-LB"/>
              </w:rPr>
              <w:t>WRC-23</w:t>
            </w:r>
            <w:r>
              <w:rPr>
                <w:rFonts w:hint="cs"/>
                <w:rtl/>
                <w:lang w:bidi="ar-LB"/>
              </w:rPr>
              <w:t xml:space="preserve">، وفقاً للقرار </w:t>
            </w:r>
            <w:r w:rsidRPr="00357F89">
              <w:rPr>
                <w:b/>
                <w:bCs/>
                <w:lang w:bidi="ar-LB"/>
              </w:rPr>
              <w:t>17</w:t>
            </w:r>
            <w:r>
              <w:rPr>
                <w:b/>
                <w:bCs/>
                <w:lang w:bidi="ar-LB"/>
              </w:rPr>
              <w:t>3</w:t>
            </w:r>
            <w:r w:rsidRPr="00357F89">
              <w:rPr>
                <w:b/>
                <w:bCs/>
                <w:lang w:bidi="ar-LB"/>
              </w:rPr>
              <w:t xml:space="preserve"> (WRC-19)</w:t>
            </w:r>
            <w:r>
              <w:rPr>
                <w:rFonts w:hint="cs"/>
                <w:rtl/>
                <w:lang w:bidi="ar-LB"/>
              </w:rPr>
              <w:t>، أن المحطات الأرضية المتحركة غير المستقرة والمستقرة بالنسبة إلى الأرض يمكن أن تعمل باستخدام شروط مماثلة لضمان حماية الخدمات القائمة.</w:t>
            </w:r>
          </w:p>
          <w:p w14:paraId="00D7CAC3" w14:textId="12ED0A29" w:rsidR="00B977C3" w:rsidRDefault="00B977C3" w:rsidP="00B977C3">
            <w:pPr>
              <w:rPr>
                <w:rtl/>
                <w:lang w:bidi="ar-LB"/>
              </w:rPr>
            </w:pPr>
            <w:r>
              <w:rPr>
                <w:rFonts w:hint="cs"/>
                <w:rtl/>
                <w:lang w:bidi="ar-LB"/>
              </w:rPr>
              <w:t>ومع الزيادة الكبيرة للكوكبات غير المستقرة بالنسبة إلى الأرض، فإن دراسة توسيع استعمال الخدمة الثابتة الساتلية ليشمل توفير تطبيقات ل</w:t>
            </w:r>
            <w:r w:rsidR="00964D1F">
              <w:rPr>
                <w:rFonts w:hint="cs"/>
                <w:rtl/>
                <w:lang w:bidi="ar-LB"/>
              </w:rPr>
              <w:t>ل</w:t>
            </w:r>
            <w:r>
              <w:rPr>
                <w:rFonts w:hint="cs"/>
                <w:rtl/>
                <w:lang w:bidi="ar-LB"/>
              </w:rPr>
              <w:t xml:space="preserve">محطات الأرضية المتحركة غير المستقرة بالنسبة إلى الأرض في نطاق التردد </w:t>
            </w:r>
            <w:r>
              <w:rPr>
                <w:lang w:bidi="ar-LB"/>
              </w:rPr>
              <w:t>GHz 1</w:t>
            </w:r>
            <w:r w:rsidR="00316D21">
              <w:rPr>
                <w:lang w:bidi="ar-LB"/>
              </w:rPr>
              <w:t>3</w:t>
            </w:r>
            <w:r>
              <w:rPr>
                <w:lang w:bidi="ar-LB"/>
              </w:rPr>
              <w:t>,25-1</w:t>
            </w:r>
            <w:r w:rsidR="00316D21">
              <w:rPr>
                <w:lang w:bidi="ar-LB"/>
              </w:rPr>
              <w:t>2</w:t>
            </w:r>
            <w:r>
              <w:rPr>
                <w:lang w:bidi="ar-LB"/>
              </w:rPr>
              <w:t>,75</w:t>
            </w:r>
            <w:r>
              <w:rPr>
                <w:rFonts w:hint="cs"/>
                <w:rtl/>
                <w:lang w:bidi="ar-LB"/>
              </w:rPr>
              <w:t xml:space="preserve"> مع حماية الخدمات القائمة سيكون </w:t>
            </w:r>
            <w:r w:rsidR="00A3202B">
              <w:rPr>
                <w:rFonts w:hint="cs"/>
                <w:rtl/>
                <w:lang w:bidi="ar-LB"/>
              </w:rPr>
              <w:t>أ</w:t>
            </w:r>
            <w:r>
              <w:rPr>
                <w:rFonts w:hint="cs"/>
                <w:rtl/>
                <w:lang w:bidi="ar-LB"/>
              </w:rPr>
              <w:t>حد السبل لزيادة كفاءة استعمال الطيف المتاح للسواتل.</w:t>
            </w:r>
          </w:p>
          <w:p w14:paraId="5661C13F" w14:textId="11C92A89" w:rsidR="00D35380" w:rsidRPr="00A40202" w:rsidRDefault="00B977C3" w:rsidP="00B977C3">
            <w:pPr>
              <w:rPr>
                <w:lang w:bidi="ar-EG"/>
              </w:rPr>
            </w:pPr>
            <w:r>
              <w:rPr>
                <w:rFonts w:hint="cs"/>
                <w:rtl/>
                <w:lang w:bidi="ar-LB"/>
              </w:rPr>
              <w:t>وتكتسي الخدمات الساتلية لصناعات الطيران والصناعات البحرية طابعاً عالمياً وتستفيد بالتالي بشكل كبير من التنسيق التنظيمي العالمي من خلال لوائح الراديو الصادرة عن الاتحاد.</w:t>
            </w:r>
          </w:p>
        </w:tc>
      </w:tr>
      <w:tr w:rsidR="00D35380" w:rsidRPr="00752580" w14:paraId="0A36A162" w14:textId="77777777" w:rsidTr="00B977C3">
        <w:trPr>
          <w:trHeight w:val="300"/>
        </w:trPr>
        <w:tc>
          <w:tcPr>
            <w:tcW w:w="9658" w:type="dxa"/>
            <w:gridSpan w:val="2"/>
            <w:tcBorders>
              <w:top w:val="single" w:sz="6" w:space="0" w:color="auto"/>
              <w:left w:val="nil"/>
              <w:bottom w:val="single" w:sz="6" w:space="0" w:color="auto"/>
              <w:right w:val="nil"/>
            </w:tcBorders>
            <w:shd w:val="clear" w:color="auto" w:fill="auto"/>
            <w:hideMark/>
          </w:tcPr>
          <w:p w14:paraId="7F9CE7DB" w14:textId="77777777" w:rsidR="00964D1F" w:rsidRDefault="00D35380" w:rsidP="00787EBD">
            <w:pPr>
              <w:overflowPunct w:val="0"/>
              <w:autoSpaceDE w:val="0"/>
              <w:autoSpaceDN w:val="0"/>
              <w:adjustRightInd w:val="0"/>
              <w:spacing w:after="120" w:line="240" w:lineRule="auto"/>
              <w:jc w:val="left"/>
              <w:textAlignment w:val="baseline"/>
              <w:rPr>
                <w:b/>
                <w:bCs/>
                <w:rtl/>
                <w:lang w:val="en-GB" w:eastAsia="zh-CN"/>
              </w:rPr>
            </w:pPr>
            <w:r w:rsidRPr="00D622B9">
              <w:rPr>
                <w:rFonts w:hint="cs"/>
                <w:b/>
                <w:bCs/>
                <w:i/>
                <w:iCs/>
                <w:rtl/>
                <w:lang w:val="en-GB" w:eastAsia="zh-CN"/>
              </w:rPr>
              <w:t>خدمات الاتصالات الراديوية المعنية</w:t>
            </w:r>
            <w:r w:rsidRPr="00F9146F">
              <w:rPr>
                <w:rFonts w:hint="cs"/>
                <w:b/>
                <w:bCs/>
                <w:rtl/>
                <w:lang w:val="en-GB" w:eastAsia="zh-CN"/>
              </w:rPr>
              <w:t>:</w:t>
            </w:r>
          </w:p>
          <w:p w14:paraId="3DEB62B5" w14:textId="6E4AB708" w:rsidR="00D35380" w:rsidRPr="00752580" w:rsidRDefault="00B977C3" w:rsidP="00787EBD">
            <w:pPr>
              <w:overflowPunct w:val="0"/>
              <w:autoSpaceDE w:val="0"/>
              <w:autoSpaceDN w:val="0"/>
              <w:adjustRightInd w:val="0"/>
              <w:spacing w:after="120" w:line="240" w:lineRule="auto"/>
              <w:jc w:val="left"/>
              <w:textAlignment w:val="baseline"/>
              <w:rPr>
                <w:lang w:val="en-GB" w:eastAsia="zh-CN"/>
              </w:rPr>
            </w:pPr>
            <w:r>
              <w:rPr>
                <w:rFonts w:hint="cs"/>
                <w:rtl/>
                <w:lang w:val="en-GB" w:eastAsia="zh-CN"/>
              </w:rPr>
              <w:t xml:space="preserve">الخدمة الثابتة الساتلية، الخدمة الثابتة، الخدمة المتحركة، خدمة الأبحاث الفضائية </w:t>
            </w:r>
            <w:r w:rsidR="00964D1F">
              <w:rPr>
                <w:rFonts w:hint="cs"/>
                <w:rtl/>
                <w:lang w:val="en-GB" w:eastAsia="zh-CN"/>
              </w:rPr>
              <w:t>(</w:t>
            </w:r>
            <w:r>
              <w:rPr>
                <w:rFonts w:hint="cs"/>
                <w:rtl/>
                <w:lang w:val="en-GB" w:eastAsia="zh-CN"/>
              </w:rPr>
              <w:t>الفضاء السحيق)</w:t>
            </w:r>
          </w:p>
        </w:tc>
      </w:tr>
      <w:tr w:rsidR="00D35380" w:rsidRPr="00752580" w14:paraId="51AE82F4" w14:textId="77777777" w:rsidTr="00B977C3">
        <w:trPr>
          <w:trHeight w:val="300"/>
        </w:trPr>
        <w:tc>
          <w:tcPr>
            <w:tcW w:w="9658" w:type="dxa"/>
            <w:gridSpan w:val="2"/>
            <w:tcBorders>
              <w:top w:val="single" w:sz="6" w:space="0" w:color="auto"/>
              <w:left w:val="nil"/>
              <w:bottom w:val="single" w:sz="6" w:space="0" w:color="auto"/>
              <w:right w:val="nil"/>
            </w:tcBorders>
            <w:shd w:val="clear" w:color="auto" w:fill="auto"/>
            <w:hideMark/>
          </w:tcPr>
          <w:p w14:paraId="6CD9E818" w14:textId="77777777" w:rsidR="00D35380" w:rsidRPr="00752580" w:rsidRDefault="00D35380" w:rsidP="00787EBD">
            <w:pPr>
              <w:tabs>
                <w:tab w:val="clear" w:pos="1134"/>
                <w:tab w:val="clear" w:pos="1871"/>
                <w:tab w:val="clear" w:pos="2268"/>
              </w:tabs>
              <w:spacing w:line="240" w:lineRule="auto"/>
              <w:jc w:val="left"/>
              <w:textAlignment w:val="baseline"/>
              <w:rPr>
                <w:lang w:val="en-GB" w:eastAsia="en-GB"/>
              </w:rPr>
            </w:pPr>
            <w:r w:rsidRPr="00D622B9">
              <w:rPr>
                <w:rFonts w:hint="cs"/>
                <w:b/>
                <w:bCs/>
                <w:i/>
                <w:iCs/>
                <w:rtl/>
                <w:lang w:val="en-GB" w:eastAsia="en-GB"/>
              </w:rPr>
              <w:t>بيان الصعوبات المحتملة</w:t>
            </w:r>
            <w:r w:rsidRPr="00F9146F">
              <w:rPr>
                <w:rFonts w:hint="cs"/>
                <w:b/>
                <w:bCs/>
                <w:rtl/>
                <w:lang w:val="en-GB" w:eastAsia="en-GB"/>
              </w:rPr>
              <w:t>:</w:t>
            </w:r>
          </w:p>
          <w:p w14:paraId="7EA9C319" w14:textId="21F8D510" w:rsidR="00D35380" w:rsidRPr="00752580" w:rsidRDefault="00B977C3" w:rsidP="00787EBD">
            <w:pPr>
              <w:tabs>
                <w:tab w:val="clear" w:pos="1134"/>
                <w:tab w:val="clear" w:pos="1871"/>
                <w:tab w:val="clear" w:pos="2268"/>
              </w:tabs>
              <w:overflowPunct w:val="0"/>
              <w:autoSpaceDE w:val="0"/>
              <w:autoSpaceDN w:val="0"/>
              <w:adjustRightInd w:val="0"/>
              <w:spacing w:after="120" w:line="240" w:lineRule="auto"/>
              <w:jc w:val="left"/>
              <w:textAlignment w:val="baseline"/>
              <w:rPr>
                <w:lang w:val="en-GB" w:eastAsia="en-GB"/>
              </w:rPr>
            </w:pPr>
            <w:r>
              <w:rPr>
                <w:rFonts w:hint="cs"/>
                <w:rtl/>
                <w:lang w:val="en-GB" w:eastAsia="en-GB"/>
              </w:rPr>
              <w:t>لا يتوقع وجود صعوبات</w:t>
            </w:r>
          </w:p>
        </w:tc>
      </w:tr>
      <w:tr w:rsidR="00D35380" w:rsidRPr="00752580" w14:paraId="3987C89B" w14:textId="77777777" w:rsidTr="00B977C3">
        <w:trPr>
          <w:trHeight w:val="300"/>
        </w:trPr>
        <w:tc>
          <w:tcPr>
            <w:tcW w:w="9658" w:type="dxa"/>
            <w:gridSpan w:val="2"/>
            <w:tcBorders>
              <w:top w:val="single" w:sz="6" w:space="0" w:color="auto"/>
              <w:left w:val="nil"/>
              <w:bottom w:val="single" w:sz="6" w:space="0" w:color="auto"/>
              <w:right w:val="nil"/>
            </w:tcBorders>
            <w:shd w:val="clear" w:color="auto" w:fill="auto"/>
            <w:hideMark/>
          </w:tcPr>
          <w:p w14:paraId="2EE2A1A2" w14:textId="77777777" w:rsidR="00D35380" w:rsidRPr="00752580" w:rsidRDefault="00D35380" w:rsidP="00787EBD">
            <w:pPr>
              <w:tabs>
                <w:tab w:val="clear" w:pos="1134"/>
                <w:tab w:val="clear" w:pos="1871"/>
                <w:tab w:val="clear" w:pos="2268"/>
              </w:tabs>
              <w:spacing w:before="0" w:line="240" w:lineRule="auto"/>
              <w:jc w:val="left"/>
              <w:textAlignment w:val="baseline"/>
              <w:rPr>
                <w:lang w:val="en-GB" w:eastAsia="en-GB"/>
              </w:rPr>
            </w:pPr>
            <w:r w:rsidRPr="00D622B9">
              <w:rPr>
                <w:rFonts w:hint="cs"/>
                <w:b/>
                <w:bCs/>
                <w:i/>
                <w:iCs/>
                <w:rtl/>
                <w:lang w:val="en-GB" w:eastAsia="en-GB"/>
              </w:rPr>
              <w:t>الدراسات السابقة أو الجارية حول الموضوع</w:t>
            </w:r>
            <w:r w:rsidRPr="00F9146F">
              <w:rPr>
                <w:rFonts w:hint="cs"/>
                <w:b/>
                <w:bCs/>
                <w:rtl/>
                <w:lang w:val="en-GB" w:eastAsia="en-GB"/>
              </w:rPr>
              <w:t>:</w:t>
            </w:r>
          </w:p>
          <w:p w14:paraId="76A0B3F7" w14:textId="512F2C5B" w:rsidR="00D35380" w:rsidRDefault="00B977C3" w:rsidP="00787EBD">
            <w:pPr>
              <w:tabs>
                <w:tab w:val="clear" w:pos="1134"/>
                <w:tab w:val="clear" w:pos="1871"/>
                <w:tab w:val="clear" w:pos="2268"/>
              </w:tabs>
              <w:overflowPunct w:val="0"/>
              <w:autoSpaceDE w:val="0"/>
              <w:autoSpaceDN w:val="0"/>
              <w:adjustRightInd w:val="0"/>
              <w:spacing w:after="120" w:line="240" w:lineRule="auto"/>
              <w:jc w:val="left"/>
              <w:textAlignment w:val="baseline"/>
              <w:rPr>
                <w:rtl/>
                <w:lang w:val="en-GB" w:eastAsia="en-GB"/>
              </w:rPr>
            </w:pPr>
            <w:r>
              <w:rPr>
                <w:rFonts w:hint="cs"/>
                <w:rtl/>
                <w:lang w:val="en-GB"/>
              </w:rPr>
              <w:t xml:space="preserve">يبحث البند </w:t>
            </w:r>
            <w:r>
              <w:t>15.1</w:t>
            </w:r>
            <w:r>
              <w:rPr>
                <w:rFonts w:hint="cs"/>
                <w:rtl/>
                <w:lang w:bidi="ar-LB"/>
              </w:rPr>
              <w:t xml:space="preserve"> من جدول أعمال المؤتمر </w:t>
            </w:r>
            <w:r>
              <w:rPr>
                <w:lang w:bidi="ar-LB"/>
              </w:rPr>
              <w:t>WRC-23</w:t>
            </w:r>
            <w:r>
              <w:rPr>
                <w:rFonts w:hint="cs"/>
                <w:rtl/>
                <w:lang w:bidi="ar-LB"/>
              </w:rPr>
              <w:t xml:space="preserve"> الشروط التقنية والتشغيلية والتنظيمية للسماح بتشغيل المحطات</w:t>
            </w:r>
            <w:r w:rsidR="00964D1F">
              <w:rPr>
                <w:rtl/>
                <w:lang w:bidi="ar-LB"/>
              </w:rPr>
              <w:br/>
            </w:r>
            <w:r>
              <w:rPr>
                <w:lang w:bidi="ar-LB"/>
              </w:rPr>
              <w:t>A-ESIM</w:t>
            </w:r>
            <w:r>
              <w:rPr>
                <w:rFonts w:hint="cs"/>
                <w:rtl/>
                <w:lang w:bidi="ar-LB"/>
              </w:rPr>
              <w:t xml:space="preserve"> و</w:t>
            </w:r>
            <w:r>
              <w:rPr>
                <w:lang w:bidi="ar-LB"/>
              </w:rPr>
              <w:t>M-ESIM</w:t>
            </w:r>
            <w:r>
              <w:rPr>
                <w:rFonts w:hint="cs"/>
                <w:rtl/>
                <w:lang w:bidi="ar-LB"/>
              </w:rPr>
              <w:t xml:space="preserve"> في نطاق التردد </w:t>
            </w:r>
            <w:r w:rsidRPr="00C22E75">
              <w:rPr>
                <w:lang w:val="en-GB"/>
              </w:rPr>
              <w:t>GHz</w:t>
            </w:r>
            <w:r>
              <w:rPr>
                <w:lang w:val="en-GB"/>
              </w:rPr>
              <w:t> </w:t>
            </w:r>
            <w:r w:rsidRPr="00C22E75">
              <w:rPr>
                <w:lang w:val="en-GB"/>
              </w:rPr>
              <w:t>13,25</w:t>
            </w:r>
            <w:r>
              <w:rPr>
                <w:lang w:val="en-GB"/>
              </w:rPr>
              <w:noBreakHyphen/>
            </w:r>
            <w:r w:rsidRPr="00C22E75">
              <w:rPr>
                <w:lang w:val="en-GB"/>
              </w:rPr>
              <w:t>12,75</w:t>
            </w:r>
            <w:r>
              <w:rPr>
                <w:rFonts w:hint="cs"/>
                <w:rtl/>
                <w:lang w:bidi="ar-LB"/>
              </w:rPr>
              <w:t xml:space="preserve"> مع حماية الخدمات القائمة.</w:t>
            </w:r>
          </w:p>
          <w:p w14:paraId="475F9945" w14:textId="2F4DD3D3" w:rsidR="00451F16" w:rsidRPr="00752580" w:rsidRDefault="00B977C3" w:rsidP="00787EBD">
            <w:pPr>
              <w:tabs>
                <w:tab w:val="clear" w:pos="1134"/>
                <w:tab w:val="clear" w:pos="1871"/>
                <w:tab w:val="clear" w:pos="2268"/>
              </w:tabs>
              <w:overflowPunct w:val="0"/>
              <w:autoSpaceDE w:val="0"/>
              <w:autoSpaceDN w:val="0"/>
              <w:adjustRightInd w:val="0"/>
              <w:spacing w:after="120" w:line="240" w:lineRule="auto"/>
              <w:jc w:val="left"/>
              <w:textAlignment w:val="baseline"/>
              <w:rPr>
                <w:lang w:val="en-GB" w:eastAsia="en-GB"/>
              </w:rPr>
            </w:pPr>
            <w:r>
              <w:rPr>
                <w:rFonts w:hint="cs"/>
                <w:rtl/>
                <w:lang w:val="en-GB" w:eastAsia="en-GB"/>
              </w:rPr>
              <w:lastRenderedPageBreak/>
              <w:t>وقد نشر المؤتمر الأوروبي لإدارات البريد والاتصالات</w:t>
            </w:r>
            <w:r w:rsidR="00964D1F">
              <w:rPr>
                <w:rFonts w:hint="cs"/>
                <w:rtl/>
                <w:lang w:val="en-GB" w:eastAsia="en-GB"/>
              </w:rPr>
              <w:t xml:space="preserve"> في عام 2019</w:t>
            </w:r>
            <w:r>
              <w:rPr>
                <w:rFonts w:hint="cs"/>
                <w:rtl/>
                <w:lang w:val="en-GB" w:eastAsia="en-GB"/>
              </w:rPr>
              <w:t xml:space="preserve"> المقرر</w:t>
            </w:r>
            <w:r w:rsidR="00352DD5">
              <w:rPr>
                <w:rFonts w:hint="cs"/>
                <w:rtl/>
                <w:lang w:val="en-GB" w:eastAsia="en-GB"/>
              </w:rPr>
              <w:t xml:space="preserve"> </w:t>
            </w:r>
            <w:r w:rsidR="00352DD5" w:rsidRPr="00702214">
              <w:rPr>
                <w:iCs/>
                <w:szCs w:val="24"/>
              </w:rPr>
              <w:t>ECC/DEC/(19)04</w:t>
            </w:r>
            <w:r>
              <w:rPr>
                <w:rFonts w:hint="cs"/>
                <w:rtl/>
                <w:lang w:val="en-GB" w:eastAsia="en-GB"/>
              </w:rPr>
              <w:t xml:space="preserve"> </w:t>
            </w:r>
            <w:r>
              <w:rPr>
                <w:rFonts w:hint="cs"/>
                <w:rtl/>
                <w:lang w:eastAsia="en-GB" w:bidi="ar-LB"/>
              </w:rPr>
              <w:t>للجنة الاتصالات الإلكترونية</w:t>
            </w:r>
            <w:r w:rsidR="00352DD5">
              <w:rPr>
                <w:rFonts w:hint="cs"/>
                <w:rtl/>
                <w:lang w:eastAsia="en-GB" w:bidi="ar-LB"/>
              </w:rPr>
              <w:t xml:space="preserve"> الذي يحدد الشروط لتشغيل محطات </w:t>
            </w:r>
            <w:r w:rsidR="00352DD5">
              <w:rPr>
                <w:lang w:eastAsia="en-GB" w:bidi="ar-LB"/>
              </w:rPr>
              <w:t>A-ESIM</w:t>
            </w:r>
            <w:r w:rsidR="00964D1F">
              <w:rPr>
                <w:rFonts w:hint="cs"/>
                <w:rtl/>
                <w:lang w:eastAsia="en-GB" w:bidi="ar-LB"/>
              </w:rPr>
              <w:t xml:space="preserve"> </w:t>
            </w:r>
            <w:r w:rsidR="00352DD5">
              <w:rPr>
                <w:rFonts w:hint="cs"/>
                <w:rtl/>
                <w:lang w:eastAsia="en-GB" w:bidi="ar-LB"/>
              </w:rPr>
              <w:t xml:space="preserve">التي تتواصل مع محطات فضائية مستقرة وغير مستقرة بالنسبة إلى الأرض في الخدمة الثابتة الساتلية في نطاق التردد </w:t>
            </w:r>
            <w:r w:rsidR="00352DD5" w:rsidRPr="00C22E75">
              <w:rPr>
                <w:lang w:val="en-GB"/>
              </w:rPr>
              <w:t>GHz</w:t>
            </w:r>
            <w:r w:rsidR="00352DD5">
              <w:rPr>
                <w:lang w:val="en-GB"/>
              </w:rPr>
              <w:t> </w:t>
            </w:r>
            <w:r w:rsidR="00352DD5" w:rsidRPr="00C22E75">
              <w:rPr>
                <w:lang w:val="en-GB"/>
              </w:rPr>
              <w:t>13,25</w:t>
            </w:r>
            <w:r w:rsidR="00352DD5">
              <w:rPr>
                <w:lang w:val="en-GB"/>
              </w:rPr>
              <w:noBreakHyphen/>
            </w:r>
            <w:r w:rsidR="00352DD5" w:rsidRPr="00C22E75">
              <w:rPr>
                <w:lang w:val="en-GB"/>
              </w:rPr>
              <w:t>12,75</w:t>
            </w:r>
            <w:r w:rsidR="00352DD5">
              <w:rPr>
                <w:rFonts w:hint="cs"/>
                <w:rtl/>
                <w:lang w:eastAsia="en-GB" w:bidi="ar-LB"/>
              </w:rPr>
              <w:t>.</w:t>
            </w:r>
          </w:p>
        </w:tc>
      </w:tr>
      <w:tr w:rsidR="00D35380" w:rsidRPr="00752580" w14:paraId="6F75F57D" w14:textId="77777777" w:rsidTr="00B977C3">
        <w:trPr>
          <w:trHeight w:val="300"/>
        </w:trPr>
        <w:tc>
          <w:tcPr>
            <w:tcW w:w="4100" w:type="dxa"/>
            <w:tcBorders>
              <w:top w:val="single" w:sz="6" w:space="0" w:color="auto"/>
              <w:left w:val="nil"/>
              <w:bottom w:val="single" w:sz="6" w:space="0" w:color="auto"/>
              <w:right w:val="single" w:sz="6" w:space="0" w:color="auto"/>
            </w:tcBorders>
            <w:shd w:val="clear" w:color="auto" w:fill="auto"/>
            <w:hideMark/>
          </w:tcPr>
          <w:p w14:paraId="2927A24D" w14:textId="01627D59" w:rsidR="00D35380" w:rsidRPr="00752580" w:rsidRDefault="00D35380" w:rsidP="00787EBD">
            <w:pPr>
              <w:tabs>
                <w:tab w:val="clear" w:pos="1134"/>
                <w:tab w:val="clear" w:pos="1871"/>
                <w:tab w:val="clear" w:pos="2268"/>
              </w:tabs>
              <w:spacing w:before="0" w:after="120" w:line="240" w:lineRule="auto"/>
              <w:jc w:val="left"/>
              <w:textAlignment w:val="baseline"/>
              <w:rPr>
                <w:lang w:val="en-GB" w:eastAsia="en-GB"/>
              </w:rPr>
            </w:pPr>
            <w:r w:rsidRPr="00D622B9">
              <w:rPr>
                <w:rFonts w:hint="cs"/>
                <w:b/>
                <w:bCs/>
                <w:i/>
                <w:iCs/>
                <w:color w:val="000000"/>
                <w:rtl/>
                <w:lang w:val="en-GB" w:eastAsia="en-GB"/>
              </w:rPr>
              <w:lastRenderedPageBreak/>
              <w:t>الجهة المطلوب منها أن تقوم بالدراسة</w:t>
            </w:r>
            <w:r w:rsidRPr="00F9146F">
              <w:rPr>
                <w:rFonts w:hint="cs"/>
                <w:b/>
                <w:bCs/>
                <w:color w:val="000000"/>
                <w:rtl/>
                <w:lang w:val="en-GB" w:eastAsia="en-GB"/>
              </w:rPr>
              <w:t>:</w:t>
            </w:r>
          </w:p>
          <w:p w14:paraId="708A1C17" w14:textId="77777777" w:rsidR="00D35380" w:rsidRPr="00BD5D15" w:rsidRDefault="00D35380" w:rsidP="00787EBD">
            <w:pPr>
              <w:tabs>
                <w:tab w:val="clear" w:pos="1134"/>
                <w:tab w:val="clear" w:pos="1871"/>
                <w:tab w:val="clear" w:pos="2268"/>
              </w:tabs>
              <w:spacing w:before="0" w:after="120" w:line="240" w:lineRule="auto"/>
              <w:jc w:val="left"/>
              <w:textAlignment w:val="baseline"/>
              <w:rPr>
                <w:rtl/>
                <w:lang w:eastAsia="en-GB" w:bidi="ar-EG"/>
              </w:rPr>
            </w:pPr>
            <w:r>
              <w:rPr>
                <w:rFonts w:hint="cs"/>
                <w:rtl/>
                <w:lang w:val="en-GB" w:eastAsia="en-GB"/>
              </w:rPr>
              <w:t xml:space="preserve">فرقة العمل </w:t>
            </w:r>
            <w:r>
              <w:rPr>
                <w:lang w:eastAsia="en-GB"/>
              </w:rPr>
              <w:t>4A</w:t>
            </w:r>
            <w:r>
              <w:rPr>
                <w:rFonts w:hint="cs"/>
                <w:rtl/>
                <w:lang w:eastAsia="en-GB" w:bidi="ar-EG"/>
              </w:rPr>
              <w:t xml:space="preserve"> لقطاع الاتصالات الراديوية</w:t>
            </w:r>
          </w:p>
        </w:tc>
        <w:tc>
          <w:tcPr>
            <w:tcW w:w="5558" w:type="dxa"/>
            <w:tcBorders>
              <w:top w:val="single" w:sz="6" w:space="0" w:color="auto"/>
              <w:left w:val="single" w:sz="6" w:space="0" w:color="auto"/>
              <w:bottom w:val="single" w:sz="6" w:space="0" w:color="auto"/>
              <w:right w:val="nil"/>
            </w:tcBorders>
            <w:shd w:val="clear" w:color="auto" w:fill="auto"/>
          </w:tcPr>
          <w:p w14:paraId="186B8264" w14:textId="070C0960" w:rsidR="00D35380" w:rsidRPr="00A2388D" w:rsidRDefault="00964D1F" w:rsidP="00A2388D">
            <w:pPr>
              <w:tabs>
                <w:tab w:val="clear" w:pos="1134"/>
                <w:tab w:val="clear" w:pos="1871"/>
                <w:tab w:val="clear" w:pos="2268"/>
              </w:tabs>
              <w:spacing w:before="0" w:after="120" w:line="240" w:lineRule="auto"/>
              <w:jc w:val="left"/>
              <w:textAlignment w:val="baseline"/>
              <w:rPr>
                <w:b/>
                <w:bCs/>
                <w:i/>
                <w:iCs/>
                <w:color w:val="000000"/>
                <w:lang w:val="en-GB" w:eastAsia="en-GB"/>
              </w:rPr>
            </w:pPr>
            <w:r>
              <w:rPr>
                <w:rFonts w:hint="cs"/>
                <w:b/>
                <w:bCs/>
                <w:i/>
                <w:iCs/>
                <w:color w:val="000000"/>
                <w:rtl/>
                <w:lang w:val="en-GB" w:eastAsia="en-GB"/>
              </w:rPr>
              <w:t>بالاشتراك مع</w:t>
            </w:r>
            <w:r w:rsidR="00D35380">
              <w:rPr>
                <w:rFonts w:hint="cs"/>
                <w:b/>
                <w:bCs/>
                <w:i/>
                <w:iCs/>
                <w:color w:val="000000"/>
                <w:rtl/>
                <w:lang w:val="en-GB" w:eastAsia="en-GB"/>
              </w:rPr>
              <w:t>:</w:t>
            </w:r>
          </w:p>
        </w:tc>
      </w:tr>
      <w:tr w:rsidR="00D35380" w:rsidRPr="00752580" w14:paraId="01745C00" w14:textId="77777777" w:rsidTr="00B977C3">
        <w:trPr>
          <w:trHeight w:val="300"/>
        </w:trPr>
        <w:tc>
          <w:tcPr>
            <w:tcW w:w="9658" w:type="dxa"/>
            <w:gridSpan w:val="2"/>
            <w:tcBorders>
              <w:top w:val="single" w:sz="6" w:space="0" w:color="auto"/>
              <w:left w:val="nil"/>
              <w:bottom w:val="single" w:sz="6" w:space="0" w:color="auto"/>
              <w:right w:val="nil"/>
            </w:tcBorders>
            <w:shd w:val="clear" w:color="auto" w:fill="auto"/>
            <w:hideMark/>
          </w:tcPr>
          <w:p w14:paraId="1B57C156" w14:textId="77777777" w:rsidR="00D35380" w:rsidRPr="00F9146F" w:rsidRDefault="00D35380" w:rsidP="00787EBD">
            <w:pPr>
              <w:tabs>
                <w:tab w:val="clear" w:pos="1134"/>
                <w:tab w:val="clear" w:pos="1871"/>
                <w:tab w:val="clear" w:pos="2268"/>
              </w:tabs>
              <w:spacing w:before="0" w:after="120" w:line="240" w:lineRule="auto"/>
              <w:jc w:val="left"/>
              <w:textAlignment w:val="baseline"/>
              <w:rPr>
                <w:b/>
                <w:bCs/>
                <w:color w:val="000000"/>
                <w:rtl/>
                <w:lang w:val="en-GB" w:eastAsia="en-GB"/>
              </w:rPr>
            </w:pPr>
            <w:r w:rsidRPr="00D622B9">
              <w:rPr>
                <w:b/>
                <w:bCs/>
                <w:i/>
                <w:iCs/>
                <w:color w:val="000000"/>
                <w:rtl/>
                <w:lang w:val="en-GB" w:eastAsia="en-GB"/>
              </w:rPr>
              <w:t>لجان الدراسات المعنية في قطاع الاتصالات الراديوية</w:t>
            </w:r>
            <w:r w:rsidRPr="00F9146F">
              <w:rPr>
                <w:b/>
                <w:bCs/>
                <w:color w:val="000000"/>
                <w:rtl/>
                <w:lang w:val="en-GB" w:eastAsia="en-GB"/>
              </w:rPr>
              <w:t>:</w:t>
            </w:r>
          </w:p>
          <w:p w14:paraId="10A0BCB6" w14:textId="21F1AE1C" w:rsidR="00D35380" w:rsidRPr="00752580" w:rsidRDefault="00352DD5" w:rsidP="00787EBD">
            <w:pPr>
              <w:tabs>
                <w:tab w:val="clear" w:pos="1134"/>
                <w:tab w:val="clear" w:pos="1871"/>
                <w:tab w:val="clear" w:pos="2268"/>
              </w:tabs>
              <w:spacing w:before="0" w:after="120" w:line="240" w:lineRule="auto"/>
              <w:jc w:val="left"/>
              <w:textAlignment w:val="baseline"/>
              <w:rPr>
                <w:lang w:val="en-GB" w:eastAsia="en-GB"/>
              </w:rPr>
            </w:pPr>
            <w:r>
              <w:rPr>
                <w:rFonts w:hint="cs"/>
                <w:rtl/>
                <w:lang w:val="en-GB" w:eastAsia="en-GB"/>
              </w:rPr>
              <w:t>لجنتا الدراسات</w:t>
            </w:r>
            <w:r w:rsidR="00D35380">
              <w:rPr>
                <w:rFonts w:hint="cs"/>
                <w:rtl/>
                <w:lang w:val="en-GB" w:eastAsia="en-GB"/>
              </w:rPr>
              <w:t xml:space="preserve"> </w:t>
            </w:r>
            <w:r w:rsidR="00451F16">
              <w:rPr>
                <w:lang w:val="en-GB" w:eastAsia="en-GB"/>
              </w:rPr>
              <w:t>5</w:t>
            </w:r>
            <w:r w:rsidR="00D35380">
              <w:rPr>
                <w:rFonts w:hint="cs"/>
                <w:rtl/>
                <w:lang w:val="en-GB" w:eastAsia="en-GB"/>
              </w:rPr>
              <w:t xml:space="preserve"> </w:t>
            </w:r>
            <w:r w:rsidR="00451F16">
              <w:rPr>
                <w:rFonts w:hint="cs"/>
                <w:rtl/>
                <w:lang w:val="en-GB" w:eastAsia="en-GB" w:bidi="ar-EG"/>
              </w:rPr>
              <w:t>و</w:t>
            </w:r>
            <w:r w:rsidR="00451F16">
              <w:rPr>
                <w:lang w:eastAsia="en-GB" w:bidi="ar-EG"/>
              </w:rPr>
              <w:t>7</w:t>
            </w:r>
            <w:r w:rsidR="00451F16">
              <w:rPr>
                <w:rFonts w:hint="cs"/>
                <w:rtl/>
                <w:lang w:eastAsia="en-GB" w:bidi="ar-EG"/>
              </w:rPr>
              <w:t xml:space="preserve"> </w:t>
            </w:r>
            <w:r w:rsidR="00D35380">
              <w:rPr>
                <w:rFonts w:hint="cs"/>
                <w:rtl/>
                <w:lang w:val="en-GB" w:eastAsia="en-GB"/>
              </w:rPr>
              <w:t>لقطاع الاتصالات الراديوية</w:t>
            </w:r>
          </w:p>
        </w:tc>
      </w:tr>
      <w:tr w:rsidR="00D35380" w:rsidRPr="00752580" w14:paraId="0A3B0FAA" w14:textId="77777777" w:rsidTr="00B977C3">
        <w:trPr>
          <w:trHeight w:val="300"/>
        </w:trPr>
        <w:tc>
          <w:tcPr>
            <w:tcW w:w="9658" w:type="dxa"/>
            <w:gridSpan w:val="2"/>
            <w:tcBorders>
              <w:top w:val="single" w:sz="6" w:space="0" w:color="auto"/>
              <w:left w:val="nil"/>
              <w:bottom w:val="single" w:sz="6" w:space="0" w:color="auto"/>
              <w:right w:val="nil"/>
            </w:tcBorders>
            <w:shd w:val="clear" w:color="auto" w:fill="auto"/>
            <w:hideMark/>
          </w:tcPr>
          <w:p w14:paraId="67FA2338" w14:textId="77777777" w:rsidR="00D35380" w:rsidRPr="006F6936" w:rsidRDefault="00D35380" w:rsidP="00787EBD">
            <w:pPr>
              <w:tabs>
                <w:tab w:val="clear" w:pos="1134"/>
                <w:tab w:val="clear" w:pos="1871"/>
                <w:tab w:val="clear" w:pos="2268"/>
              </w:tabs>
              <w:spacing w:before="0" w:after="120" w:line="240" w:lineRule="auto"/>
              <w:jc w:val="left"/>
              <w:textAlignment w:val="baseline"/>
              <w:rPr>
                <w:lang w:eastAsia="en-GB"/>
              </w:rPr>
            </w:pPr>
            <w:r w:rsidRPr="006F6936">
              <w:rPr>
                <w:rFonts w:hint="cs"/>
                <w:b/>
                <w:bCs/>
                <w:i/>
                <w:iCs/>
                <w:rtl/>
                <w:lang w:val="en-GB" w:eastAsia="en-GB"/>
              </w:rPr>
              <w:t xml:space="preserve">الآثار المترتبة على المقترح من حيث استعمال موارد الاتحاد، بما فيها الآثار المالية (انظر الرقم </w:t>
            </w:r>
            <w:r w:rsidRPr="006F6936">
              <w:rPr>
                <w:b/>
                <w:bCs/>
                <w:i/>
                <w:iCs/>
                <w:lang w:eastAsia="en-GB"/>
              </w:rPr>
              <w:t>126</w:t>
            </w:r>
            <w:r w:rsidRPr="006F6936">
              <w:rPr>
                <w:rFonts w:hint="cs"/>
                <w:b/>
                <w:bCs/>
                <w:i/>
                <w:iCs/>
                <w:rtl/>
                <w:lang w:val="en-GB" w:eastAsia="en-GB"/>
              </w:rPr>
              <w:t xml:space="preserve"> في الاتفاقية)</w:t>
            </w:r>
            <w:r w:rsidRPr="00F9146F">
              <w:rPr>
                <w:rFonts w:hint="cs"/>
                <w:b/>
                <w:bCs/>
                <w:rtl/>
                <w:lang w:val="en-GB" w:eastAsia="en-GB"/>
              </w:rPr>
              <w:t>:</w:t>
            </w:r>
          </w:p>
          <w:p w14:paraId="02261688" w14:textId="4FB122B1" w:rsidR="00D35380" w:rsidRPr="006F6936" w:rsidRDefault="00D35380" w:rsidP="00787EBD">
            <w:pPr>
              <w:tabs>
                <w:tab w:val="clear" w:pos="1134"/>
                <w:tab w:val="clear" w:pos="1871"/>
                <w:tab w:val="clear" w:pos="2268"/>
              </w:tabs>
              <w:spacing w:before="0" w:after="120" w:line="240" w:lineRule="auto"/>
              <w:textAlignment w:val="baseline"/>
              <w:rPr>
                <w:lang w:val="en-GB" w:eastAsia="en-GB"/>
              </w:rPr>
            </w:pPr>
          </w:p>
        </w:tc>
      </w:tr>
      <w:tr w:rsidR="00D35380" w:rsidRPr="00752580" w14:paraId="500C05A2" w14:textId="77777777" w:rsidTr="00B977C3">
        <w:trPr>
          <w:trHeight w:val="300"/>
        </w:trPr>
        <w:tc>
          <w:tcPr>
            <w:tcW w:w="4100" w:type="dxa"/>
            <w:tcBorders>
              <w:top w:val="single" w:sz="6" w:space="0" w:color="auto"/>
              <w:left w:val="nil"/>
              <w:bottom w:val="single" w:sz="6" w:space="0" w:color="auto"/>
              <w:right w:val="nil"/>
            </w:tcBorders>
            <w:shd w:val="clear" w:color="auto" w:fill="auto"/>
            <w:hideMark/>
          </w:tcPr>
          <w:p w14:paraId="16D49F57" w14:textId="77777777" w:rsidR="00D35380" w:rsidRPr="00752580" w:rsidRDefault="00D35380" w:rsidP="00787EBD">
            <w:pPr>
              <w:tabs>
                <w:tab w:val="clear" w:pos="1134"/>
                <w:tab w:val="clear" w:pos="1871"/>
                <w:tab w:val="clear" w:pos="2268"/>
              </w:tabs>
              <w:spacing w:before="0" w:line="240" w:lineRule="auto"/>
              <w:jc w:val="left"/>
              <w:textAlignment w:val="baseline"/>
              <w:rPr>
                <w:lang w:val="en-GB" w:eastAsia="en-GB"/>
              </w:rPr>
            </w:pPr>
            <w:r w:rsidRPr="005C3C22">
              <w:rPr>
                <w:rFonts w:hint="cs"/>
                <w:b/>
                <w:bCs/>
                <w:i/>
                <w:iCs/>
                <w:rtl/>
                <w:lang w:val="en-GB" w:eastAsia="en-GB"/>
              </w:rPr>
              <w:t>مقترح إقليمي مشترك</w:t>
            </w:r>
            <w:r w:rsidRPr="00F9146F">
              <w:rPr>
                <w:rFonts w:hint="cs"/>
                <w:b/>
                <w:bCs/>
                <w:rtl/>
                <w:lang w:val="en-GB" w:eastAsia="en-GB"/>
              </w:rPr>
              <w:t>:</w:t>
            </w:r>
            <w:r w:rsidRPr="005C3C22">
              <w:rPr>
                <w:rFonts w:hint="cs"/>
                <w:rtl/>
                <w:lang w:val="en-GB" w:eastAsia="en-GB"/>
              </w:rPr>
              <w:t xml:space="preserve"> نعم/لا</w:t>
            </w:r>
          </w:p>
        </w:tc>
        <w:tc>
          <w:tcPr>
            <w:tcW w:w="5558" w:type="dxa"/>
            <w:tcBorders>
              <w:top w:val="single" w:sz="6" w:space="0" w:color="auto"/>
              <w:left w:val="nil"/>
              <w:bottom w:val="single" w:sz="6" w:space="0" w:color="auto"/>
              <w:right w:val="nil"/>
            </w:tcBorders>
            <w:shd w:val="clear" w:color="auto" w:fill="auto"/>
            <w:hideMark/>
          </w:tcPr>
          <w:p w14:paraId="75F18803" w14:textId="77777777" w:rsidR="00D35380" w:rsidRPr="006F6936" w:rsidRDefault="00D35380" w:rsidP="00787EBD">
            <w:pPr>
              <w:tabs>
                <w:tab w:val="clear" w:pos="1134"/>
                <w:tab w:val="clear" w:pos="1871"/>
                <w:tab w:val="clear" w:pos="2268"/>
              </w:tabs>
              <w:spacing w:before="0" w:after="120" w:line="240" w:lineRule="auto"/>
              <w:jc w:val="left"/>
              <w:textAlignment w:val="baseline"/>
              <w:rPr>
                <w:b/>
                <w:bCs/>
                <w:i/>
                <w:iCs/>
                <w:lang w:eastAsia="en-GB"/>
              </w:rPr>
            </w:pPr>
            <w:r w:rsidRPr="006F6936">
              <w:rPr>
                <w:rFonts w:hint="cs"/>
                <w:b/>
                <w:bCs/>
                <w:i/>
                <w:iCs/>
                <w:rtl/>
                <w:lang w:val="en-GB" w:eastAsia="en-GB"/>
              </w:rPr>
              <w:t>مقترح من عدة بلدان</w:t>
            </w:r>
            <w:r w:rsidRPr="00F9146F">
              <w:rPr>
                <w:rFonts w:hint="cs"/>
                <w:b/>
                <w:bCs/>
                <w:rtl/>
                <w:lang w:val="en-GB" w:eastAsia="en-GB"/>
              </w:rPr>
              <w:t>:</w:t>
            </w:r>
            <w:r w:rsidRPr="006F6936">
              <w:rPr>
                <w:rFonts w:hint="cs"/>
                <w:b/>
                <w:bCs/>
                <w:i/>
                <w:iCs/>
                <w:rtl/>
                <w:lang w:val="en-GB" w:eastAsia="en-GB"/>
              </w:rPr>
              <w:t xml:space="preserve"> </w:t>
            </w:r>
            <w:r w:rsidRPr="006F6936">
              <w:rPr>
                <w:rFonts w:hint="cs"/>
                <w:rtl/>
                <w:lang w:val="en-GB" w:eastAsia="en-GB"/>
              </w:rPr>
              <w:t>نعم/لا</w:t>
            </w:r>
          </w:p>
          <w:p w14:paraId="4DFBCD9E" w14:textId="77777777" w:rsidR="00D35380" w:rsidRPr="006F6936" w:rsidRDefault="00D35380" w:rsidP="00787EBD">
            <w:pPr>
              <w:tabs>
                <w:tab w:val="clear" w:pos="1134"/>
                <w:tab w:val="clear" w:pos="1871"/>
                <w:tab w:val="clear" w:pos="2268"/>
              </w:tabs>
              <w:spacing w:before="0" w:after="120" w:line="240" w:lineRule="auto"/>
              <w:jc w:val="left"/>
              <w:textAlignment w:val="baseline"/>
              <w:rPr>
                <w:lang w:val="en-GB" w:eastAsia="en-GB"/>
              </w:rPr>
            </w:pPr>
            <w:r w:rsidRPr="006F6936">
              <w:rPr>
                <w:rFonts w:hint="cs"/>
                <w:b/>
                <w:bCs/>
                <w:i/>
                <w:iCs/>
                <w:rtl/>
                <w:lang w:val="en-GB" w:eastAsia="en-GB"/>
              </w:rPr>
              <w:t>عدد البلدان</w:t>
            </w:r>
            <w:r w:rsidRPr="00F9146F">
              <w:rPr>
                <w:rFonts w:hint="cs"/>
                <w:b/>
                <w:bCs/>
                <w:rtl/>
                <w:lang w:val="en-GB" w:eastAsia="en-GB"/>
              </w:rPr>
              <w:t>:</w:t>
            </w:r>
          </w:p>
        </w:tc>
      </w:tr>
      <w:tr w:rsidR="00D35380" w:rsidRPr="00752580" w14:paraId="42567377" w14:textId="77777777" w:rsidTr="00B977C3">
        <w:trPr>
          <w:trHeight w:val="300"/>
        </w:trPr>
        <w:tc>
          <w:tcPr>
            <w:tcW w:w="9658" w:type="dxa"/>
            <w:gridSpan w:val="2"/>
            <w:tcBorders>
              <w:top w:val="single" w:sz="6" w:space="0" w:color="auto"/>
              <w:left w:val="nil"/>
              <w:bottom w:val="nil"/>
              <w:right w:val="nil"/>
            </w:tcBorders>
            <w:shd w:val="clear" w:color="auto" w:fill="auto"/>
            <w:hideMark/>
          </w:tcPr>
          <w:p w14:paraId="7840EC84" w14:textId="77777777" w:rsidR="00D35380" w:rsidRPr="00752580" w:rsidRDefault="00D35380" w:rsidP="00787EBD">
            <w:pPr>
              <w:tabs>
                <w:tab w:val="clear" w:pos="1134"/>
                <w:tab w:val="clear" w:pos="1871"/>
                <w:tab w:val="clear" w:pos="2268"/>
              </w:tabs>
              <w:spacing w:before="0" w:line="240" w:lineRule="auto"/>
              <w:jc w:val="left"/>
              <w:textAlignment w:val="baseline"/>
              <w:rPr>
                <w:lang w:val="en-GB" w:eastAsia="en-GB"/>
              </w:rPr>
            </w:pPr>
            <w:r>
              <w:rPr>
                <w:rFonts w:hint="cs"/>
                <w:b/>
                <w:bCs/>
                <w:i/>
                <w:iCs/>
                <w:rtl/>
                <w:lang w:val="en-GB" w:eastAsia="en-GB"/>
              </w:rPr>
              <w:t>ملاحظات</w:t>
            </w:r>
          </w:p>
          <w:p w14:paraId="6DBE8DE5" w14:textId="77777777" w:rsidR="00D35380" w:rsidRPr="00752580" w:rsidRDefault="00D35380" w:rsidP="00787EBD">
            <w:pPr>
              <w:tabs>
                <w:tab w:val="clear" w:pos="1134"/>
                <w:tab w:val="clear" w:pos="1871"/>
                <w:tab w:val="clear" w:pos="2268"/>
              </w:tabs>
              <w:spacing w:before="0" w:line="240" w:lineRule="auto"/>
              <w:jc w:val="left"/>
              <w:textAlignment w:val="baseline"/>
              <w:rPr>
                <w:lang w:val="en-GB" w:eastAsia="en-GB"/>
              </w:rPr>
            </w:pPr>
            <w:r w:rsidRPr="00752580">
              <w:rPr>
                <w:lang w:val="en-GB" w:eastAsia="en-GB"/>
              </w:rPr>
              <w:t> </w:t>
            </w:r>
          </w:p>
        </w:tc>
      </w:tr>
    </w:tbl>
    <w:p w14:paraId="71992D4F" w14:textId="77777777" w:rsidR="00D35380" w:rsidRDefault="00D35380" w:rsidP="00451F16">
      <w:pPr>
        <w:jc w:val="center"/>
        <w:rPr>
          <w:rtl/>
          <w:lang w:bidi="ar-EG"/>
        </w:rP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D3538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E6F8" w14:textId="77777777" w:rsidR="001A6F04" w:rsidRDefault="001A6F04" w:rsidP="002919E1">
      <w:r>
        <w:separator/>
      </w:r>
    </w:p>
    <w:p w14:paraId="20416E1F" w14:textId="77777777" w:rsidR="001A6F04" w:rsidRDefault="001A6F04" w:rsidP="002919E1"/>
    <w:p w14:paraId="092A4D51" w14:textId="77777777" w:rsidR="001A6F04" w:rsidRDefault="001A6F04" w:rsidP="002919E1"/>
    <w:p w14:paraId="36E4DCCA" w14:textId="77777777" w:rsidR="001A6F04" w:rsidRDefault="001A6F04"/>
    <w:p w14:paraId="04F70C5A" w14:textId="77777777" w:rsidR="001A6F04" w:rsidRDefault="001A6F04"/>
  </w:endnote>
  <w:endnote w:type="continuationSeparator" w:id="0">
    <w:p w14:paraId="11BCA5FE" w14:textId="77777777" w:rsidR="001A6F04" w:rsidRDefault="001A6F04" w:rsidP="002919E1">
      <w:r>
        <w:continuationSeparator/>
      </w:r>
    </w:p>
    <w:p w14:paraId="0D38AEC2" w14:textId="77777777" w:rsidR="001A6F04" w:rsidRDefault="001A6F04" w:rsidP="002919E1"/>
    <w:p w14:paraId="529505C4" w14:textId="77777777" w:rsidR="001A6F04" w:rsidRDefault="001A6F04" w:rsidP="002919E1"/>
    <w:p w14:paraId="3A0B205F" w14:textId="77777777" w:rsidR="001A6F04" w:rsidRDefault="001A6F04"/>
    <w:p w14:paraId="57E5B321"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91C1" w14:textId="77777777" w:rsidR="00ED3D0A" w:rsidRDefault="00ED3D0A" w:rsidP="00ED3D0A">
    <w:pPr>
      <w:pStyle w:val="Footer"/>
      <w:bidi w:val="0"/>
      <w:jc w:val="left"/>
    </w:pPr>
    <w:r w:rsidRPr="0026373E">
      <w:rPr>
        <w:sz w:val="16"/>
        <w:szCs w:val="16"/>
        <w:lang w:val="fr-FR"/>
      </w:rPr>
      <w:fldChar w:fldCharType="begin"/>
    </w:r>
    <w:r w:rsidRPr="00ED3D0A">
      <w:rPr>
        <w:sz w:val="16"/>
        <w:szCs w:val="16"/>
        <w:lang w:val="en-GB"/>
      </w:rPr>
      <w:instrText xml:space="preserve"> FILENAME \p \* MERGEFORMAT </w:instrText>
    </w:r>
    <w:r w:rsidRPr="0026373E">
      <w:rPr>
        <w:sz w:val="16"/>
        <w:szCs w:val="16"/>
        <w:lang w:val="fr-FR"/>
      </w:rPr>
      <w:fldChar w:fldCharType="separate"/>
    </w:r>
    <w:r>
      <w:rPr>
        <w:noProof/>
        <w:sz w:val="16"/>
        <w:szCs w:val="16"/>
        <w:lang w:val="en-GB"/>
      </w:rPr>
      <w:t>P:\ARA\ITU-R\CONF-R\CMR23\100\164REV1A.docx</w:t>
    </w:r>
    <w:r w:rsidRPr="0026373E">
      <w:rPr>
        <w:sz w:val="16"/>
        <w:szCs w:val="16"/>
      </w:rPr>
      <w:fldChar w:fldCharType="end"/>
    </w:r>
    <w:proofErr w:type="gramStart"/>
    <w:r w:rsidRPr="0026373E">
      <w:rPr>
        <w:sz w:val="16"/>
        <w:szCs w:val="16"/>
      </w:rPr>
      <w:t xml:space="preserve">  </w:t>
    </w:r>
    <w:r w:rsidRPr="00ED3D0A">
      <w:rPr>
        <w:sz w:val="16"/>
        <w:szCs w:val="16"/>
        <w:lang w:val="en-GB"/>
      </w:rPr>
      <w:t xml:space="preserve"> (</w:t>
    </w:r>
    <w:proofErr w:type="gramEnd"/>
    <w:r w:rsidRPr="00ED3D0A">
      <w:rPr>
        <w:sz w:val="16"/>
        <w:szCs w:val="16"/>
        <w:lang w:val="en-GB"/>
      </w:rPr>
      <w:t>531380)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C192" w14:textId="77777777" w:rsidR="00ED3D0A" w:rsidRDefault="00ED3D0A" w:rsidP="00ED3D0A">
    <w:pPr>
      <w:pStyle w:val="Footer"/>
      <w:bidi w:val="0"/>
      <w:jc w:val="left"/>
    </w:pPr>
    <w:r w:rsidRPr="0026373E">
      <w:rPr>
        <w:sz w:val="16"/>
        <w:szCs w:val="16"/>
        <w:lang w:val="fr-FR"/>
      </w:rPr>
      <w:fldChar w:fldCharType="begin"/>
    </w:r>
    <w:r w:rsidRPr="00ED3D0A">
      <w:rPr>
        <w:sz w:val="16"/>
        <w:szCs w:val="16"/>
        <w:lang w:val="en-GB"/>
      </w:rPr>
      <w:instrText xml:space="preserve"> FILENAME \p \* MERGEFORMAT </w:instrText>
    </w:r>
    <w:r w:rsidRPr="0026373E">
      <w:rPr>
        <w:sz w:val="16"/>
        <w:szCs w:val="16"/>
        <w:lang w:val="fr-FR"/>
      </w:rPr>
      <w:fldChar w:fldCharType="separate"/>
    </w:r>
    <w:r>
      <w:rPr>
        <w:noProof/>
        <w:sz w:val="16"/>
        <w:szCs w:val="16"/>
        <w:lang w:val="en-GB"/>
      </w:rPr>
      <w:t>P:\ARA\ITU-R\CONF-R\CMR23\100\164REV1A.docx</w:t>
    </w:r>
    <w:r w:rsidRPr="0026373E">
      <w:rPr>
        <w:sz w:val="16"/>
        <w:szCs w:val="16"/>
      </w:rPr>
      <w:fldChar w:fldCharType="end"/>
    </w:r>
    <w:proofErr w:type="gramStart"/>
    <w:r w:rsidRPr="0026373E">
      <w:rPr>
        <w:sz w:val="16"/>
        <w:szCs w:val="16"/>
      </w:rPr>
      <w:t xml:space="preserve">  </w:t>
    </w:r>
    <w:r w:rsidRPr="00ED3D0A">
      <w:rPr>
        <w:sz w:val="16"/>
        <w:szCs w:val="16"/>
        <w:lang w:val="en-GB"/>
      </w:rPr>
      <w:t xml:space="preserve"> (</w:t>
    </w:r>
    <w:proofErr w:type="gramEnd"/>
    <w:r w:rsidRPr="00ED3D0A">
      <w:rPr>
        <w:sz w:val="16"/>
        <w:szCs w:val="16"/>
        <w:lang w:val="en-GB"/>
      </w:rPr>
      <w:t>531380)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CC13" w14:textId="44E905BA" w:rsidR="0029024A" w:rsidRDefault="001210CB" w:rsidP="00ED3D0A">
    <w:pPr>
      <w:pStyle w:val="Footer"/>
      <w:bidi w:val="0"/>
      <w:jc w:val="left"/>
    </w:pPr>
    <w:r w:rsidRPr="0026373E">
      <w:rPr>
        <w:sz w:val="16"/>
        <w:szCs w:val="16"/>
        <w:lang w:val="fr-FR"/>
      </w:rPr>
      <w:fldChar w:fldCharType="begin"/>
    </w:r>
    <w:r w:rsidRPr="00ED3D0A">
      <w:rPr>
        <w:sz w:val="16"/>
        <w:szCs w:val="16"/>
        <w:lang w:val="en-GB"/>
      </w:rPr>
      <w:instrText xml:space="preserve"> FILENAME \p \* MERGEFORMAT </w:instrText>
    </w:r>
    <w:r w:rsidRPr="0026373E">
      <w:rPr>
        <w:sz w:val="16"/>
        <w:szCs w:val="16"/>
        <w:lang w:val="fr-FR"/>
      </w:rPr>
      <w:fldChar w:fldCharType="separate"/>
    </w:r>
    <w:r w:rsidR="00ED3D0A">
      <w:rPr>
        <w:noProof/>
        <w:sz w:val="16"/>
        <w:szCs w:val="16"/>
        <w:lang w:val="en-GB"/>
      </w:rPr>
      <w:t>P:\ARA\ITU-R\CONF-R\CMR23\100\164REV1A.docx</w:t>
    </w:r>
    <w:r w:rsidRPr="0026373E">
      <w:rPr>
        <w:sz w:val="16"/>
        <w:szCs w:val="16"/>
      </w:rPr>
      <w:fldChar w:fldCharType="end"/>
    </w:r>
    <w:proofErr w:type="gramStart"/>
    <w:r w:rsidRPr="0026373E">
      <w:rPr>
        <w:sz w:val="16"/>
        <w:szCs w:val="16"/>
      </w:rPr>
      <w:t xml:space="preserve">  </w:t>
    </w:r>
    <w:r w:rsidRPr="00ED3D0A">
      <w:rPr>
        <w:sz w:val="16"/>
        <w:szCs w:val="16"/>
        <w:lang w:val="en-GB"/>
      </w:rPr>
      <w:t xml:space="preserve"> (</w:t>
    </w:r>
    <w:proofErr w:type="gramEnd"/>
    <w:r w:rsidR="00ED3D0A" w:rsidRPr="00ED3D0A">
      <w:rPr>
        <w:sz w:val="16"/>
        <w:szCs w:val="16"/>
        <w:lang w:val="en-GB"/>
      </w:rPr>
      <w:t>531380</w:t>
    </w:r>
    <w:r w:rsidRPr="00ED3D0A">
      <w:rPr>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7988" w14:textId="77777777" w:rsidR="001A6F04" w:rsidRDefault="001A6F04" w:rsidP="00C45930">
      <w:r>
        <w:separator/>
      </w:r>
    </w:p>
  </w:footnote>
  <w:footnote w:type="continuationSeparator" w:id="0">
    <w:p w14:paraId="609DB7F0" w14:textId="77777777" w:rsidR="001A6F04" w:rsidRDefault="001A6F04" w:rsidP="002919E1">
      <w:r>
        <w:continuationSeparator/>
      </w:r>
    </w:p>
    <w:p w14:paraId="1DA65073" w14:textId="77777777" w:rsidR="001A6F04" w:rsidRDefault="001A6F04" w:rsidP="002919E1"/>
    <w:p w14:paraId="10691296" w14:textId="77777777" w:rsidR="001A6F04" w:rsidRDefault="001A6F04" w:rsidP="002919E1"/>
    <w:p w14:paraId="29FAD0EC" w14:textId="77777777" w:rsidR="001A6F04" w:rsidRDefault="001A6F04"/>
    <w:p w14:paraId="162DABB4" w14:textId="77777777" w:rsidR="001A6F04" w:rsidRDefault="001A6F04"/>
  </w:footnote>
  <w:footnote w:id="1">
    <w:p w14:paraId="3B0DC9B8" w14:textId="7B76ED6F" w:rsidR="009C5157" w:rsidRPr="00FE2CFF" w:rsidRDefault="009C5157" w:rsidP="00D35380">
      <w:pPr>
        <w:pStyle w:val="FootnoteText"/>
        <w:tabs>
          <w:tab w:val="clear" w:pos="1134"/>
          <w:tab w:val="left" w:pos="283"/>
        </w:tabs>
        <w:rPr>
          <w:rtl/>
        </w:rPr>
      </w:pPr>
      <w:r w:rsidRPr="00FE2CFF">
        <w:rPr>
          <w:rStyle w:val="FootnoteReference"/>
          <w:rtl/>
        </w:rPr>
        <w:t>*</w:t>
      </w:r>
      <w:r w:rsidRPr="00FE2CFF">
        <w:rPr>
          <w:rtl/>
        </w:rPr>
        <w:tab/>
      </w:r>
      <w:r w:rsidRPr="00FE2CFF">
        <w:rPr>
          <w:rFonts w:hint="cs"/>
          <w:rtl/>
        </w:rPr>
        <w:t xml:space="preserve">يُفهم من وضع بعض نطاقات التردد بين أقواس مربعة في هذا القرار أن المؤتمر </w:t>
      </w:r>
      <w:r w:rsidRPr="00FE2CFF">
        <w:t>WRC-23</w:t>
      </w:r>
      <w:r w:rsidRPr="00FE2CFF">
        <w:rPr>
          <w:rFonts w:hint="cs"/>
          <w:rtl/>
        </w:rPr>
        <w:t xml:space="preserve"> سيستعرض نطاقات التردد هذه الموضوعة بين أقواس مربعة وينظر في إدراجها، ويتخذ قراراً بشأنها، حسب الاقتضاء.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A2A3" w14:textId="4B66E2F5" w:rsidR="00D63A6F" w:rsidRPr="0029024A" w:rsidRDefault="005E5F16" w:rsidP="0029024A">
    <w:pPr>
      <w:bidi w:val="0"/>
      <w:spacing w:after="360" w:line="240" w:lineRule="auto"/>
      <w:jc w:val="center"/>
      <w:rPr>
        <w:sz w:val="20"/>
        <w:szCs w:val="20"/>
      </w:rPr>
    </w:pPr>
    <w:r w:rsidRPr="0029024A">
      <w:rPr>
        <w:rStyle w:val="PageNumber"/>
        <w:rFonts w:ascii="Dubai" w:hAnsi="Dubai" w:cs="Dubai"/>
      </w:rPr>
      <w:fldChar w:fldCharType="begin"/>
    </w:r>
    <w:r w:rsidRPr="0029024A">
      <w:rPr>
        <w:rStyle w:val="PageNumber"/>
        <w:rFonts w:ascii="Dubai" w:hAnsi="Dubai" w:cs="Dubai"/>
      </w:rPr>
      <w:instrText xml:space="preserve"> PAGE </w:instrText>
    </w:r>
    <w:r w:rsidRPr="0029024A">
      <w:rPr>
        <w:rStyle w:val="PageNumber"/>
        <w:rFonts w:ascii="Dubai" w:hAnsi="Dubai" w:cs="Dubai"/>
      </w:rPr>
      <w:fldChar w:fldCharType="separate"/>
    </w:r>
    <w:r w:rsidRPr="0029024A">
      <w:rPr>
        <w:rStyle w:val="PageNumber"/>
        <w:rFonts w:ascii="Dubai" w:hAnsi="Dubai" w:cs="Dubai"/>
      </w:rPr>
      <w:t>2</w:t>
    </w:r>
    <w:r w:rsidRPr="0029024A">
      <w:rPr>
        <w:rStyle w:val="PageNumber"/>
        <w:rFonts w:ascii="Dubai" w:hAnsi="Dubai" w:cs="Dubai"/>
      </w:rPr>
      <w:fldChar w:fldCharType="end"/>
    </w:r>
    <w:r w:rsidRPr="0029024A">
      <w:rPr>
        <w:rStyle w:val="PageNumber"/>
        <w:rFonts w:ascii="Dubai" w:hAnsi="Dubai" w:cs="Dubai"/>
        <w:rtl/>
      </w:rPr>
      <w:br/>
    </w:r>
    <w:r w:rsidR="004F5F29" w:rsidRPr="0029024A">
      <w:rPr>
        <w:rStyle w:val="PageNumber"/>
        <w:rFonts w:ascii="Dubai" w:hAnsi="Dubai" w:cs="Dubai"/>
      </w:rPr>
      <w:t>WRC</w:t>
    </w:r>
    <w:r w:rsidRPr="0029024A">
      <w:rPr>
        <w:rStyle w:val="PageNumber"/>
        <w:rFonts w:ascii="Dubai" w:hAnsi="Dubai" w:cs="Dubai"/>
      </w:rPr>
      <w:t>23/164</w:t>
    </w:r>
    <w:r w:rsidR="00ED3D0A">
      <w:rPr>
        <w:rStyle w:val="PageNumber"/>
        <w:rFonts w:ascii="Dubai" w:hAnsi="Dubai" w:cs="Dubai"/>
      </w:rPr>
      <w:t>(Rev.1)</w:t>
    </w:r>
    <w:r w:rsidRPr="0029024A">
      <w:rPr>
        <w:rStyle w:val="PageNumber"/>
        <w:rFonts w:ascii="Dubai" w:hAnsi="Dubai" w:cs="Dubai"/>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1158" w14:textId="2B3480CF" w:rsidR="00D35380" w:rsidRPr="00451F16" w:rsidRDefault="00D35380" w:rsidP="00451F16">
    <w:pPr>
      <w:bidi w:val="0"/>
      <w:spacing w:after="360" w:line="240" w:lineRule="auto"/>
      <w:jc w:val="center"/>
      <w:rPr>
        <w:sz w:val="20"/>
        <w:szCs w:val="20"/>
      </w:rPr>
    </w:pPr>
    <w:r w:rsidRPr="0029024A">
      <w:rPr>
        <w:rStyle w:val="PageNumber"/>
        <w:rFonts w:ascii="Dubai" w:hAnsi="Dubai" w:cs="Dubai"/>
      </w:rPr>
      <w:fldChar w:fldCharType="begin"/>
    </w:r>
    <w:r w:rsidRPr="0029024A">
      <w:rPr>
        <w:rStyle w:val="PageNumber"/>
        <w:rFonts w:ascii="Dubai" w:hAnsi="Dubai" w:cs="Dubai"/>
      </w:rPr>
      <w:instrText xml:space="preserve"> PAGE </w:instrText>
    </w:r>
    <w:r w:rsidRPr="0029024A">
      <w:rPr>
        <w:rStyle w:val="PageNumber"/>
        <w:rFonts w:ascii="Dubai" w:hAnsi="Dubai" w:cs="Dubai"/>
      </w:rPr>
      <w:fldChar w:fldCharType="separate"/>
    </w:r>
    <w:r>
      <w:rPr>
        <w:rStyle w:val="PageNumber"/>
        <w:rtl/>
      </w:rPr>
      <w:t>4</w:t>
    </w:r>
    <w:r w:rsidRPr="0029024A">
      <w:rPr>
        <w:rStyle w:val="PageNumber"/>
        <w:rFonts w:ascii="Dubai" w:hAnsi="Dubai" w:cs="Dubai"/>
      </w:rPr>
      <w:fldChar w:fldCharType="end"/>
    </w:r>
    <w:r w:rsidRPr="0029024A">
      <w:rPr>
        <w:rStyle w:val="PageNumber"/>
        <w:rFonts w:ascii="Dubai" w:hAnsi="Dubai" w:cs="Dubai"/>
        <w:rtl/>
      </w:rPr>
      <w:br/>
    </w:r>
    <w:r w:rsidRPr="0029024A">
      <w:rPr>
        <w:rStyle w:val="PageNumber"/>
        <w:rFonts w:ascii="Dubai" w:hAnsi="Dubai" w:cs="Dubai"/>
      </w:rPr>
      <w:t>WRC23/164</w:t>
    </w:r>
    <w:r w:rsidR="00ED3D0A">
      <w:rPr>
        <w:rStyle w:val="PageNumber"/>
        <w:rFonts w:ascii="Dubai" w:hAnsi="Dubai" w:cs="Dubai"/>
      </w:rPr>
      <w:t>(Rev.1)</w:t>
    </w:r>
    <w:r w:rsidRPr="0029024A">
      <w:rPr>
        <w:rStyle w:val="PageNumber"/>
        <w:rFonts w:ascii="Dubai" w:hAnsi="Dubai" w:cs="Dubai"/>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7920" w14:textId="77777777" w:rsidR="00ED3D0A" w:rsidRDefault="00ED3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627F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7E72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C25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0431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698774934">
    <w:abstractNumId w:val="9"/>
  </w:num>
  <w:num w:numId="2" w16cid:durableId="1301302795">
    <w:abstractNumId w:val="13"/>
  </w:num>
  <w:num w:numId="3" w16cid:durableId="304094146">
    <w:abstractNumId w:val="11"/>
  </w:num>
  <w:num w:numId="4" w16cid:durableId="960724928">
    <w:abstractNumId w:val="14"/>
  </w:num>
  <w:num w:numId="5" w16cid:durableId="1913659532">
    <w:abstractNumId w:val="7"/>
  </w:num>
  <w:num w:numId="6" w16cid:durableId="1136142157">
    <w:abstractNumId w:val="6"/>
  </w:num>
  <w:num w:numId="7" w16cid:durableId="1096903981">
    <w:abstractNumId w:val="5"/>
  </w:num>
  <w:num w:numId="8" w16cid:durableId="1198815237">
    <w:abstractNumId w:val="4"/>
  </w:num>
  <w:num w:numId="9" w16cid:durableId="1748915971">
    <w:abstractNumId w:val="8"/>
  </w:num>
  <w:num w:numId="10" w16cid:durableId="1437601723">
    <w:abstractNumId w:val="3"/>
  </w:num>
  <w:num w:numId="11" w16cid:durableId="437914572">
    <w:abstractNumId w:val="2"/>
  </w:num>
  <w:num w:numId="12" w16cid:durableId="976571179">
    <w:abstractNumId w:val="1"/>
  </w:num>
  <w:num w:numId="13" w16cid:durableId="353962704">
    <w:abstractNumId w:val="0"/>
  </w:num>
  <w:num w:numId="14" w16cid:durableId="1724063952">
    <w:abstractNumId w:val="10"/>
  </w:num>
  <w:num w:numId="15" w16cid:durableId="1860502408">
    <w:abstractNumId w:val="15"/>
  </w:num>
  <w:num w:numId="16" w16cid:durableId="1821190160">
    <w:abstractNumId w:val="12"/>
  </w:num>
  <w:num w:numId="17" w16cid:durableId="1799302818">
    <w:abstractNumId w:val="6"/>
  </w:num>
  <w:num w:numId="18" w16cid:durableId="1368486138">
    <w:abstractNumId w:val="5"/>
  </w:num>
  <w:num w:numId="19" w16cid:durableId="1648970062">
    <w:abstractNumId w:val="3"/>
  </w:num>
  <w:num w:numId="20" w16cid:durableId="487132325">
    <w:abstractNumId w:val="2"/>
  </w:num>
  <w:num w:numId="21" w16cid:durableId="2099519883">
    <w:abstractNumId w:val="6"/>
  </w:num>
  <w:num w:numId="22" w16cid:durableId="1234197165">
    <w:abstractNumId w:val="5"/>
  </w:num>
  <w:num w:numId="23" w16cid:durableId="610359261">
    <w:abstractNumId w:val="3"/>
  </w:num>
  <w:num w:numId="24" w16cid:durableId="1192913612">
    <w:abstractNumId w:val="2"/>
  </w:num>
  <w:num w:numId="25" w16cid:durableId="232396699">
    <w:abstractNumId w:val="3"/>
  </w:num>
  <w:num w:numId="26" w16cid:durableId="2100981548">
    <w:abstractNumId w:val="2"/>
  </w:num>
  <w:num w:numId="27" w16cid:durableId="986976165">
    <w:abstractNumId w:val="3"/>
  </w:num>
  <w:num w:numId="28" w16cid:durableId="1213738638">
    <w:abstractNumId w:val="2"/>
  </w:num>
  <w:num w:numId="29" w16cid:durableId="191187537">
    <w:abstractNumId w:val="3"/>
  </w:num>
  <w:num w:numId="30" w16cid:durableId="1786927395">
    <w:abstractNumId w:val="2"/>
  </w:num>
  <w:num w:numId="31" w16cid:durableId="1947882268">
    <w:abstractNumId w:val="3"/>
  </w:num>
  <w:num w:numId="32" w16cid:durableId="75324718">
    <w:abstractNumId w:val="2"/>
  </w:num>
  <w:num w:numId="33" w16cid:durableId="1521818221">
    <w:abstractNumId w:val="3"/>
  </w:num>
  <w:num w:numId="34" w16cid:durableId="519509319">
    <w:abstractNumId w:val="2"/>
  </w:num>
  <w:num w:numId="35" w16cid:durableId="1591616136">
    <w:abstractNumId w:val="3"/>
  </w:num>
  <w:num w:numId="36" w16cid:durableId="1938705508">
    <w:abstractNumId w:val="2"/>
  </w:num>
  <w:num w:numId="37" w16cid:durableId="168252667">
    <w:abstractNumId w:val="3"/>
  </w:num>
  <w:num w:numId="38" w16cid:durableId="1721128961">
    <w:abstractNumId w:val="2"/>
  </w:num>
  <w:num w:numId="39" w16cid:durableId="932468146">
    <w:abstractNumId w:val="3"/>
  </w:num>
  <w:num w:numId="40" w16cid:durableId="2118865191">
    <w:abstractNumId w:val="2"/>
  </w:num>
  <w:num w:numId="41" w16cid:durableId="84619566">
    <w:abstractNumId w:val="3"/>
  </w:num>
  <w:num w:numId="42" w16cid:durableId="1264846378">
    <w:abstractNumId w:val="2"/>
  </w:num>
  <w:num w:numId="43" w16cid:durableId="667681294">
    <w:abstractNumId w:val="3"/>
  </w:num>
  <w:num w:numId="44" w16cid:durableId="1739859996">
    <w:abstractNumId w:val="2"/>
  </w:num>
  <w:num w:numId="45" w16cid:durableId="750346413">
    <w:abstractNumId w:val="3"/>
  </w:num>
  <w:num w:numId="46" w16cid:durableId="2086223637">
    <w:abstractNumId w:val="2"/>
  </w:num>
  <w:num w:numId="47" w16cid:durableId="1068724561">
    <w:abstractNumId w:val="3"/>
  </w:num>
  <w:num w:numId="48" w16cid:durableId="1291857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4E79"/>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10CB"/>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B39"/>
    <w:rsid w:val="00260F50"/>
    <w:rsid w:val="00261853"/>
    <w:rsid w:val="00261EF7"/>
    <w:rsid w:val="00263531"/>
    <w:rsid w:val="00266089"/>
    <w:rsid w:val="002705A8"/>
    <w:rsid w:val="0027069F"/>
    <w:rsid w:val="00270ACE"/>
    <w:rsid w:val="00277C94"/>
    <w:rsid w:val="00280E04"/>
    <w:rsid w:val="00281F5F"/>
    <w:rsid w:val="002843E4"/>
    <w:rsid w:val="00284D30"/>
    <w:rsid w:val="00286A8C"/>
    <w:rsid w:val="0029024A"/>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16D21"/>
    <w:rsid w:val="00323DAA"/>
    <w:rsid w:val="0032715E"/>
    <w:rsid w:val="00330AB2"/>
    <w:rsid w:val="003365C2"/>
    <w:rsid w:val="0033737F"/>
    <w:rsid w:val="003401B0"/>
    <w:rsid w:val="00342F1E"/>
    <w:rsid w:val="00352DD5"/>
    <w:rsid w:val="00353652"/>
    <w:rsid w:val="003569E1"/>
    <w:rsid w:val="00357F89"/>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51F16"/>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32DD"/>
    <w:rsid w:val="004C5C04"/>
    <w:rsid w:val="004C67F1"/>
    <w:rsid w:val="004C6A41"/>
    <w:rsid w:val="004D0448"/>
    <w:rsid w:val="004D1B32"/>
    <w:rsid w:val="004D2146"/>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B1B"/>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5902"/>
    <w:rsid w:val="006B658C"/>
    <w:rsid w:val="006C00B7"/>
    <w:rsid w:val="006C0EBE"/>
    <w:rsid w:val="006C30E9"/>
    <w:rsid w:val="006D2674"/>
    <w:rsid w:val="006D57B9"/>
    <w:rsid w:val="006E38D0"/>
    <w:rsid w:val="006E465B"/>
    <w:rsid w:val="006F70BF"/>
    <w:rsid w:val="007057F3"/>
    <w:rsid w:val="00715285"/>
    <w:rsid w:val="007153A0"/>
    <w:rsid w:val="00716B1D"/>
    <w:rsid w:val="00717BA9"/>
    <w:rsid w:val="00717D5B"/>
    <w:rsid w:val="00723BEA"/>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2E7"/>
    <w:rsid w:val="0088384B"/>
    <w:rsid w:val="008927F5"/>
    <w:rsid w:val="00893E53"/>
    <w:rsid w:val="008A1137"/>
    <w:rsid w:val="008A1788"/>
    <w:rsid w:val="008A3E57"/>
    <w:rsid w:val="008A4185"/>
    <w:rsid w:val="008A6552"/>
    <w:rsid w:val="008B4E93"/>
    <w:rsid w:val="008B52B7"/>
    <w:rsid w:val="008B544A"/>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64D1F"/>
    <w:rsid w:val="00972CE0"/>
    <w:rsid w:val="00984018"/>
    <w:rsid w:val="009906D6"/>
    <w:rsid w:val="00995CE3"/>
    <w:rsid w:val="009A3D30"/>
    <w:rsid w:val="009A5AC1"/>
    <w:rsid w:val="009B006F"/>
    <w:rsid w:val="009C3927"/>
    <w:rsid w:val="009C5157"/>
    <w:rsid w:val="009D15C6"/>
    <w:rsid w:val="009D6348"/>
    <w:rsid w:val="009E0A44"/>
    <w:rsid w:val="009E5007"/>
    <w:rsid w:val="009E613F"/>
    <w:rsid w:val="009F042B"/>
    <w:rsid w:val="009F2EC9"/>
    <w:rsid w:val="00A03FD6"/>
    <w:rsid w:val="00A04CF4"/>
    <w:rsid w:val="00A116A8"/>
    <w:rsid w:val="00A13C5D"/>
    <w:rsid w:val="00A17E61"/>
    <w:rsid w:val="00A22AE9"/>
    <w:rsid w:val="00A2388D"/>
    <w:rsid w:val="00A26758"/>
    <w:rsid w:val="00A26D0E"/>
    <w:rsid w:val="00A27205"/>
    <w:rsid w:val="00A278E9"/>
    <w:rsid w:val="00A3202B"/>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0D53"/>
    <w:rsid w:val="00A7588B"/>
    <w:rsid w:val="00A809E8"/>
    <w:rsid w:val="00A82CC1"/>
    <w:rsid w:val="00A86B29"/>
    <w:rsid w:val="00A870AD"/>
    <w:rsid w:val="00A90843"/>
    <w:rsid w:val="00A9645C"/>
    <w:rsid w:val="00AA58DD"/>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977C3"/>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67132"/>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35380"/>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0EC2"/>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D3D0A"/>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4773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DD3B7"/>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e27921d-a8dc-4c32-bbcb-f5750250991d" targetNamespace="http://schemas.microsoft.com/office/2006/metadata/properties" ma:root="true" ma:fieldsID="d41af5c836d734370eb92e7ee5f83852" ns2:_="" ns3:_="">
    <xsd:import namespace="996b2e75-67fd-4955-a3b0-5ab9934cb50b"/>
    <xsd:import namespace="6e27921d-a8dc-4c32-bbcb-f5750250991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e27921d-a8dc-4c32-bbcb-f5750250991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Author xmlns="6e27921d-a8dc-4c32-bbcb-f5750250991d">DPM</DPM_x0020_Author>
    <DPM_x0020_File_x0020_name xmlns="6e27921d-a8dc-4c32-bbcb-f5750250991d">R23-WRC23-C-0164!!MSW-A</DPM_x0020_File_x0020_name>
    <DPM_x0020_Version xmlns="6e27921d-a8dc-4c32-bbcb-f5750250991d">DPM_2022.05.12.01</DPM_x0020_Version>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e27921d-a8dc-4c32-bbcb-f57502509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7921d-a8dc-4c32-bbcb-f57502509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5.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6FE0F6-EF9A-4C25-8CAB-E55190712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R23-WRC23-C-0164!!MSW-A</vt:lpstr>
    </vt:vector>
  </TitlesOfParts>
  <Manager>General Secretariat - Pool</Manager>
  <Company>International Telecommunication Union (ITU)</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R23-WRC23-C-0164!!MSW-A</dc:title>
  <dc:creator>Documents Proposals Manager (DPM)</dc:creator>
  <cp:keywords>DPM_v2023.11.6.1_prod</cp:keywords>
  <cp:lastModifiedBy>Arabic-IR</cp:lastModifiedBy>
  <cp:revision>6</cp:revision>
  <cp:lastPrinted>2020-08-11T14:28:00Z</cp:lastPrinted>
  <dcterms:created xsi:type="dcterms:W3CDTF">2023-11-18T14:35:00Z</dcterms:created>
  <dcterms:modified xsi:type="dcterms:W3CDTF">2023-11-18T20:10:00Z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