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825756" w14:paraId="48B12069" w14:textId="77777777" w:rsidTr="0080079E">
        <w:trPr>
          <w:cantSplit/>
        </w:trPr>
        <w:tc>
          <w:tcPr>
            <w:tcW w:w="1418" w:type="dxa"/>
            <w:vAlign w:val="center"/>
          </w:tcPr>
          <w:p w14:paraId="62962B8B" w14:textId="77777777" w:rsidR="0080079E" w:rsidRPr="00825756" w:rsidRDefault="0080079E" w:rsidP="0080079E">
            <w:pPr>
              <w:spacing w:before="0" w:line="240" w:lineRule="atLeast"/>
              <w:rPr>
                <w:rFonts w:ascii="Verdana" w:hAnsi="Verdana"/>
                <w:position w:val="6"/>
              </w:rPr>
            </w:pPr>
            <w:r w:rsidRPr="00825756">
              <w:rPr>
                <w:noProof/>
                <w:lang w:eastAsia="es-ES"/>
              </w:rPr>
              <w:drawing>
                <wp:inline distT="0" distB="0" distL="0" distR="0" wp14:anchorId="7EF13A31" wp14:editId="0752738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36116550" w14:textId="77777777" w:rsidR="0080079E" w:rsidRPr="00825756" w:rsidRDefault="0080079E" w:rsidP="00C44E9E">
            <w:pPr>
              <w:spacing w:before="400" w:after="48" w:line="240" w:lineRule="atLeast"/>
              <w:rPr>
                <w:rFonts w:ascii="Verdana" w:hAnsi="Verdana"/>
                <w:position w:val="6"/>
              </w:rPr>
            </w:pPr>
            <w:r w:rsidRPr="00825756">
              <w:rPr>
                <w:rFonts w:ascii="Verdana" w:hAnsi="Verdana" w:cs="Times"/>
                <w:b/>
                <w:position w:val="6"/>
                <w:sz w:val="20"/>
              </w:rPr>
              <w:t>Conferencia Mundial de Radiocomunicaciones (CMR-23)</w:t>
            </w:r>
            <w:r w:rsidRPr="00825756">
              <w:rPr>
                <w:rFonts w:ascii="Verdana" w:hAnsi="Verdana" w:cs="Times"/>
                <w:b/>
                <w:position w:val="6"/>
                <w:sz w:val="20"/>
              </w:rPr>
              <w:br/>
            </w:r>
            <w:r w:rsidRPr="00825756">
              <w:rPr>
                <w:rFonts w:ascii="Verdana" w:hAnsi="Verdana" w:cs="Times"/>
                <w:b/>
                <w:position w:val="6"/>
                <w:sz w:val="18"/>
                <w:szCs w:val="18"/>
              </w:rPr>
              <w:t>Dubái, 20 de noviembre - 15 de diciembre de 2023</w:t>
            </w:r>
          </w:p>
        </w:tc>
        <w:tc>
          <w:tcPr>
            <w:tcW w:w="1809" w:type="dxa"/>
            <w:vAlign w:val="center"/>
          </w:tcPr>
          <w:p w14:paraId="54688487" w14:textId="77777777" w:rsidR="0080079E" w:rsidRPr="00825756" w:rsidRDefault="0080079E" w:rsidP="0080079E">
            <w:pPr>
              <w:spacing w:before="0" w:line="240" w:lineRule="atLeast"/>
            </w:pPr>
            <w:r w:rsidRPr="00825756">
              <w:rPr>
                <w:noProof/>
                <w:lang w:eastAsia="es-ES"/>
              </w:rPr>
              <w:drawing>
                <wp:inline distT="0" distB="0" distL="0" distR="0" wp14:anchorId="012689C4" wp14:editId="3E7FCC84">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825756" w14:paraId="067357B0" w14:textId="77777777" w:rsidTr="00370DDC">
        <w:trPr>
          <w:cantSplit/>
        </w:trPr>
        <w:tc>
          <w:tcPr>
            <w:tcW w:w="6911" w:type="dxa"/>
            <w:gridSpan w:val="2"/>
            <w:tcBorders>
              <w:bottom w:val="single" w:sz="12" w:space="0" w:color="auto"/>
            </w:tcBorders>
          </w:tcPr>
          <w:p w14:paraId="4E352F2A" w14:textId="77777777" w:rsidR="0090121B" w:rsidRPr="00825756" w:rsidRDefault="0090121B" w:rsidP="0090121B">
            <w:pPr>
              <w:spacing w:before="0" w:after="48" w:line="240" w:lineRule="atLeast"/>
              <w:rPr>
                <w:b/>
                <w:smallCaps/>
                <w:szCs w:val="24"/>
              </w:rPr>
            </w:pPr>
          </w:p>
        </w:tc>
        <w:tc>
          <w:tcPr>
            <w:tcW w:w="3120" w:type="dxa"/>
            <w:gridSpan w:val="2"/>
            <w:tcBorders>
              <w:bottom w:val="single" w:sz="12" w:space="0" w:color="auto"/>
            </w:tcBorders>
          </w:tcPr>
          <w:p w14:paraId="695F41FC" w14:textId="77777777" w:rsidR="0090121B" w:rsidRPr="00825756" w:rsidRDefault="0090121B" w:rsidP="0090121B">
            <w:pPr>
              <w:spacing w:before="0" w:line="240" w:lineRule="atLeast"/>
              <w:rPr>
                <w:rFonts w:ascii="Verdana" w:hAnsi="Verdana"/>
                <w:szCs w:val="24"/>
              </w:rPr>
            </w:pPr>
          </w:p>
        </w:tc>
      </w:tr>
      <w:tr w:rsidR="0090121B" w:rsidRPr="00825756" w14:paraId="493236D1" w14:textId="77777777" w:rsidTr="0090121B">
        <w:trPr>
          <w:cantSplit/>
        </w:trPr>
        <w:tc>
          <w:tcPr>
            <w:tcW w:w="6911" w:type="dxa"/>
            <w:gridSpan w:val="2"/>
            <w:tcBorders>
              <w:top w:val="single" w:sz="12" w:space="0" w:color="auto"/>
            </w:tcBorders>
          </w:tcPr>
          <w:p w14:paraId="11F7A713" w14:textId="77777777" w:rsidR="0090121B" w:rsidRPr="00825756"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64D136DA" w14:textId="77777777" w:rsidR="0090121B" w:rsidRPr="00825756" w:rsidRDefault="0090121B" w:rsidP="0090121B">
            <w:pPr>
              <w:spacing w:before="0" w:line="240" w:lineRule="atLeast"/>
              <w:rPr>
                <w:rFonts w:ascii="Verdana" w:hAnsi="Verdana"/>
                <w:sz w:val="20"/>
              </w:rPr>
            </w:pPr>
          </w:p>
        </w:tc>
      </w:tr>
      <w:tr w:rsidR="0090121B" w:rsidRPr="00825756" w14:paraId="22A4A84F" w14:textId="77777777" w:rsidTr="0090121B">
        <w:trPr>
          <w:cantSplit/>
        </w:trPr>
        <w:tc>
          <w:tcPr>
            <w:tcW w:w="6911" w:type="dxa"/>
            <w:gridSpan w:val="2"/>
          </w:tcPr>
          <w:p w14:paraId="266DBFCD" w14:textId="77777777" w:rsidR="0090121B" w:rsidRPr="00825756" w:rsidRDefault="001E7D42" w:rsidP="00EA77F0">
            <w:pPr>
              <w:pStyle w:val="Committee"/>
              <w:framePr w:hSpace="0" w:wrap="auto" w:hAnchor="text" w:yAlign="inline"/>
              <w:rPr>
                <w:sz w:val="18"/>
                <w:szCs w:val="18"/>
                <w:lang w:val="es-ES_tradnl"/>
              </w:rPr>
            </w:pPr>
            <w:r w:rsidRPr="00825756">
              <w:rPr>
                <w:sz w:val="18"/>
                <w:szCs w:val="18"/>
                <w:lang w:val="es-ES_tradnl"/>
              </w:rPr>
              <w:t>SESIÓN PLENARIA</w:t>
            </w:r>
          </w:p>
        </w:tc>
        <w:tc>
          <w:tcPr>
            <w:tcW w:w="3120" w:type="dxa"/>
            <w:gridSpan w:val="2"/>
          </w:tcPr>
          <w:p w14:paraId="5B63E713" w14:textId="77777777" w:rsidR="0090121B" w:rsidRPr="00825756" w:rsidRDefault="00AE658F" w:rsidP="0045384C">
            <w:pPr>
              <w:spacing w:before="0"/>
              <w:rPr>
                <w:rFonts w:ascii="Verdana" w:hAnsi="Verdana"/>
                <w:sz w:val="18"/>
                <w:szCs w:val="18"/>
              </w:rPr>
            </w:pPr>
            <w:r w:rsidRPr="00825756">
              <w:rPr>
                <w:rFonts w:ascii="Verdana" w:hAnsi="Verdana"/>
                <w:b/>
                <w:sz w:val="18"/>
                <w:szCs w:val="18"/>
              </w:rPr>
              <w:t>Documento 175</w:t>
            </w:r>
            <w:r w:rsidR="0090121B" w:rsidRPr="00825756">
              <w:rPr>
                <w:rFonts w:ascii="Verdana" w:hAnsi="Verdana"/>
                <w:b/>
                <w:sz w:val="18"/>
                <w:szCs w:val="18"/>
              </w:rPr>
              <w:t>-</w:t>
            </w:r>
            <w:r w:rsidRPr="00825756">
              <w:rPr>
                <w:rFonts w:ascii="Verdana" w:hAnsi="Verdana"/>
                <w:b/>
                <w:sz w:val="18"/>
                <w:szCs w:val="18"/>
              </w:rPr>
              <w:t>S</w:t>
            </w:r>
          </w:p>
        </w:tc>
      </w:tr>
      <w:tr w:rsidR="000A5B9A" w:rsidRPr="00825756" w14:paraId="5B42ECE6" w14:textId="77777777" w:rsidTr="0090121B">
        <w:trPr>
          <w:cantSplit/>
        </w:trPr>
        <w:tc>
          <w:tcPr>
            <w:tcW w:w="6911" w:type="dxa"/>
            <w:gridSpan w:val="2"/>
          </w:tcPr>
          <w:p w14:paraId="21D9A176" w14:textId="77777777" w:rsidR="000A5B9A" w:rsidRPr="00825756" w:rsidRDefault="000A5B9A" w:rsidP="0045384C">
            <w:pPr>
              <w:spacing w:before="0" w:after="48"/>
              <w:rPr>
                <w:rFonts w:ascii="Verdana" w:hAnsi="Verdana"/>
                <w:b/>
                <w:smallCaps/>
                <w:sz w:val="18"/>
                <w:szCs w:val="18"/>
              </w:rPr>
            </w:pPr>
          </w:p>
        </w:tc>
        <w:tc>
          <w:tcPr>
            <w:tcW w:w="3120" w:type="dxa"/>
            <w:gridSpan w:val="2"/>
          </w:tcPr>
          <w:p w14:paraId="3513FFA3" w14:textId="77777777" w:rsidR="000A5B9A" w:rsidRPr="00825756" w:rsidRDefault="000A5B9A" w:rsidP="0045384C">
            <w:pPr>
              <w:spacing w:before="0"/>
              <w:rPr>
                <w:rFonts w:ascii="Verdana" w:hAnsi="Verdana"/>
                <w:b/>
                <w:sz w:val="18"/>
                <w:szCs w:val="18"/>
              </w:rPr>
            </w:pPr>
            <w:r w:rsidRPr="00825756">
              <w:rPr>
                <w:rFonts w:ascii="Verdana" w:hAnsi="Verdana"/>
                <w:b/>
                <w:sz w:val="18"/>
                <w:szCs w:val="18"/>
              </w:rPr>
              <w:t>30 de octubre de 2023</w:t>
            </w:r>
          </w:p>
        </w:tc>
      </w:tr>
      <w:tr w:rsidR="000A5B9A" w:rsidRPr="00825756" w14:paraId="7434A593" w14:textId="77777777" w:rsidTr="0090121B">
        <w:trPr>
          <w:cantSplit/>
        </w:trPr>
        <w:tc>
          <w:tcPr>
            <w:tcW w:w="6911" w:type="dxa"/>
            <w:gridSpan w:val="2"/>
          </w:tcPr>
          <w:p w14:paraId="318727D8" w14:textId="77777777" w:rsidR="000A5B9A" w:rsidRPr="00825756" w:rsidRDefault="000A5B9A" w:rsidP="0045384C">
            <w:pPr>
              <w:spacing w:before="0" w:after="48"/>
              <w:rPr>
                <w:rFonts w:ascii="Verdana" w:hAnsi="Verdana"/>
                <w:b/>
                <w:smallCaps/>
                <w:sz w:val="18"/>
                <w:szCs w:val="18"/>
              </w:rPr>
            </w:pPr>
          </w:p>
        </w:tc>
        <w:tc>
          <w:tcPr>
            <w:tcW w:w="3120" w:type="dxa"/>
            <w:gridSpan w:val="2"/>
          </w:tcPr>
          <w:p w14:paraId="29105FB7" w14:textId="77777777" w:rsidR="000A5B9A" w:rsidRPr="00825756" w:rsidRDefault="000A5B9A" w:rsidP="0045384C">
            <w:pPr>
              <w:spacing w:before="0"/>
              <w:rPr>
                <w:rFonts w:ascii="Verdana" w:hAnsi="Verdana"/>
                <w:b/>
                <w:sz w:val="18"/>
                <w:szCs w:val="18"/>
              </w:rPr>
            </w:pPr>
            <w:r w:rsidRPr="00825756">
              <w:rPr>
                <w:rFonts w:ascii="Verdana" w:hAnsi="Verdana"/>
                <w:b/>
                <w:sz w:val="18"/>
                <w:szCs w:val="18"/>
              </w:rPr>
              <w:t>Original: inglés</w:t>
            </w:r>
          </w:p>
        </w:tc>
      </w:tr>
      <w:tr w:rsidR="000A5B9A" w:rsidRPr="00825756" w14:paraId="60E2DA7C" w14:textId="77777777" w:rsidTr="00370DDC">
        <w:trPr>
          <w:cantSplit/>
        </w:trPr>
        <w:tc>
          <w:tcPr>
            <w:tcW w:w="10031" w:type="dxa"/>
            <w:gridSpan w:val="4"/>
          </w:tcPr>
          <w:p w14:paraId="22C0FE27" w14:textId="77777777" w:rsidR="000A5B9A" w:rsidRPr="00825756" w:rsidRDefault="000A5B9A" w:rsidP="0045384C">
            <w:pPr>
              <w:spacing w:before="0"/>
              <w:rPr>
                <w:rFonts w:ascii="Verdana" w:hAnsi="Verdana"/>
                <w:b/>
                <w:sz w:val="18"/>
                <w:szCs w:val="22"/>
              </w:rPr>
            </w:pPr>
          </w:p>
        </w:tc>
      </w:tr>
      <w:tr w:rsidR="000A5B9A" w:rsidRPr="00825756" w14:paraId="5441C786" w14:textId="77777777" w:rsidTr="00370DDC">
        <w:trPr>
          <w:cantSplit/>
        </w:trPr>
        <w:tc>
          <w:tcPr>
            <w:tcW w:w="10031" w:type="dxa"/>
            <w:gridSpan w:val="4"/>
          </w:tcPr>
          <w:p w14:paraId="79E4A959" w14:textId="77777777" w:rsidR="000A5B9A" w:rsidRPr="00825756" w:rsidRDefault="000A5B9A" w:rsidP="000A5B9A">
            <w:pPr>
              <w:pStyle w:val="Source"/>
            </w:pPr>
            <w:bookmarkStart w:id="0" w:name="dsource" w:colFirst="0" w:colLast="0"/>
            <w:r w:rsidRPr="00825756">
              <w:t>Arabia Saudita (Reino de)/Libia (Estado de la)/Qatar (Estado de)/Samoa (Estado Independiente de)/Somalia (República Federal de)</w:t>
            </w:r>
          </w:p>
        </w:tc>
      </w:tr>
      <w:tr w:rsidR="000A5B9A" w:rsidRPr="00825756" w14:paraId="0920FED2" w14:textId="77777777" w:rsidTr="00370DDC">
        <w:trPr>
          <w:cantSplit/>
        </w:trPr>
        <w:tc>
          <w:tcPr>
            <w:tcW w:w="10031" w:type="dxa"/>
            <w:gridSpan w:val="4"/>
          </w:tcPr>
          <w:p w14:paraId="7A9033D2" w14:textId="5E0136B2" w:rsidR="000A5B9A" w:rsidRPr="00825756" w:rsidRDefault="00137EB0" w:rsidP="000A5B9A">
            <w:pPr>
              <w:pStyle w:val="Title1"/>
            </w:pPr>
            <w:bookmarkStart w:id="1" w:name="dtitle1" w:colFirst="0" w:colLast="0"/>
            <w:bookmarkEnd w:id="0"/>
            <w:r w:rsidRPr="00825756">
              <w:t>PROPUESTAS PARA LOS TRABAJOS DE LA CONFERENCIA</w:t>
            </w:r>
          </w:p>
        </w:tc>
      </w:tr>
      <w:tr w:rsidR="000A5B9A" w:rsidRPr="00825756" w14:paraId="11EB3388" w14:textId="77777777" w:rsidTr="00370DDC">
        <w:trPr>
          <w:cantSplit/>
        </w:trPr>
        <w:tc>
          <w:tcPr>
            <w:tcW w:w="10031" w:type="dxa"/>
            <w:gridSpan w:val="4"/>
          </w:tcPr>
          <w:p w14:paraId="51DC77C2" w14:textId="77777777" w:rsidR="000A5B9A" w:rsidRPr="00825756" w:rsidRDefault="000A5B9A" w:rsidP="000A5B9A">
            <w:pPr>
              <w:pStyle w:val="Title2"/>
            </w:pPr>
            <w:bookmarkStart w:id="2" w:name="dtitle2" w:colFirst="0" w:colLast="0"/>
            <w:bookmarkEnd w:id="1"/>
          </w:p>
        </w:tc>
      </w:tr>
      <w:tr w:rsidR="000A5B9A" w:rsidRPr="00825756" w14:paraId="24C1A4A7" w14:textId="77777777" w:rsidTr="00370DDC">
        <w:trPr>
          <w:cantSplit/>
        </w:trPr>
        <w:tc>
          <w:tcPr>
            <w:tcW w:w="10031" w:type="dxa"/>
            <w:gridSpan w:val="4"/>
          </w:tcPr>
          <w:p w14:paraId="0724AB05" w14:textId="77777777" w:rsidR="000A5B9A" w:rsidRPr="00825756" w:rsidRDefault="000A5B9A" w:rsidP="000A5B9A">
            <w:pPr>
              <w:pStyle w:val="Agendaitem"/>
            </w:pPr>
            <w:bookmarkStart w:id="3" w:name="dtitle3" w:colFirst="0" w:colLast="0"/>
            <w:bookmarkEnd w:id="2"/>
            <w:r w:rsidRPr="00825756">
              <w:t>Punto 1.2 del orden del día</w:t>
            </w:r>
          </w:p>
        </w:tc>
      </w:tr>
    </w:tbl>
    <w:bookmarkEnd w:id="3"/>
    <w:p w14:paraId="33D6593C" w14:textId="77777777" w:rsidR="00370DDC" w:rsidRPr="00825756" w:rsidRDefault="00F50B7B" w:rsidP="00370DDC">
      <w:r w:rsidRPr="00825756">
        <w:rPr>
          <w:bCs/>
        </w:rPr>
        <w:t>1.2</w:t>
      </w:r>
      <w:r w:rsidRPr="00825756">
        <w:rPr>
          <w:bCs/>
        </w:rPr>
        <w:tab/>
        <w:t xml:space="preserve">considerar la identificación de las bandas de frecuencias 3 300-3 400 MHz, 3 600-3 800 MHz, 6 425-7 025 MHz, 7 025-7 125 MHz y 10,0-10,5 GHz para las Telecomunicaciones Móviles Internacionales (IMT), incluidas posibles atribuciones adicionales al servicio móvil a título primario, de conformidad con la Resolución </w:t>
      </w:r>
      <w:r w:rsidRPr="00825756">
        <w:rPr>
          <w:b/>
        </w:rPr>
        <w:t>245 (CMR-19)</w:t>
      </w:r>
      <w:r w:rsidRPr="00825756">
        <w:rPr>
          <w:bCs/>
        </w:rPr>
        <w:t>;</w:t>
      </w:r>
    </w:p>
    <w:p w14:paraId="0400A772" w14:textId="361BA35D" w:rsidR="003D5AEC" w:rsidRPr="00825756" w:rsidRDefault="003D5AEC" w:rsidP="003D5AEC">
      <w:pPr>
        <w:pStyle w:val="Heading1"/>
        <w:rPr>
          <w:rFonts w:eastAsia="Batang"/>
        </w:rPr>
      </w:pPr>
      <w:r w:rsidRPr="00825756">
        <w:rPr>
          <w:rFonts w:eastAsia="Batang"/>
        </w:rPr>
        <w:t>1</w:t>
      </w:r>
      <w:r w:rsidRPr="00825756">
        <w:rPr>
          <w:rFonts w:eastAsia="Batang"/>
        </w:rPr>
        <w:tab/>
      </w:r>
      <w:r w:rsidR="0094720D" w:rsidRPr="00825756">
        <w:rPr>
          <w:rFonts w:eastAsia="Batang"/>
        </w:rPr>
        <w:t>Antecedentes</w:t>
      </w:r>
    </w:p>
    <w:p w14:paraId="28247504" w14:textId="41682B65" w:rsidR="003D5AEC" w:rsidRPr="00825756" w:rsidRDefault="00A03CF3" w:rsidP="003D5AEC">
      <w:pPr>
        <w:rPr>
          <w:rFonts w:eastAsia="Batang"/>
        </w:rPr>
      </w:pPr>
      <w:r w:rsidRPr="00825756">
        <w:rPr>
          <w:rFonts w:eastAsia="Batang"/>
          <w:iCs/>
        </w:rPr>
        <w:t>Esta contribución se ocupa de la p</w:t>
      </w:r>
      <w:r w:rsidR="003C1950" w:rsidRPr="00825756">
        <w:rPr>
          <w:rFonts w:eastAsia="Batang"/>
          <w:iCs/>
        </w:rPr>
        <w:t>o</w:t>
      </w:r>
      <w:r w:rsidRPr="00825756">
        <w:rPr>
          <w:rFonts w:eastAsia="Batang"/>
          <w:iCs/>
        </w:rPr>
        <w:t xml:space="preserve">sible identificación de las IMT en las bandas de frecuencias </w:t>
      </w:r>
      <w:bookmarkStart w:id="4" w:name="_Hlk148023130"/>
      <w:r w:rsidR="003D5AEC" w:rsidRPr="00825756">
        <w:rPr>
          <w:rFonts w:eastAsia="Batang"/>
        </w:rPr>
        <w:t>6</w:t>
      </w:r>
      <w:r w:rsidRPr="00825756">
        <w:rPr>
          <w:rFonts w:eastAsia="Batang"/>
        </w:rPr>
        <w:t> </w:t>
      </w:r>
      <w:r w:rsidR="003D5AEC" w:rsidRPr="00825756">
        <w:rPr>
          <w:rFonts w:eastAsia="Batang"/>
        </w:rPr>
        <w:t>425-7 025 MHz (</w:t>
      </w:r>
      <w:r w:rsidRPr="00825756">
        <w:rPr>
          <w:rFonts w:eastAsia="Batang"/>
        </w:rPr>
        <w:t>b</w:t>
      </w:r>
      <w:r w:rsidR="003D5AEC" w:rsidRPr="00825756">
        <w:rPr>
          <w:rFonts w:eastAsia="Batang"/>
        </w:rPr>
        <w:t>and</w:t>
      </w:r>
      <w:r w:rsidRPr="00825756">
        <w:rPr>
          <w:rFonts w:eastAsia="Batang"/>
        </w:rPr>
        <w:t>a</w:t>
      </w:r>
      <w:r w:rsidR="003D5AEC" w:rsidRPr="00825756">
        <w:rPr>
          <w:rFonts w:eastAsia="Batang"/>
        </w:rPr>
        <w:t xml:space="preserve"> 4 </w:t>
      </w:r>
      <w:r w:rsidRPr="00825756">
        <w:rPr>
          <w:rFonts w:eastAsia="Batang"/>
        </w:rPr>
        <w:t>para la Región </w:t>
      </w:r>
      <w:r w:rsidR="003D5AEC" w:rsidRPr="00825756">
        <w:rPr>
          <w:rFonts w:eastAsia="Batang"/>
        </w:rPr>
        <w:t xml:space="preserve">1) </w:t>
      </w:r>
      <w:r w:rsidRPr="00825756">
        <w:rPr>
          <w:rFonts w:eastAsia="Batang"/>
        </w:rPr>
        <w:t xml:space="preserve">y </w:t>
      </w:r>
      <w:r w:rsidR="003D5AEC" w:rsidRPr="00825756">
        <w:rPr>
          <w:rFonts w:eastAsia="Batang"/>
        </w:rPr>
        <w:t>7</w:t>
      </w:r>
      <w:r w:rsidRPr="00825756">
        <w:rPr>
          <w:rFonts w:eastAsia="Batang"/>
        </w:rPr>
        <w:t> </w:t>
      </w:r>
      <w:r w:rsidR="003D5AEC" w:rsidRPr="00825756">
        <w:rPr>
          <w:rFonts w:eastAsia="Batang"/>
        </w:rPr>
        <w:t xml:space="preserve">025-7 125 MHz </w:t>
      </w:r>
      <w:bookmarkEnd w:id="4"/>
      <w:r w:rsidR="003D5AEC" w:rsidRPr="00825756">
        <w:rPr>
          <w:rFonts w:eastAsia="Batang"/>
        </w:rPr>
        <w:t>(</w:t>
      </w:r>
      <w:r w:rsidRPr="00825756">
        <w:rPr>
          <w:rFonts w:eastAsia="Batang"/>
        </w:rPr>
        <w:t>b</w:t>
      </w:r>
      <w:r w:rsidR="003D5AEC" w:rsidRPr="00825756">
        <w:rPr>
          <w:rFonts w:eastAsia="Batang"/>
        </w:rPr>
        <w:t>and</w:t>
      </w:r>
      <w:r w:rsidRPr="00825756">
        <w:rPr>
          <w:rFonts w:eastAsia="Batang"/>
        </w:rPr>
        <w:t>a</w:t>
      </w:r>
      <w:r w:rsidR="003D5AEC" w:rsidRPr="00825756">
        <w:rPr>
          <w:rFonts w:eastAsia="Batang"/>
        </w:rPr>
        <w:t xml:space="preserve"> 5 </w:t>
      </w:r>
      <w:r w:rsidRPr="00825756">
        <w:rPr>
          <w:rFonts w:eastAsia="Batang"/>
        </w:rPr>
        <w:t xml:space="preserve">en todo el mundo), como se especifica en la Resolución </w:t>
      </w:r>
      <w:r w:rsidR="003D5AEC" w:rsidRPr="00825756">
        <w:rPr>
          <w:rFonts w:eastAsia="Batang"/>
          <w:b/>
          <w:bCs/>
        </w:rPr>
        <w:t>245 (</w:t>
      </w:r>
      <w:r w:rsidRPr="00825756">
        <w:rPr>
          <w:rFonts w:eastAsia="Batang"/>
          <w:b/>
          <w:bCs/>
        </w:rPr>
        <w:t>CMR</w:t>
      </w:r>
      <w:r w:rsidR="003D5AEC" w:rsidRPr="00825756">
        <w:rPr>
          <w:rFonts w:eastAsia="Batang"/>
          <w:b/>
          <w:bCs/>
        </w:rPr>
        <w:t>-19)</w:t>
      </w:r>
      <w:r w:rsidR="003D5AEC" w:rsidRPr="00825756">
        <w:rPr>
          <w:rFonts w:eastAsia="Batang"/>
        </w:rPr>
        <w:t xml:space="preserve">, </w:t>
      </w:r>
      <w:r w:rsidRPr="00825756">
        <w:rPr>
          <w:rFonts w:eastAsia="Batang"/>
        </w:rPr>
        <w:t xml:space="preserve">y se hace hincapié en los problemas y la aplicabilidad </w:t>
      </w:r>
      <w:r w:rsidR="00AD5856" w:rsidRPr="00825756">
        <w:rPr>
          <w:rFonts w:eastAsia="Batang"/>
        </w:rPr>
        <w:t>en</w:t>
      </w:r>
      <w:r w:rsidRPr="00825756">
        <w:rPr>
          <w:rFonts w:eastAsia="Batang"/>
        </w:rPr>
        <w:t xml:space="preserve"> las Regiones 1 y 3 de la UIT</w:t>
      </w:r>
      <w:r w:rsidR="003D5AEC" w:rsidRPr="00825756">
        <w:rPr>
          <w:rFonts w:eastAsia="Batang"/>
        </w:rPr>
        <w:t>.</w:t>
      </w:r>
    </w:p>
    <w:p w14:paraId="19A9E190" w14:textId="641DDDBF" w:rsidR="003D5AEC" w:rsidRPr="00825756" w:rsidRDefault="003C1950" w:rsidP="003D5AEC">
      <w:pPr>
        <w:rPr>
          <w:rFonts w:eastAsia="Batang"/>
        </w:rPr>
      </w:pPr>
      <w:r w:rsidRPr="00825756">
        <w:rPr>
          <w:rFonts w:eastAsia="Batang"/>
        </w:rPr>
        <w:t xml:space="preserve">Para empezar, es importante señalar </w:t>
      </w:r>
      <w:r w:rsidR="006747AA" w:rsidRPr="00825756">
        <w:rPr>
          <w:rFonts w:eastAsia="Batang"/>
        </w:rPr>
        <w:t xml:space="preserve">que existen actualmente </w:t>
      </w:r>
      <w:r w:rsidRPr="00825756">
        <w:rPr>
          <w:rFonts w:eastAsia="Batang"/>
        </w:rPr>
        <w:t>despliegues de redes y operaciones de los sistemas terrenales y de satélites que prestan servicios básicos en cuestiones de seguridad nacional, comunicación en caso de emergencia y catástrofe, servicios de conexión de ciudadanos, empresas y gobiernos, servicios relacionados con la seguridad aeronáutica y marina críticos para las operaciones, y observación mundial de la humedad del suelo, la temperatura de la superficie del mar y la temperatura del hielo en el mar con miras a la predicción meteorológica y la vigilancia del clima utilizando mediciones de sensores de microondas pasivos</w:t>
      </w:r>
      <w:r w:rsidR="003D5AEC" w:rsidRPr="00825756">
        <w:rPr>
          <w:rFonts w:eastAsia="Batang"/>
        </w:rPr>
        <w:t>.</w:t>
      </w:r>
    </w:p>
    <w:p w14:paraId="253F1340" w14:textId="3EAAE46A" w:rsidR="003D5AEC" w:rsidRPr="00825756" w:rsidRDefault="00525CB2" w:rsidP="003D5AEC">
      <w:pPr>
        <w:tabs>
          <w:tab w:val="left" w:pos="8833"/>
        </w:tabs>
        <w:rPr>
          <w:rFonts w:eastAsia="BatangChe"/>
          <w:szCs w:val="24"/>
        </w:rPr>
      </w:pPr>
      <w:r w:rsidRPr="00825756">
        <w:rPr>
          <w:rFonts w:eastAsia="Batang"/>
          <w:iCs/>
        </w:rPr>
        <w:t xml:space="preserve">Asimismo, cabe destacar que las bandas están formadas por servicios fijos por satélite (SFS) no planificados a título coprimario </w:t>
      </w:r>
      <w:r w:rsidR="00CA5BE6" w:rsidRPr="00825756">
        <w:rPr>
          <w:rFonts w:eastAsia="Batang"/>
          <w:iCs/>
        </w:rPr>
        <w:t>e incluyen, en su</w:t>
      </w:r>
      <w:r w:rsidRPr="00825756">
        <w:rPr>
          <w:rFonts w:eastAsia="Batang"/>
          <w:iCs/>
        </w:rPr>
        <w:t xml:space="preserve"> parte superior </w:t>
      </w:r>
      <w:r w:rsidRPr="00825756">
        <w:rPr>
          <w:rFonts w:eastAsia="BatangChe"/>
          <w:szCs w:val="24"/>
        </w:rPr>
        <w:t>(banda de frecuencias 6 725-7 025 MHz)</w:t>
      </w:r>
      <w:r w:rsidRPr="00825756">
        <w:rPr>
          <w:rFonts w:eastAsia="Batang"/>
          <w:iCs/>
        </w:rPr>
        <w:t>, una banda planificada en virtud del Apéndice </w:t>
      </w:r>
      <w:r w:rsidRPr="00825756">
        <w:rPr>
          <w:rFonts w:eastAsia="Batang"/>
          <w:b/>
          <w:iCs/>
        </w:rPr>
        <w:t>30B</w:t>
      </w:r>
      <w:r w:rsidRPr="00825756">
        <w:rPr>
          <w:rFonts w:eastAsia="Batang"/>
          <w:iCs/>
        </w:rPr>
        <w:t xml:space="preserve"> del Reglamento de Radiocomunicaciones (RR) </w:t>
      </w:r>
      <w:r w:rsidR="003D5AEC" w:rsidRPr="00825756">
        <w:rPr>
          <w:lang w:eastAsia="ja-JP"/>
        </w:rPr>
        <w:t>(</w:t>
      </w:r>
      <w:r w:rsidR="003D5AEC" w:rsidRPr="00825756">
        <w:rPr>
          <w:rFonts w:eastAsia="BatangChe"/>
          <w:szCs w:val="24"/>
        </w:rPr>
        <w:t>AP</w:t>
      </w:r>
      <w:r w:rsidR="003D5AEC" w:rsidRPr="00825756">
        <w:rPr>
          <w:rFonts w:eastAsia="BatangChe"/>
          <w:b/>
          <w:bCs/>
          <w:szCs w:val="24"/>
        </w:rPr>
        <w:t>30B</w:t>
      </w:r>
      <w:r w:rsidRPr="00825756">
        <w:rPr>
          <w:rFonts w:eastAsia="BatangChe"/>
          <w:b/>
          <w:bCs/>
          <w:szCs w:val="24"/>
        </w:rPr>
        <w:t xml:space="preserve"> </w:t>
      </w:r>
      <w:r w:rsidRPr="00825756">
        <w:rPr>
          <w:rFonts w:eastAsia="BatangChe"/>
          <w:bCs/>
          <w:szCs w:val="24"/>
        </w:rPr>
        <w:t>del</w:t>
      </w:r>
      <w:r w:rsidRPr="00825756">
        <w:rPr>
          <w:rFonts w:eastAsia="BatangChe"/>
          <w:b/>
          <w:bCs/>
          <w:szCs w:val="24"/>
        </w:rPr>
        <w:t xml:space="preserve"> </w:t>
      </w:r>
      <w:r w:rsidRPr="00825756">
        <w:rPr>
          <w:lang w:eastAsia="ja-JP"/>
        </w:rPr>
        <w:t>RR</w:t>
      </w:r>
      <w:r w:rsidR="003D5AEC" w:rsidRPr="00825756">
        <w:rPr>
          <w:rFonts w:eastAsia="BatangChe"/>
          <w:szCs w:val="24"/>
        </w:rPr>
        <w:t xml:space="preserve">) </w:t>
      </w:r>
      <w:r w:rsidRPr="00825756">
        <w:rPr>
          <w:rFonts w:eastAsia="BatangChe"/>
          <w:szCs w:val="24"/>
        </w:rPr>
        <w:t xml:space="preserve">cuyo objetivo es garantizar, en la práctica, que todos los países pueden utilizar la órbita de satélites geoestacionarios con eficiencia y acceder a ella de forma equitativa. Para elaborar el plan del </w:t>
      </w:r>
      <w:r w:rsidR="003D5AEC" w:rsidRPr="00825756">
        <w:rPr>
          <w:rFonts w:eastAsia="BatangChe"/>
          <w:szCs w:val="24"/>
        </w:rPr>
        <w:t>AP</w:t>
      </w:r>
      <w:r w:rsidR="003D5AEC" w:rsidRPr="00825756">
        <w:rPr>
          <w:rFonts w:eastAsia="BatangChe"/>
          <w:b/>
          <w:bCs/>
          <w:szCs w:val="24"/>
        </w:rPr>
        <w:t>30B</w:t>
      </w:r>
      <w:r w:rsidR="003D5AEC" w:rsidRPr="00825756">
        <w:rPr>
          <w:rFonts w:eastAsia="BatangChe"/>
          <w:szCs w:val="24"/>
        </w:rPr>
        <w:t xml:space="preserve"> </w:t>
      </w:r>
      <w:r w:rsidR="006747AA" w:rsidRPr="00825756">
        <w:rPr>
          <w:rFonts w:eastAsia="BatangChe"/>
          <w:szCs w:val="24"/>
        </w:rPr>
        <w:t xml:space="preserve">del RR </w:t>
      </w:r>
      <w:r w:rsidRPr="00825756">
        <w:rPr>
          <w:rFonts w:eastAsia="BatangChe"/>
          <w:szCs w:val="24"/>
        </w:rPr>
        <w:t xml:space="preserve">se </w:t>
      </w:r>
      <w:r w:rsidR="006747AA" w:rsidRPr="00825756">
        <w:rPr>
          <w:rFonts w:eastAsia="BatangChe"/>
          <w:szCs w:val="24"/>
        </w:rPr>
        <w:t>puso en marcha</w:t>
      </w:r>
      <w:r w:rsidRPr="00825756">
        <w:rPr>
          <w:rFonts w:eastAsia="BatangChe"/>
          <w:szCs w:val="24"/>
        </w:rPr>
        <w:t xml:space="preserve"> una iniciativa internacional consisten</w:t>
      </w:r>
      <w:r w:rsidR="009C3D30" w:rsidRPr="00825756">
        <w:rPr>
          <w:rFonts w:eastAsia="BatangChe"/>
          <w:szCs w:val="24"/>
        </w:rPr>
        <w:t>te</w:t>
      </w:r>
      <w:r w:rsidRPr="00825756">
        <w:rPr>
          <w:rFonts w:eastAsia="BatangChe"/>
          <w:szCs w:val="24"/>
        </w:rPr>
        <w:t xml:space="preserve"> en </w:t>
      </w:r>
      <w:r w:rsidR="006747AA" w:rsidRPr="00825756">
        <w:rPr>
          <w:rFonts w:eastAsia="BatangChe"/>
          <w:szCs w:val="24"/>
        </w:rPr>
        <w:t xml:space="preserve">asegurar la igualdad entre </w:t>
      </w:r>
      <w:r w:rsidRPr="00825756">
        <w:rPr>
          <w:rFonts w:eastAsia="BatangChe"/>
          <w:szCs w:val="24"/>
        </w:rPr>
        <w:t xml:space="preserve">las administraciones </w:t>
      </w:r>
      <w:r w:rsidR="006747AA" w:rsidRPr="00825756">
        <w:rPr>
          <w:rFonts w:eastAsia="BatangChe"/>
          <w:szCs w:val="24"/>
        </w:rPr>
        <w:t xml:space="preserve">a la hora de </w:t>
      </w:r>
      <w:r w:rsidRPr="00825756">
        <w:rPr>
          <w:rFonts w:eastAsia="BatangChe"/>
          <w:szCs w:val="24"/>
        </w:rPr>
        <w:t>desarrollar las comunicaciones por satélite y facilitar la prestación de servicios por satélite en los territorios nac</w:t>
      </w:r>
      <w:r w:rsidR="003064C2" w:rsidRPr="00825756">
        <w:rPr>
          <w:rFonts w:eastAsia="BatangChe"/>
          <w:szCs w:val="24"/>
        </w:rPr>
        <w:t>ionales, por lo que se trata de</w:t>
      </w:r>
      <w:r w:rsidRPr="00825756">
        <w:rPr>
          <w:rFonts w:eastAsia="BatangChe"/>
          <w:szCs w:val="24"/>
        </w:rPr>
        <w:t xml:space="preserve"> un asunto crítico para los países en desarrollo</w:t>
      </w:r>
      <w:r w:rsidR="003D5AEC" w:rsidRPr="00825756">
        <w:rPr>
          <w:rFonts w:eastAsia="BatangChe"/>
          <w:szCs w:val="24"/>
        </w:rPr>
        <w:t>.</w:t>
      </w:r>
    </w:p>
    <w:p w14:paraId="7FD25217" w14:textId="5B9E9580" w:rsidR="003D5AEC" w:rsidRPr="00825756" w:rsidRDefault="009C3D30" w:rsidP="003D5AEC">
      <w:pPr>
        <w:rPr>
          <w:rFonts w:eastAsia="BatangChe"/>
        </w:rPr>
      </w:pPr>
      <w:r w:rsidRPr="00825756">
        <w:rPr>
          <w:rFonts w:eastAsia="BatangChe"/>
        </w:rPr>
        <w:lastRenderedPageBreak/>
        <w:t xml:space="preserve">En particular, la Región 1 abarca una gran diversidad de territorios y recursos naturales. No obstante, el espectro radioeléctrico se convierte en uno de los recursos naturales que comparten y utilizan todos los países de la Región </w:t>
      </w:r>
      <w:r w:rsidR="003D5AEC" w:rsidRPr="00825756">
        <w:rPr>
          <w:rFonts w:eastAsia="BatangChe"/>
        </w:rPr>
        <w:t xml:space="preserve">1 </w:t>
      </w:r>
      <w:r w:rsidRPr="00825756">
        <w:rPr>
          <w:rFonts w:eastAsia="BatangChe"/>
        </w:rPr>
        <w:t xml:space="preserve">para prestar servicios de comunicaciones que </w:t>
      </w:r>
      <w:r w:rsidR="003064C2" w:rsidRPr="00825756">
        <w:rPr>
          <w:rFonts w:eastAsia="BatangChe"/>
        </w:rPr>
        <w:t>redundan en beneficio de sus</w:t>
      </w:r>
      <w:r w:rsidRPr="00825756">
        <w:rPr>
          <w:rFonts w:eastAsia="BatangChe"/>
        </w:rPr>
        <w:t xml:space="preserve"> sociedades y </w:t>
      </w:r>
      <w:r w:rsidR="003064C2" w:rsidRPr="00825756">
        <w:rPr>
          <w:rFonts w:eastAsia="BatangChe"/>
        </w:rPr>
        <w:t>su</w:t>
      </w:r>
      <w:r w:rsidRPr="00825756">
        <w:rPr>
          <w:rFonts w:eastAsia="BatangChe"/>
        </w:rPr>
        <w:t>s economías. En este contexto, la diversidad de esta Región conlleva varias dificultades a la hora de desarrollar redes de comunicaciones nuevas, debido a la importancia de proteger los sistemas que ya están desplegados. Por tanto, se precisa un análisis exhaustivo de los despliegues de redes y las necesidades tecnológicas</w:t>
      </w:r>
      <w:r w:rsidR="003D5AEC" w:rsidRPr="00825756">
        <w:rPr>
          <w:rFonts w:eastAsia="BatangChe"/>
        </w:rPr>
        <w:t>.</w:t>
      </w:r>
    </w:p>
    <w:p w14:paraId="42A44660" w14:textId="10162EE6" w:rsidR="003D5AEC" w:rsidRPr="00825756" w:rsidRDefault="005C4FA5" w:rsidP="003D5AEC">
      <w:pPr>
        <w:rPr>
          <w:rFonts w:eastAsia="BatangChe"/>
        </w:rPr>
      </w:pPr>
      <w:r w:rsidRPr="00825756">
        <w:rPr>
          <w:rFonts w:eastAsia="BatangChe"/>
        </w:rPr>
        <w:t>Por ejemplo, en la región árabe, los sistemas de satélites de la banda C constituyen un activ</w:t>
      </w:r>
      <w:r w:rsidR="006B32F8" w:rsidRPr="00825756">
        <w:rPr>
          <w:rFonts w:eastAsia="BatangChe"/>
        </w:rPr>
        <w:t>o</w:t>
      </w:r>
      <w:r w:rsidRPr="00825756">
        <w:rPr>
          <w:rFonts w:eastAsia="BatangChe"/>
        </w:rPr>
        <w:t xml:space="preserve"> </w:t>
      </w:r>
      <w:r w:rsidR="003064C2" w:rsidRPr="00825756">
        <w:rPr>
          <w:rFonts w:eastAsia="BatangChe"/>
        </w:rPr>
        <w:t>fundamental</w:t>
      </w:r>
      <w:r w:rsidRPr="00825756">
        <w:rPr>
          <w:rFonts w:eastAsia="BatangChe"/>
        </w:rPr>
        <w:t xml:space="preserve"> para las infraestructuras nacionales de </w:t>
      </w:r>
      <w:r w:rsidR="003D5AEC" w:rsidRPr="00825756">
        <w:rPr>
          <w:rFonts w:eastAsia="BatangChe"/>
        </w:rPr>
        <w:t>telecomunica</w:t>
      </w:r>
      <w:r w:rsidRPr="00825756">
        <w:rPr>
          <w:rFonts w:eastAsia="BatangChe"/>
        </w:rPr>
        <w:t>ciones debido a su amplia cobertura, una característica única de esos sistemas que resulta necesaria para proporcionar conectividad en las zonas insuficientemente atendidas y conectar con las regiones remotas cuyas condiciones naturales impiden o dificultan el despliegue de redes de comunicaciones terrenales</w:t>
      </w:r>
      <w:r w:rsidR="003D5AEC" w:rsidRPr="00825756">
        <w:rPr>
          <w:rFonts w:eastAsia="BatangChe"/>
        </w:rPr>
        <w:t>.</w:t>
      </w:r>
    </w:p>
    <w:p w14:paraId="332C9AD5" w14:textId="50C512BF" w:rsidR="003D5AEC" w:rsidRPr="00825756" w:rsidRDefault="006B32F8" w:rsidP="003D5AEC">
      <w:pPr>
        <w:rPr>
          <w:rFonts w:eastAsia="BatangChe"/>
        </w:rPr>
      </w:pPr>
      <w:r w:rsidRPr="00825756">
        <w:rPr>
          <w:rFonts w:eastAsia="BatangChe"/>
        </w:rPr>
        <w:t>En África, los sistemas de satélites utilizados en la banda C se dedican en general a la radiodifusió</w:t>
      </w:r>
      <w:r w:rsidR="002723CE" w:rsidRPr="00825756">
        <w:rPr>
          <w:rFonts w:eastAsia="BatangChe"/>
        </w:rPr>
        <w:t xml:space="preserve">n, a servicios de misión crítica de </w:t>
      </w:r>
      <w:r w:rsidR="00A12E0B" w:rsidRPr="00825756">
        <w:rPr>
          <w:rFonts w:eastAsia="BatangChe"/>
        </w:rPr>
        <w:t>la</w:t>
      </w:r>
      <w:r w:rsidRPr="00825756">
        <w:rPr>
          <w:rFonts w:eastAsia="BatangChe"/>
        </w:rPr>
        <w:t xml:space="preserve"> seguridad de la vida, </w:t>
      </w:r>
      <w:r w:rsidR="002723CE" w:rsidRPr="00825756">
        <w:rPr>
          <w:rFonts w:eastAsia="BatangChe"/>
        </w:rPr>
        <w:t xml:space="preserve">a </w:t>
      </w:r>
      <w:r w:rsidRPr="00825756">
        <w:rPr>
          <w:rFonts w:eastAsia="BatangChe"/>
        </w:rPr>
        <w:t xml:space="preserve">la banca y </w:t>
      </w:r>
      <w:r w:rsidR="00DC2D52" w:rsidRPr="00825756">
        <w:rPr>
          <w:rFonts w:eastAsia="BatangChe"/>
        </w:rPr>
        <w:t xml:space="preserve">las </w:t>
      </w:r>
      <w:r w:rsidRPr="00825756">
        <w:rPr>
          <w:rFonts w:eastAsia="BatangChe"/>
        </w:rPr>
        <w:t xml:space="preserve">finanzas, </w:t>
      </w:r>
      <w:r w:rsidR="002723CE" w:rsidRPr="00825756">
        <w:rPr>
          <w:rFonts w:eastAsia="BatangChe"/>
        </w:rPr>
        <w:t xml:space="preserve">a </w:t>
      </w:r>
      <w:r w:rsidRPr="00825756">
        <w:rPr>
          <w:rFonts w:eastAsia="BatangChe"/>
        </w:rPr>
        <w:t xml:space="preserve">la producción de energía, </w:t>
      </w:r>
      <w:r w:rsidR="002723CE" w:rsidRPr="00825756">
        <w:rPr>
          <w:rFonts w:eastAsia="BatangChe"/>
        </w:rPr>
        <w:t xml:space="preserve">a </w:t>
      </w:r>
      <w:r w:rsidRPr="00825756">
        <w:rPr>
          <w:rFonts w:eastAsia="BatangChe"/>
        </w:rPr>
        <w:t>la aviación civil</w:t>
      </w:r>
      <w:r w:rsidR="00DC2D52" w:rsidRPr="00825756">
        <w:rPr>
          <w:rFonts w:eastAsia="BatangChe"/>
        </w:rPr>
        <w:t>,</w:t>
      </w:r>
      <w:r w:rsidRPr="00825756">
        <w:rPr>
          <w:rFonts w:eastAsia="BatangChe"/>
        </w:rPr>
        <w:t xml:space="preserve"> </w:t>
      </w:r>
      <w:r w:rsidR="002723CE" w:rsidRPr="00825756">
        <w:rPr>
          <w:rFonts w:eastAsia="BatangChe"/>
        </w:rPr>
        <w:t xml:space="preserve">a </w:t>
      </w:r>
      <w:r w:rsidRPr="00825756">
        <w:rPr>
          <w:rFonts w:eastAsia="BatangChe"/>
        </w:rPr>
        <w:t xml:space="preserve">los sectores gubernamentales y </w:t>
      </w:r>
      <w:r w:rsidR="002723CE" w:rsidRPr="00825756">
        <w:rPr>
          <w:rFonts w:eastAsia="BatangChe"/>
        </w:rPr>
        <w:t xml:space="preserve">a </w:t>
      </w:r>
      <w:r w:rsidRPr="00825756">
        <w:rPr>
          <w:rFonts w:eastAsia="BatangChe"/>
        </w:rPr>
        <w:t xml:space="preserve">la provisión de conectividad en las zonas rurales. En este sentido, resulta crucial </w:t>
      </w:r>
      <w:r w:rsidR="00DC2D52" w:rsidRPr="00825756">
        <w:rPr>
          <w:rFonts w:eastAsia="BatangChe"/>
        </w:rPr>
        <w:t>utiliza</w:t>
      </w:r>
      <w:r w:rsidRPr="00825756">
        <w:rPr>
          <w:rFonts w:eastAsia="BatangChe"/>
        </w:rPr>
        <w:t>r las comunicaciones por satélite puesto que ofrecen resistencia al desvanecimiento debido a la lluvia y una cobertura amplia</w:t>
      </w:r>
      <w:r w:rsidR="003D5AEC" w:rsidRPr="00825756">
        <w:rPr>
          <w:rFonts w:eastAsia="BatangChe"/>
        </w:rPr>
        <w:t xml:space="preserve">, </w:t>
      </w:r>
      <w:r w:rsidRPr="00825756">
        <w:rPr>
          <w:rFonts w:eastAsia="BatangChe"/>
        </w:rPr>
        <w:t>habida cuenta de las particularidades de África con respecto al tamaño, el clima, la topografía y la distribución demográfica</w:t>
      </w:r>
      <w:r w:rsidR="003D5AEC" w:rsidRPr="00825756">
        <w:rPr>
          <w:rFonts w:eastAsia="BatangChe"/>
        </w:rPr>
        <w:t>.</w:t>
      </w:r>
    </w:p>
    <w:p w14:paraId="513C9B92" w14:textId="00B9B445" w:rsidR="003D5AEC" w:rsidRPr="00825756" w:rsidRDefault="00DC2D52" w:rsidP="003D5AEC">
      <w:pPr>
        <w:rPr>
          <w:rFonts w:eastAsia="Batang"/>
        </w:rPr>
      </w:pPr>
      <w:r w:rsidRPr="00825756">
        <w:rPr>
          <w:rFonts w:eastAsia="BatangChe"/>
        </w:rPr>
        <w:t xml:space="preserve">En el caso de Europa, los datos recopilados por los sistemas de satélites en la banda de frecuencias de </w:t>
      </w:r>
      <w:r w:rsidR="003D5AEC" w:rsidRPr="00825756">
        <w:rPr>
          <w:rFonts w:eastAsia="BatangChe"/>
        </w:rPr>
        <w:t>6</w:t>
      </w:r>
      <w:r w:rsidRPr="00825756">
        <w:rPr>
          <w:rFonts w:eastAsia="BatangChe"/>
        </w:rPr>
        <w:t> </w:t>
      </w:r>
      <w:r w:rsidR="003D5AEC" w:rsidRPr="00825756">
        <w:rPr>
          <w:rFonts w:eastAsia="BatangChe"/>
        </w:rPr>
        <w:t xml:space="preserve">GHz </w:t>
      </w:r>
      <w:r w:rsidRPr="00825756">
        <w:rPr>
          <w:rFonts w:eastAsia="BatangChe"/>
        </w:rPr>
        <w:t xml:space="preserve">se utilizan para la predicción meteorológica y la vigilancia del clima. También se tienen en cuenta en el proyecto </w:t>
      </w:r>
      <w:r w:rsidR="003D5AEC" w:rsidRPr="00825756">
        <w:rPr>
          <w:rFonts w:eastAsia="Batang"/>
        </w:rPr>
        <w:t>European Secure Sp</w:t>
      </w:r>
      <w:r w:rsidRPr="00825756">
        <w:rPr>
          <w:rFonts w:eastAsia="Batang"/>
        </w:rPr>
        <w:t xml:space="preserve">ace Connectivity System (ESSCS), una iniciativa de la Unión Europea (UE) centrada en proporcionar conectividad fiable, segura y rentable para proteger las infraestructuras críticas de los sectores gubernamental, sanitario, de la energía, de la seguridad de la vida, </w:t>
      </w:r>
      <w:r w:rsidR="00B44C7B" w:rsidRPr="00825756">
        <w:rPr>
          <w:rFonts w:eastAsia="Batang"/>
        </w:rPr>
        <w:t xml:space="preserve">de </w:t>
      </w:r>
      <w:r w:rsidRPr="00825756">
        <w:rPr>
          <w:rFonts w:eastAsia="Batang"/>
        </w:rPr>
        <w:t xml:space="preserve">la seguridad marítima y aeronáutica y </w:t>
      </w:r>
      <w:r w:rsidR="00B44C7B" w:rsidRPr="00825756">
        <w:rPr>
          <w:rFonts w:eastAsia="Batang"/>
        </w:rPr>
        <w:t xml:space="preserve">de </w:t>
      </w:r>
      <w:r w:rsidRPr="00825756">
        <w:rPr>
          <w:rFonts w:eastAsia="Batang"/>
        </w:rPr>
        <w:t>comunicación en toda Europa. Es más, representa</w:t>
      </w:r>
      <w:r w:rsidR="00B44C7B" w:rsidRPr="00825756">
        <w:rPr>
          <w:rFonts w:eastAsia="Batang"/>
        </w:rPr>
        <w:t>n</w:t>
      </w:r>
      <w:r w:rsidRPr="00825756">
        <w:rPr>
          <w:rFonts w:eastAsia="Batang"/>
        </w:rPr>
        <w:t xml:space="preserve"> el tercer pilar del progra</w:t>
      </w:r>
      <w:r w:rsidR="00B44C7B" w:rsidRPr="00825756">
        <w:rPr>
          <w:rFonts w:eastAsia="Batang"/>
        </w:rPr>
        <w:t xml:space="preserve">ma especial de la UE y </w:t>
      </w:r>
      <w:r w:rsidR="00E51892" w:rsidRPr="00825756">
        <w:rPr>
          <w:rFonts w:eastAsia="Batang"/>
        </w:rPr>
        <w:t xml:space="preserve">sirven de </w:t>
      </w:r>
      <w:r w:rsidR="00B44C7B" w:rsidRPr="00825756">
        <w:rPr>
          <w:rFonts w:eastAsia="Batang"/>
        </w:rPr>
        <w:t>comple</w:t>
      </w:r>
      <w:r w:rsidR="00E51892" w:rsidRPr="00825756">
        <w:rPr>
          <w:rFonts w:eastAsia="Batang"/>
        </w:rPr>
        <w:t>mento para</w:t>
      </w:r>
      <w:r w:rsidRPr="00825756">
        <w:rPr>
          <w:rFonts w:eastAsia="Batang"/>
        </w:rPr>
        <w:t xml:space="preserve"> los sistemas de navegación por satélite </w:t>
      </w:r>
      <w:r w:rsidR="003D5AEC" w:rsidRPr="00825756">
        <w:rPr>
          <w:rFonts w:eastAsia="Batang"/>
        </w:rPr>
        <w:t xml:space="preserve">Galileo/EGNOS </w:t>
      </w:r>
      <w:r w:rsidRPr="00825756">
        <w:rPr>
          <w:rFonts w:eastAsia="Batang"/>
        </w:rPr>
        <w:t xml:space="preserve">y </w:t>
      </w:r>
      <w:r w:rsidR="007E59CF" w:rsidRPr="00825756">
        <w:rPr>
          <w:rFonts w:eastAsia="Batang"/>
        </w:rPr>
        <w:t>e</w:t>
      </w:r>
      <w:r w:rsidRPr="00825756">
        <w:rPr>
          <w:rFonts w:eastAsia="Batang"/>
        </w:rPr>
        <w:t xml:space="preserve">l sistema de observación de la Tierra </w:t>
      </w:r>
      <w:r w:rsidR="003D5AEC" w:rsidRPr="00825756">
        <w:rPr>
          <w:rFonts w:eastAsia="Batang"/>
        </w:rPr>
        <w:t>Copernicus.</w:t>
      </w:r>
    </w:p>
    <w:p w14:paraId="1D2900BD" w14:textId="1344F806" w:rsidR="003D5AEC" w:rsidRPr="00825756" w:rsidRDefault="00A81B5B" w:rsidP="003D5AEC">
      <w:pPr>
        <w:rPr>
          <w:rFonts w:eastAsia="BatangChe"/>
          <w:lang w:eastAsia="ko-KR"/>
        </w:rPr>
      </w:pPr>
      <w:r w:rsidRPr="00825756">
        <w:rPr>
          <w:rFonts w:eastAsia="BatangChe"/>
          <w:lang w:eastAsia="ko-KR"/>
        </w:rPr>
        <w:t xml:space="preserve">Por lo tanto, a la luz de la importancia que revisten las comunicaciones por satélite en la banda de frecuencias </w:t>
      </w:r>
      <w:r w:rsidRPr="00825756">
        <w:rPr>
          <w:rFonts w:eastAsia="BatangChe"/>
        </w:rPr>
        <w:t>de </w:t>
      </w:r>
      <w:r w:rsidR="003D5AEC" w:rsidRPr="00825756">
        <w:rPr>
          <w:rFonts w:eastAsia="BatangChe"/>
        </w:rPr>
        <w:t>6</w:t>
      </w:r>
      <w:r w:rsidR="003D5AEC" w:rsidRPr="00825756">
        <w:rPr>
          <w:rFonts w:eastAsia="BatangChe"/>
          <w:lang w:eastAsia="ko-KR"/>
        </w:rPr>
        <w:t xml:space="preserve"> GHz</w:t>
      </w:r>
      <w:r w:rsidRPr="00825756">
        <w:rPr>
          <w:rFonts w:eastAsia="BatangChe"/>
          <w:lang w:eastAsia="ko-KR"/>
        </w:rPr>
        <w:t>, el Grupo de Trabajo </w:t>
      </w:r>
      <w:r w:rsidR="003D5AEC" w:rsidRPr="00825756">
        <w:rPr>
          <w:rFonts w:eastAsia="BatangChe"/>
          <w:lang w:eastAsia="ko-KR"/>
        </w:rPr>
        <w:t xml:space="preserve">5D </w:t>
      </w:r>
      <w:r w:rsidRPr="00825756">
        <w:rPr>
          <w:rFonts w:eastAsia="BatangChe"/>
          <w:lang w:eastAsia="ko-KR"/>
        </w:rPr>
        <w:t>llevó a cabo estudios relativos al posible uso de la componente terrenal de las IMT para garantizar la protección de los servicios a los que está atribuida la banda de frecuencias a título primario</w:t>
      </w:r>
      <w:r w:rsidR="003D5AEC" w:rsidRPr="00825756">
        <w:rPr>
          <w:rFonts w:eastAsia="BatangChe"/>
          <w:lang w:eastAsia="ko-KR"/>
        </w:rPr>
        <w:t xml:space="preserve">. </w:t>
      </w:r>
      <w:r w:rsidRPr="00825756">
        <w:rPr>
          <w:rFonts w:eastAsia="BatangChe"/>
          <w:lang w:eastAsia="ko-KR"/>
        </w:rPr>
        <w:t xml:space="preserve">No obstante, no se llegó a un acuerdo sobre los parámetros considerados para los estudios y no se facilitó ninguna conclusión. Los resultados y las conclusiones presentados por las partes interesadas </w:t>
      </w:r>
      <w:r w:rsidR="00825756">
        <w:rPr>
          <w:rFonts w:eastAsia="BatangChe"/>
          <w:lang w:eastAsia="ko-KR"/>
        </w:rPr>
        <w:t>sólo</w:t>
      </w:r>
      <w:r w:rsidR="0064662A" w:rsidRPr="00825756">
        <w:rPr>
          <w:rFonts w:eastAsia="BatangChe"/>
          <w:lang w:eastAsia="ko-KR"/>
        </w:rPr>
        <w:t xml:space="preserve"> reflejaban un planteamiento </w:t>
      </w:r>
      <w:r w:rsidRPr="00825756">
        <w:rPr>
          <w:rFonts w:eastAsia="BatangChe"/>
          <w:lang w:eastAsia="ko-KR"/>
        </w:rPr>
        <w:t>que no aborda las condiciones adecuadas para el despliegue de redes IMT, que influiría en el uso actual y el desarrollo futuro del SFS y del servicio fijo (SF)</w:t>
      </w:r>
      <w:r w:rsidR="003D5AEC" w:rsidRPr="00825756">
        <w:rPr>
          <w:rFonts w:eastAsia="BatangChe"/>
          <w:lang w:eastAsia="ko-KR"/>
        </w:rPr>
        <w:t xml:space="preserve"> </w:t>
      </w:r>
      <w:r w:rsidRPr="00825756">
        <w:rPr>
          <w:rFonts w:eastAsia="BatangChe"/>
          <w:lang w:eastAsia="ko-KR"/>
        </w:rPr>
        <w:t>y que incluso impediría el despliegue de otras tecnologías móviles que también se podría</w:t>
      </w:r>
      <w:r w:rsidR="00FA43B1" w:rsidRPr="00825756">
        <w:rPr>
          <w:rFonts w:eastAsia="BatangChe"/>
          <w:lang w:eastAsia="ko-KR"/>
        </w:rPr>
        <w:t>n</w:t>
      </w:r>
      <w:r w:rsidRPr="00825756">
        <w:rPr>
          <w:rFonts w:eastAsia="BatangChe"/>
          <w:lang w:eastAsia="ko-KR"/>
        </w:rPr>
        <w:t xml:space="preserve"> </w:t>
      </w:r>
      <w:r w:rsidR="00800664" w:rsidRPr="00825756">
        <w:rPr>
          <w:rFonts w:eastAsia="BatangChe"/>
          <w:lang w:eastAsia="ko-KR"/>
        </w:rPr>
        <w:t xml:space="preserve">utilizar </w:t>
      </w:r>
      <w:r w:rsidRPr="00825756">
        <w:rPr>
          <w:rFonts w:eastAsia="BatangChe"/>
          <w:lang w:eastAsia="ko-KR"/>
        </w:rPr>
        <w:t xml:space="preserve">en la atribución móvil </w:t>
      </w:r>
      <w:r w:rsidR="00535CA7" w:rsidRPr="00825756">
        <w:rPr>
          <w:rFonts w:eastAsia="BatangChe"/>
          <w:lang w:eastAsia="ko-KR"/>
        </w:rPr>
        <w:t>a título coprimario</w:t>
      </w:r>
      <w:r w:rsidR="003D5AEC" w:rsidRPr="00825756">
        <w:rPr>
          <w:rFonts w:eastAsia="BatangChe"/>
          <w:lang w:eastAsia="ko-KR"/>
        </w:rPr>
        <w:t>.</w:t>
      </w:r>
    </w:p>
    <w:p w14:paraId="490E1E30" w14:textId="52CAD104" w:rsidR="003D5AEC" w:rsidRPr="00825756" w:rsidRDefault="006654AA" w:rsidP="003D5AEC">
      <w:pPr>
        <w:rPr>
          <w:rFonts w:eastAsia="BatangChe"/>
          <w:i/>
          <w:iCs/>
          <w:lang w:eastAsia="ko-KR"/>
        </w:rPr>
      </w:pPr>
      <w:r w:rsidRPr="00825756">
        <w:rPr>
          <w:rFonts w:eastAsia="BatangChe"/>
          <w:lang w:eastAsia="ko-KR"/>
        </w:rPr>
        <w:t xml:space="preserve">Además, el Informe de la RPC establece, al inicio de la sección </w:t>
      </w:r>
      <w:r w:rsidR="003D5AEC" w:rsidRPr="00825756">
        <w:rPr>
          <w:rFonts w:eastAsia="BatangChe"/>
          <w:lang w:eastAsia="ko-KR"/>
        </w:rPr>
        <w:t>1/1.2/3.2</w:t>
      </w:r>
      <w:r w:rsidRPr="00825756">
        <w:rPr>
          <w:rFonts w:eastAsia="BatangChe"/>
          <w:lang w:eastAsia="ko-KR"/>
        </w:rPr>
        <w:t xml:space="preserve">, </w:t>
      </w:r>
      <w:r w:rsidR="00825756">
        <w:rPr>
          <w:rFonts w:eastAsia="BatangChe"/>
          <w:lang w:eastAsia="ko-KR"/>
        </w:rPr>
        <w:t>«</w:t>
      </w:r>
      <w:r w:rsidRPr="00825756">
        <w:t>Estudios de compartición y compatibilidad</w:t>
      </w:r>
      <w:r w:rsidR="00825756">
        <w:rPr>
          <w:rFonts w:eastAsia="BatangChe"/>
          <w:lang w:eastAsia="ko-KR"/>
        </w:rPr>
        <w:t>»</w:t>
      </w:r>
      <w:r w:rsidR="003D5AEC" w:rsidRPr="00825756">
        <w:rPr>
          <w:rFonts w:eastAsia="BatangChe"/>
          <w:lang w:eastAsia="ko-KR"/>
        </w:rPr>
        <w:t xml:space="preserve">, </w:t>
      </w:r>
      <w:r w:rsidRPr="00825756">
        <w:rPr>
          <w:rFonts w:eastAsia="BatangChe"/>
          <w:lang w:eastAsia="ko-KR"/>
        </w:rPr>
        <w:t>que la información y los materiales que se presentan en los resúmenes de los resultados de los estudios que se muestran en los cuadros comparativos son meramente informativos,</w:t>
      </w:r>
      <w:r w:rsidR="00121D2E" w:rsidRPr="00825756">
        <w:rPr>
          <w:rFonts w:eastAsia="BatangChe"/>
          <w:lang w:eastAsia="ko-KR"/>
        </w:rPr>
        <w:t xml:space="preserve"> de acuerdo con lo sigu</w:t>
      </w:r>
      <w:r w:rsidRPr="00825756">
        <w:rPr>
          <w:rFonts w:eastAsia="BatangChe"/>
          <w:lang w:eastAsia="ko-KR"/>
        </w:rPr>
        <w:t>i</w:t>
      </w:r>
      <w:r w:rsidR="00121D2E" w:rsidRPr="00825756">
        <w:rPr>
          <w:rFonts w:eastAsia="BatangChe"/>
          <w:lang w:eastAsia="ko-KR"/>
        </w:rPr>
        <w:t>e</w:t>
      </w:r>
      <w:r w:rsidRPr="00825756">
        <w:rPr>
          <w:rFonts w:eastAsia="BatangChe"/>
          <w:lang w:eastAsia="ko-KR"/>
        </w:rPr>
        <w:t>nte</w:t>
      </w:r>
      <w:r w:rsidR="003D5AEC" w:rsidRPr="00825756">
        <w:rPr>
          <w:rFonts w:eastAsia="BatangChe"/>
          <w:lang w:eastAsia="ko-KR"/>
        </w:rPr>
        <w:t xml:space="preserve">: </w:t>
      </w:r>
      <w:r w:rsidR="00825756">
        <w:rPr>
          <w:rFonts w:eastAsia="BatangChe"/>
          <w:iCs/>
          <w:lang w:eastAsia="ko-KR"/>
        </w:rPr>
        <w:t>«</w:t>
      </w:r>
      <w:r w:rsidR="003D5AEC" w:rsidRPr="00825756">
        <w:rPr>
          <w:rFonts w:eastAsia="BatangChe"/>
          <w:iCs/>
          <w:lang w:eastAsia="ko-KR"/>
        </w:rPr>
        <w:t>(…)</w:t>
      </w:r>
      <w:r w:rsidR="003D5AEC" w:rsidRPr="00825756">
        <w:rPr>
          <w:rFonts w:eastAsia="BatangChe"/>
          <w:i/>
          <w:iCs/>
          <w:lang w:eastAsia="ko-KR"/>
        </w:rPr>
        <w:t xml:space="preserve"> </w:t>
      </w:r>
      <w:r w:rsidR="00121D2E" w:rsidRPr="00825756">
        <w:t>los supuestos, parámetros y criterios de interferencia utilizados, incluida la utilización de las Recomendaciones e Informes UIT-R en vigor, no suelen ser idénticos ni representativos y, concretamente, no fueron acordados por el UIT-R</w:t>
      </w:r>
      <w:r w:rsidR="003D5AEC" w:rsidRPr="00825756">
        <w:rPr>
          <w:rFonts w:eastAsia="BatangChe"/>
          <w:i/>
          <w:iCs/>
          <w:lang w:eastAsia="ko-KR"/>
        </w:rPr>
        <w:t xml:space="preserve"> </w:t>
      </w:r>
      <w:r w:rsidR="003D5AEC" w:rsidRPr="00825756">
        <w:rPr>
          <w:rFonts w:eastAsia="BatangChe"/>
          <w:iCs/>
          <w:lang w:eastAsia="ko-KR"/>
        </w:rPr>
        <w:t>(…)</w:t>
      </w:r>
      <w:r w:rsidR="00825756">
        <w:rPr>
          <w:rFonts w:eastAsia="BatangChe"/>
          <w:iCs/>
          <w:lang w:eastAsia="ko-KR"/>
        </w:rPr>
        <w:t>»</w:t>
      </w:r>
      <w:r w:rsidR="003D5AEC" w:rsidRPr="00825756">
        <w:rPr>
          <w:rFonts w:eastAsia="BatangChe"/>
          <w:iCs/>
          <w:lang w:eastAsia="ko-KR"/>
        </w:rPr>
        <w:t xml:space="preserve"> </w:t>
      </w:r>
      <w:r w:rsidR="00121D2E" w:rsidRPr="00825756">
        <w:rPr>
          <w:rFonts w:eastAsia="BatangChe"/>
          <w:iCs/>
          <w:lang w:eastAsia="ko-KR"/>
        </w:rPr>
        <w:t>y</w:t>
      </w:r>
      <w:r w:rsidR="003D5AEC" w:rsidRPr="00825756">
        <w:rPr>
          <w:rFonts w:eastAsia="BatangChe"/>
          <w:lang w:eastAsia="ko-KR"/>
        </w:rPr>
        <w:t xml:space="preserve"> </w:t>
      </w:r>
      <w:r w:rsidR="00825756">
        <w:rPr>
          <w:rFonts w:eastAsia="BatangChe"/>
          <w:iCs/>
          <w:lang w:eastAsia="ko-KR"/>
        </w:rPr>
        <w:t>«</w:t>
      </w:r>
      <w:r w:rsidR="003D5AEC" w:rsidRPr="00825756">
        <w:rPr>
          <w:rFonts w:eastAsia="BatangChe"/>
          <w:iCs/>
          <w:lang w:eastAsia="ko-KR"/>
        </w:rPr>
        <w:t xml:space="preserve">(…) </w:t>
      </w:r>
      <w:r w:rsidR="00121D2E" w:rsidRPr="00825756">
        <w:t>no se prevé llegar a una conclusión firme o global a partir de los resultados de los estudios reproducidos en las diversas columnas de los cuadros</w:t>
      </w:r>
      <w:r w:rsidR="003D5AEC" w:rsidRPr="00825756">
        <w:rPr>
          <w:rFonts w:eastAsia="BatangChe"/>
          <w:i/>
          <w:iCs/>
          <w:lang w:eastAsia="ko-KR"/>
        </w:rPr>
        <w:t xml:space="preserve">. </w:t>
      </w:r>
      <w:r w:rsidR="00121D2E" w:rsidRPr="00825756">
        <w:rPr>
          <w:lang w:eastAsia="ja-JP"/>
        </w:rPr>
        <w:t>Se invita a los Miembros y organizaciones regionales de telecomunicaciones a proceder a su propio análisis de los estudios y a sacar sus propias conclusiones, habida cuenta de las condiciones reinantes y del entorno de interferencia, así como de otras condiciones que cada país/región pueda considerar adecuadas y válidas</w:t>
      </w:r>
      <w:r w:rsidR="00825756">
        <w:rPr>
          <w:rFonts w:eastAsia="BatangChe"/>
          <w:iCs/>
          <w:lang w:eastAsia="ko-KR"/>
        </w:rPr>
        <w:t>».</w:t>
      </w:r>
    </w:p>
    <w:p w14:paraId="3DA8F4E0" w14:textId="62C635E8" w:rsidR="003D5AEC" w:rsidRPr="00825756" w:rsidRDefault="003A6743" w:rsidP="003D5AEC">
      <w:pPr>
        <w:rPr>
          <w:rFonts w:eastAsia="Batang"/>
        </w:rPr>
      </w:pPr>
      <w:r w:rsidRPr="00825756">
        <w:rPr>
          <w:rFonts w:eastAsia="Batang"/>
        </w:rPr>
        <w:lastRenderedPageBreak/>
        <w:t xml:space="preserve">Además de </w:t>
      </w:r>
      <w:r w:rsidR="00C73CFA" w:rsidRPr="00825756">
        <w:rPr>
          <w:rFonts w:eastAsia="Batang"/>
        </w:rPr>
        <w:t xml:space="preserve">lo </w:t>
      </w:r>
      <w:r w:rsidR="00287A33" w:rsidRPr="00825756">
        <w:rPr>
          <w:rFonts w:eastAsia="Batang"/>
        </w:rPr>
        <w:t>anterior</w:t>
      </w:r>
      <w:r w:rsidR="00C73CFA" w:rsidRPr="00825756">
        <w:rPr>
          <w:rFonts w:eastAsia="Batang"/>
        </w:rPr>
        <w:t>, las bandas de frecuencias 6 425-7 025 </w:t>
      </w:r>
      <w:r w:rsidR="003D5AEC" w:rsidRPr="00825756">
        <w:rPr>
          <w:rFonts w:eastAsia="Batang"/>
        </w:rPr>
        <w:t xml:space="preserve">MHz </w:t>
      </w:r>
      <w:r w:rsidR="00C73CFA" w:rsidRPr="00825756">
        <w:rPr>
          <w:rFonts w:eastAsia="Batang"/>
        </w:rPr>
        <w:t xml:space="preserve">y </w:t>
      </w:r>
      <w:r w:rsidR="003D5AEC" w:rsidRPr="00825756">
        <w:rPr>
          <w:rFonts w:eastAsia="Batang"/>
        </w:rPr>
        <w:t>7</w:t>
      </w:r>
      <w:r w:rsidR="00C73CFA" w:rsidRPr="00825756">
        <w:rPr>
          <w:rFonts w:eastAsia="Batang"/>
        </w:rPr>
        <w:t> </w:t>
      </w:r>
      <w:r w:rsidR="003D5AEC" w:rsidRPr="00825756">
        <w:rPr>
          <w:rFonts w:eastAsia="Batang"/>
        </w:rPr>
        <w:t>025-7 125 MHz, o</w:t>
      </w:r>
      <w:r w:rsidR="00C73CFA" w:rsidRPr="00825756">
        <w:rPr>
          <w:rFonts w:eastAsia="Batang"/>
        </w:rPr>
        <w:t xml:space="preserve"> partes de ellas, se están </w:t>
      </w:r>
      <w:r w:rsidR="00287A33" w:rsidRPr="00825756">
        <w:rPr>
          <w:rFonts w:eastAsia="Batang"/>
        </w:rPr>
        <w:t xml:space="preserve">dedicando en todo el mundo a </w:t>
      </w:r>
      <w:r w:rsidR="00C73CFA" w:rsidRPr="00825756">
        <w:rPr>
          <w:rFonts w:eastAsia="Batang"/>
        </w:rPr>
        <w:t xml:space="preserve">usos sin licencia, como </w:t>
      </w:r>
      <w:r w:rsidR="003D5AEC" w:rsidRPr="00825756">
        <w:rPr>
          <w:rFonts w:eastAsia="Batang"/>
        </w:rPr>
        <w:t xml:space="preserve">WAS/RLAN </w:t>
      </w:r>
      <w:r w:rsidR="00C73CFA" w:rsidRPr="00825756">
        <w:rPr>
          <w:rFonts w:eastAsia="Batang"/>
        </w:rPr>
        <w:t>en el marco de la atribución existente al servicio móvil a título primario. Estos usos responden a la necesidad de cerrar la brecha digital y responder a las demandas crecientes de tráfico, a la demanda de conectividad para las regiones insuficientemente abastecidas y a la disponibilidad actual en el mercado de dispositivos WAS/RLAN</w:t>
      </w:r>
      <w:r w:rsidR="003D5AEC" w:rsidRPr="00825756">
        <w:rPr>
          <w:rFonts w:eastAsia="Batang"/>
        </w:rPr>
        <w:t xml:space="preserve">. </w:t>
      </w:r>
    </w:p>
    <w:p w14:paraId="15C6FC43" w14:textId="2AAE6A53" w:rsidR="003D5AEC" w:rsidRPr="00825756" w:rsidRDefault="00C73CFA" w:rsidP="003D5AEC">
      <w:pPr>
        <w:rPr>
          <w:rFonts w:eastAsia="Batang"/>
        </w:rPr>
      </w:pPr>
      <w:r w:rsidRPr="00825756">
        <w:rPr>
          <w:rFonts w:eastAsia="Batang"/>
        </w:rPr>
        <w:t xml:space="preserve">En </w:t>
      </w:r>
      <w:r w:rsidR="003D5AEC" w:rsidRPr="00825756">
        <w:rPr>
          <w:rFonts w:eastAsia="Batang"/>
        </w:rPr>
        <w:t xml:space="preserve">particular, </w:t>
      </w:r>
      <w:r w:rsidRPr="00825756">
        <w:rPr>
          <w:rFonts w:eastAsia="Batang"/>
        </w:rPr>
        <w:t xml:space="preserve">para la Región 3 de la UIT, el uso de las tecnologías </w:t>
      </w:r>
      <w:r w:rsidR="003D5AEC" w:rsidRPr="00825756">
        <w:rPr>
          <w:rFonts w:eastAsia="Batang"/>
        </w:rPr>
        <w:t xml:space="preserve">WAS/RLAN </w:t>
      </w:r>
      <w:r w:rsidRPr="00825756">
        <w:rPr>
          <w:rFonts w:eastAsia="Batang"/>
        </w:rPr>
        <w:t>mejoraría con la descarga móvil y evitaría la congestión creciente</w:t>
      </w:r>
      <w:r w:rsidR="00784EE0" w:rsidRPr="00825756">
        <w:rPr>
          <w:rFonts w:eastAsia="Batang"/>
        </w:rPr>
        <w:t xml:space="preserve"> que caracteriza a </w:t>
      </w:r>
      <w:r w:rsidRPr="00825756">
        <w:rPr>
          <w:rFonts w:eastAsia="Batang"/>
        </w:rPr>
        <w:t xml:space="preserve">las bandas de </w:t>
      </w:r>
      <w:r w:rsidR="003D5AEC" w:rsidRPr="00825756">
        <w:rPr>
          <w:rFonts w:eastAsia="Batang"/>
        </w:rPr>
        <w:t>2</w:t>
      </w:r>
      <w:r w:rsidRPr="00825756">
        <w:rPr>
          <w:rFonts w:eastAsia="Batang"/>
        </w:rPr>
        <w:t>,</w:t>
      </w:r>
      <w:r w:rsidR="003D5AEC" w:rsidRPr="00825756">
        <w:rPr>
          <w:rFonts w:eastAsia="Batang"/>
        </w:rPr>
        <w:t>4</w:t>
      </w:r>
      <w:r w:rsidRPr="00825756">
        <w:rPr>
          <w:rFonts w:eastAsia="Batang"/>
        </w:rPr>
        <w:t> </w:t>
      </w:r>
      <w:r w:rsidR="003D5AEC" w:rsidRPr="00825756">
        <w:rPr>
          <w:rFonts w:eastAsia="Batang"/>
        </w:rPr>
        <w:t xml:space="preserve">GHz </w:t>
      </w:r>
      <w:r w:rsidRPr="00825756">
        <w:rPr>
          <w:rFonts w:eastAsia="Batang"/>
        </w:rPr>
        <w:t xml:space="preserve">y </w:t>
      </w:r>
      <w:r w:rsidR="003D5AEC" w:rsidRPr="00825756">
        <w:rPr>
          <w:rFonts w:eastAsia="Batang"/>
        </w:rPr>
        <w:t>5</w:t>
      </w:r>
      <w:r w:rsidRPr="00825756">
        <w:rPr>
          <w:rFonts w:eastAsia="Batang"/>
        </w:rPr>
        <w:t> </w:t>
      </w:r>
      <w:r w:rsidR="003D5AEC" w:rsidRPr="00825756">
        <w:rPr>
          <w:rFonts w:eastAsia="Batang"/>
        </w:rPr>
        <w:t>GHz</w:t>
      </w:r>
      <w:r w:rsidR="00784EE0" w:rsidRPr="00825756">
        <w:rPr>
          <w:rFonts w:eastAsia="Batang"/>
        </w:rPr>
        <w:t xml:space="preserve"> y</w:t>
      </w:r>
      <w:r w:rsidRPr="00825756">
        <w:rPr>
          <w:rFonts w:eastAsia="Batang"/>
        </w:rPr>
        <w:t xml:space="preserve"> que influye en la calidad del servicio. Además, las tecnologías </w:t>
      </w:r>
      <w:r w:rsidR="003D5AEC" w:rsidRPr="00825756">
        <w:rPr>
          <w:rFonts w:eastAsia="Batang"/>
        </w:rPr>
        <w:t xml:space="preserve">WAS/RLAN </w:t>
      </w:r>
      <w:r w:rsidRPr="00825756">
        <w:rPr>
          <w:rFonts w:eastAsia="Batang"/>
        </w:rPr>
        <w:t xml:space="preserve">se pueden utilizar para el desarrollo y la explotación de aplicaciones nuevas que requieran una latencia baja y canales más amplios, como la realidad </w:t>
      </w:r>
      <w:r w:rsidRPr="00825756">
        <w:rPr>
          <w:color w:val="000000"/>
        </w:rPr>
        <w:t>aumentada, la realidad virtual y la realidad extendida</w:t>
      </w:r>
      <w:r w:rsidRPr="00825756">
        <w:rPr>
          <w:rFonts w:eastAsia="Batang"/>
        </w:rPr>
        <w:t xml:space="preserve"> </w:t>
      </w:r>
      <w:r w:rsidR="003D5AEC" w:rsidRPr="00825756">
        <w:rPr>
          <w:rFonts w:eastAsia="Batang"/>
        </w:rPr>
        <w:t xml:space="preserve">(AR/VR/XR), </w:t>
      </w:r>
      <w:bookmarkStart w:id="5" w:name="_Hlk148453563"/>
      <w:r w:rsidR="00784EE0" w:rsidRPr="00825756">
        <w:rPr>
          <w:rFonts w:eastAsia="Batang"/>
        </w:rPr>
        <w:t xml:space="preserve">y se puede ampliar su utilización </w:t>
      </w:r>
      <w:r w:rsidRPr="00825756">
        <w:rPr>
          <w:rFonts w:eastAsia="Batang"/>
        </w:rPr>
        <w:t>y sus beneficios a las aplicaciones de entretenimiento, de navegación, sanitarias, empresariales e industriales, el diseño de productos y los sectores sanitario y gubernamental</w:t>
      </w:r>
      <w:r w:rsidR="003D5AEC" w:rsidRPr="00825756">
        <w:rPr>
          <w:rFonts w:eastAsia="Batang"/>
        </w:rPr>
        <w:t>.</w:t>
      </w:r>
    </w:p>
    <w:bookmarkEnd w:id="5"/>
    <w:p w14:paraId="0DC84360" w14:textId="5941D8E3" w:rsidR="003D5AEC" w:rsidRPr="00825756" w:rsidRDefault="00AC2CE1" w:rsidP="003D5AEC">
      <w:pPr>
        <w:rPr>
          <w:rFonts w:eastAsia="Batang"/>
        </w:rPr>
      </w:pPr>
      <w:r w:rsidRPr="00825756">
        <w:rPr>
          <w:rFonts w:eastAsia="Batang"/>
        </w:rPr>
        <w:t xml:space="preserve">Cabe destacar </w:t>
      </w:r>
      <w:r w:rsidR="00784EE0" w:rsidRPr="00825756">
        <w:rPr>
          <w:rFonts w:eastAsia="Batang"/>
        </w:rPr>
        <w:t xml:space="preserve">que </w:t>
      </w:r>
      <w:r w:rsidRPr="00825756">
        <w:rPr>
          <w:rFonts w:eastAsia="Batang"/>
        </w:rPr>
        <w:t xml:space="preserve">las condiciones necesarias </w:t>
      </w:r>
      <w:r w:rsidR="00B2760C" w:rsidRPr="00825756">
        <w:rPr>
          <w:rFonts w:eastAsia="Batang"/>
        </w:rPr>
        <w:t xml:space="preserve">que se deben cumplir para permitir </w:t>
      </w:r>
      <w:r w:rsidRPr="00825756">
        <w:rPr>
          <w:rFonts w:eastAsia="Batang"/>
        </w:rPr>
        <w:t xml:space="preserve">el uso de las IMT y </w:t>
      </w:r>
      <w:r w:rsidR="003D5AEC" w:rsidRPr="00825756">
        <w:rPr>
          <w:rFonts w:eastAsia="Batang"/>
        </w:rPr>
        <w:t xml:space="preserve">WAS/RLAN </w:t>
      </w:r>
      <w:r w:rsidRPr="00825756">
        <w:rPr>
          <w:rFonts w:eastAsia="Batang"/>
        </w:rPr>
        <w:t>en la banda de frecuencias de 6 </w:t>
      </w:r>
      <w:r w:rsidR="003D5AEC" w:rsidRPr="00825756">
        <w:rPr>
          <w:rFonts w:eastAsia="Batang"/>
        </w:rPr>
        <w:t xml:space="preserve">GHz </w:t>
      </w:r>
      <w:r w:rsidRPr="00825756">
        <w:rPr>
          <w:rFonts w:eastAsia="Batang"/>
        </w:rPr>
        <w:t>sin causar interferencias</w:t>
      </w:r>
      <w:r w:rsidR="00784EE0" w:rsidRPr="00825756">
        <w:rPr>
          <w:rFonts w:eastAsia="Batang"/>
        </w:rPr>
        <w:t xml:space="preserve"> son especialmente relevantes</w:t>
      </w:r>
      <w:r w:rsidRPr="00825756">
        <w:rPr>
          <w:rFonts w:eastAsia="Batang"/>
        </w:rPr>
        <w:t xml:space="preserve">, debido a los beneficios que ya ofrecen el SFS y el SF. Por lo tanto, las iniciativas de regulación deben intentar no imponer restricciones a los servicios que ya se están utilizando. También cabe destacar que algunas administraciones han decidido desplegar las IMT mientras que otras han optado por </w:t>
      </w:r>
      <w:r w:rsidR="00F8221F" w:rsidRPr="00825756">
        <w:rPr>
          <w:rFonts w:eastAsia="Batang"/>
        </w:rPr>
        <w:t>utiliza</w:t>
      </w:r>
      <w:r w:rsidRPr="00825756">
        <w:rPr>
          <w:rFonts w:eastAsia="Batang"/>
        </w:rPr>
        <w:t xml:space="preserve">r la banda para </w:t>
      </w:r>
      <w:r w:rsidR="003D5AEC" w:rsidRPr="00825756">
        <w:rPr>
          <w:rFonts w:eastAsia="Batang"/>
        </w:rPr>
        <w:t xml:space="preserve">WAS/RLAN. </w:t>
      </w:r>
      <w:r w:rsidRPr="00825756">
        <w:rPr>
          <w:rFonts w:eastAsia="Batang"/>
        </w:rPr>
        <w:t>Con todo, el principio inherente de utilizar tecnologías móviles sin licencia está propiciando la explotación sin imponer limitaciones adicionales y sin crear interferencia prejudicial a los servicios primarios, esto es, el SFS y el SF; por tanto, es conforme con los principios definidos en el Reglamento de Radiocomunicaciones</w:t>
      </w:r>
      <w:r w:rsidR="003D5AEC" w:rsidRPr="00825756">
        <w:rPr>
          <w:rFonts w:eastAsia="Batang"/>
        </w:rPr>
        <w:t xml:space="preserve"> (RR).</w:t>
      </w:r>
    </w:p>
    <w:p w14:paraId="56CD73B8" w14:textId="5CC8265B" w:rsidR="003D5AEC" w:rsidRPr="00825756" w:rsidRDefault="00037069" w:rsidP="003D5AEC">
      <w:pPr>
        <w:rPr>
          <w:rFonts w:eastAsia="BatangChe"/>
          <w:szCs w:val="24"/>
          <w:lang w:eastAsia="ko-KR"/>
        </w:rPr>
      </w:pPr>
      <w:r w:rsidRPr="00825756">
        <w:rPr>
          <w:rFonts w:eastAsia="Batang"/>
        </w:rPr>
        <w:t xml:space="preserve">Por lo tanto, a fin de considerar el enfoque más apropiado para el uso actual y futuro de la banda de frecuencias y conceder a cada administración la flexibilidad necesaria para desplegar diferentes tecnologías, se establece que el enfoque correcto </w:t>
      </w:r>
      <w:r w:rsidR="00B2760C" w:rsidRPr="00825756">
        <w:rPr>
          <w:rFonts w:eastAsia="Batang"/>
        </w:rPr>
        <w:t xml:space="preserve">de </w:t>
      </w:r>
      <w:r w:rsidRPr="00825756">
        <w:rPr>
          <w:rFonts w:eastAsia="Batang"/>
        </w:rPr>
        <w:t>la CMR-23 para las bandas de frecuencias 6 425-7 025 MHz y 7 025-7 125 MHz se basa en la no modificación (NOC)</w:t>
      </w:r>
      <w:r w:rsidR="003D5AEC" w:rsidRPr="00825756">
        <w:rPr>
          <w:rFonts w:eastAsia="Batang"/>
        </w:rPr>
        <w:t xml:space="preserve">. </w:t>
      </w:r>
    </w:p>
    <w:p w14:paraId="22DD3C60" w14:textId="39465926" w:rsidR="003D5AEC" w:rsidRPr="00825756" w:rsidRDefault="00037069" w:rsidP="003D5AEC">
      <w:pPr>
        <w:rPr>
          <w:rFonts w:eastAsia="Calibri"/>
          <w:szCs w:val="24"/>
        </w:rPr>
      </w:pPr>
      <w:r w:rsidRPr="00825756">
        <w:rPr>
          <w:rFonts w:eastAsia="BatangChe"/>
          <w:szCs w:val="24"/>
          <w:lang w:eastAsia="ko-KR"/>
        </w:rPr>
        <w:t>En este sentido, las Administraciones cofirmantes han tenido en cuenta varios factores, entre los que figuran los siguientes</w:t>
      </w:r>
      <w:r w:rsidR="003D5AEC" w:rsidRPr="00825756">
        <w:rPr>
          <w:rFonts w:eastAsia="Calibri"/>
          <w:szCs w:val="24"/>
        </w:rPr>
        <w:t>:</w:t>
      </w:r>
    </w:p>
    <w:p w14:paraId="1C62033F" w14:textId="3EAF86F2" w:rsidR="003D5AEC" w:rsidRPr="00825756" w:rsidRDefault="003D5AEC" w:rsidP="003D5AEC">
      <w:pPr>
        <w:pStyle w:val="enumlev1"/>
        <w:rPr>
          <w:lang w:eastAsia="en-GB"/>
        </w:rPr>
      </w:pPr>
      <w:r w:rsidRPr="00825756">
        <w:rPr>
          <w:lang w:eastAsia="en-GB"/>
        </w:rPr>
        <w:t>1</w:t>
      </w:r>
      <w:r w:rsidRPr="00825756">
        <w:rPr>
          <w:shd w:val="clear" w:color="auto" w:fill="FFFFFF"/>
          <w:lang w:eastAsia="en-GB"/>
        </w:rPr>
        <w:t>)</w:t>
      </w:r>
      <w:r w:rsidRPr="00825756">
        <w:rPr>
          <w:lang w:eastAsia="en-GB"/>
        </w:rPr>
        <w:tab/>
      </w:r>
      <w:r w:rsidR="00037069" w:rsidRPr="00825756">
        <w:rPr>
          <w:lang w:eastAsia="en-GB"/>
        </w:rPr>
        <w:t xml:space="preserve">Los estudios realizados </w:t>
      </w:r>
      <w:r w:rsidR="00B130B0" w:rsidRPr="00825756">
        <w:rPr>
          <w:lang w:eastAsia="en-GB"/>
        </w:rPr>
        <w:t xml:space="preserve">sobre </w:t>
      </w:r>
      <w:r w:rsidR="00037069" w:rsidRPr="00825756">
        <w:rPr>
          <w:lang w:eastAsia="en-GB"/>
        </w:rPr>
        <w:t xml:space="preserve">la posible implementación de la componente terrenal de las IMT en la banda de frecuencias </w:t>
      </w:r>
      <w:r w:rsidRPr="00825756">
        <w:rPr>
          <w:lang w:eastAsia="en-GB"/>
        </w:rPr>
        <w:t>6</w:t>
      </w:r>
      <w:r w:rsidR="00037069" w:rsidRPr="00825756">
        <w:rPr>
          <w:lang w:eastAsia="en-GB"/>
        </w:rPr>
        <w:t> </w:t>
      </w:r>
      <w:r w:rsidRPr="00825756">
        <w:rPr>
          <w:lang w:eastAsia="en-GB"/>
        </w:rPr>
        <w:t>425-7</w:t>
      </w:r>
      <w:r w:rsidR="00037069" w:rsidRPr="00825756">
        <w:rPr>
          <w:lang w:eastAsia="en-GB"/>
        </w:rPr>
        <w:t> 125 </w:t>
      </w:r>
      <w:r w:rsidRPr="00825756">
        <w:rPr>
          <w:lang w:eastAsia="en-GB"/>
        </w:rPr>
        <w:t>MHz</w:t>
      </w:r>
      <w:r w:rsidR="00B130B0" w:rsidRPr="00825756">
        <w:rPr>
          <w:lang w:eastAsia="en-GB"/>
        </w:rPr>
        <w:t xml:space="preserve"> utilizaron diferentes hipótesis, parámetros de entrada y criterios de interferencia. Debido a la gran cantidad de diferencias consideradas en cada estudio, no se pudo llegar a un acuerdo ni a una conclusión</w:t>
      </w:r>
      <w:r w:rsidRPr="00825756">
        <w:rPr>
          <w:lang w:eastAsia="en-GB"/>
        </w:rPr>
        <w:t>.</w:t>
      </w:r>
    </w:p>
    <w:p w14:paraId="77234F97" w14:textId="0C4FC9BB" w:rsidR="003D5AEC" w:rsidRPr="00825756" w:rsidRDefault="003D5AEC" w:rsidP="003D5AEC">
      <w:pPr>
        <w:pStyle w:val="enumlev1"/>
        <w:rPr>
          <w:lang w:eastAsia="en-GB"/>
        </w:rPr>
      </w:pPr>
      <w:r w:rsidRPr="00825756">
        <w:rPr>
          <w:lang w:eastAsia="en-GB"/>
        </w:rPr>
        <w:t>2</w:t>
      </w:r>
      <w:r w:rsidRPr="00825756">
        <w:rPr>
          <w:shd w:val="clear" w:color="auto" w:fill="FFFFFF"/>
          <w:lang w:eastAsia="en-GB"/>
        </w:rPr>
        <w:t>)</w:t>
      </w:r>
      <w:r w:rsidRPr="00825756">
        <w:rPr>
          <w:lang w:eastAsia="en-GB"/>
        </w:rPr>
        <w:tab/>
      </w:r>
      <w:r w:rsidR="00671EDE" w:rsidRPr="00825756">
        <w:rPr>
          <w:lang w:eastAsia="en-GB"/>
        </w:rPr>
        <w:t>Las conclusiones de los estudios realizados durante este ciclo, según se indica en e</w:t>
      </w:r>
      <w:r w:rsidR="003F3F87" w:rsidRPr="00825756">
        <w:rPr>
          <w:lang w:eastAsia="en-GB"/>
        </w:rPr>
        <w:t>l</w:t>
      </w:r>
      <w:r w:rsidR="00671EDE" w:rsidRPr="00825756">
        <w:rPr>
          <w:lang w:eastAsia="en-GB"/>
        </w:rPr>
        <w:t xml:space="preserve"> Informe de la RPC, han aplicado hipótesis de parámetros que subestiman la interferencia causada por las IMT a los receptores del SFS. En algunos de los estudios que demuestran la viabilidad de la coexistencia entre el SFS y las IMT se utilizaron parámetros o factores de corrección que no han sido acordados por los Grupos de Trabajo del UIT-R. Esas hipótesis no plantea</w:t>
      </w:r>
      <w:r w:rsidR="003F3F87" w:rsidRPr="00825756">
        <w:rPr>
          <w:lang w:eastAsia="en-GB"/>
        </w:rPr>
        <w:t>ro</w:t>
      </w:r>
      <w:r w:rsidR="00671EDE" w:rsidRPr="00825756">
        <w:rPr>
          <w:lang w:eastAsia="en-GB"/>
        </w:rPr>
        <w:t xml:space="preserve">n escenarios realistas para un despliegue de red IMT y </w:t>
      </w:r>
      <w:r w:rsidR="003F3F87" w:rsidRPr="00825756">
        <w:rPr>
          <w:lang w:eastAsia="en-GB"/>
        </w:rPr>
        <w:t xml:space="preserve">mostraron </w:t>
      </w:r>
      <w:r w:rsidR="00671EDE" w:rsidRPr="00825756">
        <w:rPr>
          <w:lang w:eastAsia="en-GB"/>
        </w:rPr>
        <w:t>resultados sesgados hacia la compatibilidad</w:t>
      </w:r>
      <w:r w:rsidRPr="00825756">
        <w:rPr>
          <w:lang w:eastAsia="en-GB"/>
        </w:rPr>
        <w:t>.</w:t>
      </w:r>
    </w:p>
    <w:p w14:paraId="20B14D8B" w14:textId="165C40E3" w:rsidR="003D5AEC" w:rsidRPr="00825756" w:rsidRDefault="003D5AEC" w:rsidP="003D5AEC">
      <w:pPr>
        <w:pStyle w:val="enumlev1"/>
        <w:rPr>
          <w:lang w:eastAsia="en-GB"/>
        </w:rPr>
      </w:pPr>
      <w:r w:rsidRPr="00825756">
        <w:rPr>
          <w:lang w:eastAsia="en-GB"/>
        </w:rPr>
        <w:t>3</w:t>
      </w:r>
      <w:r w:rsidRPr="00825756">
        <w:rPr>
          <w:shd w:val="clear" w:color="auto" w:fill="FFFFFF"/>
          <w:lang w:eastAsia="en-GB"/>
        </w:rPr>
        <w:t>)</w:t>
      </w:r>
      <w:r w:rsidRPr="00825756">
        <w:rPr>
          <w:lang w:eastAsia="en-GB"/>
        </w:rPr>
        <w:tab/>
      </w:r>
      <w:r w:rsidR="00671EDE" w:rsidRPr="00825756">
        <w:rPr>
          <w:lang w:eastAsia="en-GB"/>
        </w:rPr>
        <w:t xml:space="preserve">Las conclusiones de los estudios realizados durante este ciclo de estudios </w:t>
      </w:r>
      <w:r w:rsidR="001255C3" w:rsidRPr="00825756">
        <w:rPr>
          <w:lang w:eastAsia="en-GB"/>
        </w:rPr>
        <w:t>indican</w:t>
      </w:r>
      <w:r w:rsidR="00671EDE" w:rsidRPr="00825756">
        <w:rPr>
          <w:lang w:eastAsia="en-GB"/>
        </w:rPr>
        <w:t xml:space="preserve"> que, para proteger el SF, es necesario consider</w:t>
      </w:r>
      <w:r w:rsidR="001255C3" w:rsidRPr="00825756">
        <w:rPr>
          <w:lang w:eastAsia="en-GB"/>
        </w:rPr>
        <w:t>a</w:t>
      </w:r>
      <w:r w:rsidR="00671EDE" w:rsidRPr="00825756">
        <w:rPr>
          <w:lang w:eastAsia="en-GB"/>
        </w:rPr>
        <w:t xml:space="preserve">r un análisis por casos, ya que la zona de protección puede </w:t>
      </w:r>
      <w:r w:rsidR="00421443" w:rsidRPr="00825756">
        <w:rPr>
          <w:lang w:eastAsia="en-GB"/>
        </w:rPr>
        <w:t>abarcar</w:t>
      </w:r>
      <w:r w:rsidR="00671EDE" w:rsidRPr="00825756">
        <w:rPr>
          <w:lang w:eastAsia="en-GB"/>
        </w:rPr>
        <w:t xml:space="preserve"> entre decenas y cientos de kilómetros. Con estas hipótesis, no se g</w:t>
      </w:r>
      <w:r w:rsidR="00895E8C" w:rsidRPr="00825756">
        <w:rPr>
          <w:lang w:eastAsia="en-GB"/>
        </w:rPr>
        <w:t>arantiza una base de protección</w:t>
      </w:r>
      <w:r w:rsidR="00671EDE" w:rsidRPr="00825756">
        <w:rPr>
          <w:lang w:eastAsia="en-GB"/>
        </w:rPr>
        <w:t xml:space="preserve"> y se genera incertidumbre por la </w:t>
      </w:r>
      <w:r w:rsidR="00E41DF4" w:rsidRPr="00825756">
        <w:rPr>
          <w:lang w:eastAsia="en-GB"/>
        </w:rPr>
        <w:t>pos</w:t>
      </w:r>
      <w:r w:rsidR="00671EDE" w:rsidRPr="00825756">
        <w:rPr>
          <w:lang w:eastAsia="en-GB"/>
        </w:rPr>
        <w:t>ible interferencia pe</w:t>
      </w:r>
      <w:r w:rsidR="000F2CC2" w:rsidRPr="00825756">
        <w:rPr>
          <w:lang w:eastAsia="en-GB"/>
        </w:rPr>
        <w:t>r</w:t>
      </w:r>
      <w:r w:rsidR="00671EDE" w:rsidRPr="00825756">
        <w:rPr>
          <w:lang w:eastAsia="en-GB"/>
        </w:rPr>
        <w:t xml:space="preserve">judicial </w:t>
      </w:r>
      <w:r w:rsidR="00E41DF4" w:rsidRPr="00825756">
        <w:rPr>
          <w:lang w:eastAsia="en-GB"/>
        </w:rPr>
        <w:t>derivada del desplie</w:t>
      </w:r>
      <w:r w:rsidR="00671EDE" w:rsidRPr="00825756">
        <w:rPr>
          <w:lang w:eastAsia="en-GB"/>
        </w:rPr>
        <w:t>gue de redes IMT.</w:t>
      </w:r>
      <w:r w:rsidRPr="00825756">
        <w:rPr>
          <w:lang w:eastAsia="en-GB"/>
        </w:rPr>
        <w:t> </w:t>
      </w:r>
    </w:p>
    <w:p w14:paraId="4CF8805F" w14:textId="50AEFB2F" w:rsidR="003D5AEC" w:rsidRPr="00825756" w:rsidRDefault="003D5AEC" w:rsidP="003D5AEC">
      <w:pPr>
        <w:pStyle w:val="enumlev1"/>
        <w:rPr>
          <w:lang w:eastAsia="en-GB"/>
        </w:rPr>
      </w:pPr>
      <w:r w:rsidRPr="00825756">
        <w:rPr>
          <w:lang w:eastAsia="en-GB"/>
        </w:rPr>
        <w:lastRenderedPageBreak/>
        <w:t>4</w:t>
      </w:r>
      <w:r w:rsidRPr="00825756">
        <w:rPr>
          <w:shd w:val="clear" w:color="auto" w:fill="FFFFFF"/>
          <w:lang w:eastAsia="en-GB"/>
        </w:rPr>
        <w:t>)</w:t>
      </w:r>
      <w:r w:rsidRPr="00825756">
        <w:rPr>
          <w:lang w:eastAsia="en-GB"/>
        </w:rPr>
        <w:tab/>
      </w:r>
      <w:r w:rsidR="00895E8C" w:rsidRPr="00825756">
        <w:rPr>
          <w:lang w:eastAsia="en-GB"/>
        </w:rPr>
        <w:t>U</w:t>
      </w:r>
      <w:r w:rsidR="002567CB" w:rsidRPr="00825756">
        <w:rPr>
          <w:lang w:eastAsia="en-GB"/>
        </w:rPr>
        <w:t>n escenario por casos impo</w:t>
      </w:r>
      <w:r w:rsidR="00BC5024" w:rsidRPr="00825756">
        <w:rPr>
          <w:lang w:eastAsia="en-GB"/>
        </w:rPr>
        <w:t>n</w:t>
      </w:r>
      <w:r w:rsidR="002567CB" w:rsidRPr="00825756">
        <w:rPr>
          <w:lang w:eastAsia="en-GB"/>
        </w:rPr>
        <w:t xml:space="preserve">dría una carga reglamentaria adicional a las administraciones, </w:t>
      </w:r>
      <w:r w:rsidR="0061474F" w:rsidRPr="00825756">
        <w:rPr>
          <w:lang w:eastAsia="en-GB"/>
        </w:rPr>
        <w:t>dado que much</w:t>
      </w:r>
      <w:r w:rsidR="00B36202" w:rsidRPr="00825756">
        <w:rPr>
          <w:lang w:eastAsia="en-GB"/>
        </w:rPr>
        <w:t>o</w:t>
      </w:r>
      <w:r w:rsidR="0061474F" w:rsidRPr="00825756">
        <w:rPr>
          <w:lang w:eastAsia="en-GB"/>
        </w:rPr>
        <w:t>s pa</w:t>
      </w:r>
      <w:r w:rsidR="00B36202" w:rsidRPr="00825756">
        <w:rPr>
          <w:lang w:eastAsia="en-GB"/>
        </w:rPr>
        <w:t>íses tendrían</w:t>
      </w:r>
      <w:r w:rsidR="0061474F" w:rsidRPr="00825756">
        <w:rPr>
          <w:lang w:eastAsia="en-GB"/>
        </w:rPr>
        <w:t xml:space="preserve"> que adaptar sus marcos reglamentarios para proteger sus servicios exis</w:t>
      </w:r>
      <w:r w:rsidR="0062039C" w:rsidRPr="00825756">
        <w:rPr>
          <w:lang w:eastAsia="en-GB"/>
        </w:rPr>
        <w:t xml:space="preserve">tentes teniendo en cuenta todos los escenarios </w:t>
      </w:r>
      <w:r w:rsidR="0061474F" w:rsidRPr="00825756">
        <w:rPr>
          <w:lang w:eastAsia="en-GB"/>
        </w:rPr>
        <w:t xml:space="preserve">de interferencia posibles. El análisis incluye la coordinación entre sus sistemas y los sistemas utilizados por los países adyacentes. Este proceso </w:t>
      </w:r>
      <w:r w:rsidR="008C11B6" w:rsidRPr="00825756">
        <w:rPr>
          <w:lang w:eastAsia="en-GB"/>
        </w:rPr>
        <w:t xml:space="preserve">se traduciría en </w:t>
      </w:r>
      <w:r w:rsidR="0061474F" w:rsidRPr="00825756">
        <w:rPr>
          <w:lang w:eastAsia="en-GB"/>
        </w:rPr>
        <w:t>una carga económica y temporal mayor en función de los escenarios técni</w:t>
      </w:r>
      <w:r w:rsidR="00972F24" w:rsidRPr="00825756">
        <w:rPr>
          <w:lang w:eastAsia="en-GB"/>
        </w:rPr>
        <w:t>c</w:t>
      </w:r>
      <w:r w:rsidR="0061474F" w:rsidRPr="00825756">
        <w:rPr>
          <w:lang w:eastAsia="en-GB"/>
        </w:rPr>
        <w:t>os, además de una necesidad de planificación del espectro adicional para evitar restricciones futuras en el desarrollo de las redes del SFS y del SF</w:t>
      </w:r>
      <w:r w:rsidRPr="00825756">
        <w:rPr>
          <w:lang w:eastAsia="en-GB"/>
        </w:rPr>
        <w:t>.</w:t>
      </w:r>
    </w:p>
    <w:p w14:paraId="7461A329" w14:textId="72D0A808" w:rsidR="003D5AEC" w:rsidRPr="00825756" w:rsidRDefault="003D5AEC" w:rsidP="003D5AEC">
      <w:pPr>
        <w:pStyle w:val="enumlev1"/>
        <w:rPr>
          <w:lang w:eastAsia="en-GB"/>
        </w:rPr>
      </w:pPr>
      <w:r w:rsidRPr="00825756">
        <w:rPr>
          <w:shd w:val="clear" w:color="auto" w:fill="FFFFFF"/>
          <w:lang w:eastAsia="en-GB"/>
        </w:rPr>
        <w:t>5)</w:t>
      </w:r>
      <w:r w:rsidRPr="00825756">
        <w:rPr>
          <w:shd w:val="clear" w:color="auto" w:fill="FFFFFF"/>
          <w:lang w:eastAsia="en-GB"/>
        </w:rPr>
        <w:tab/>
      </w:r>
      <w:r w:rsidR="00BC5024" w:rsidRPr="00825756">
        <w:rPr>
          <w:shd w:val="clear" w:color="auto" w:fill="FFFFFF"/>
          <w:lang w:eastAsia="en-GB"/>
        </w:rPr>
        <w:t xml:space="preserve">Se considera que el reconocimiento de la importancia del </w:t>
      </w:r>
      <w:r w:rsidRPr="00825756">
        <w:rPr>
          <w:shd w:val="clear" w:color="auto" w:fill="FFFFFF"/>
          <w:lang w:eastAsia="en-GB"/>
        </w:rPr>
        <w:t>AP</w:t>
      </w:r>
      <w:r w:rsidRPr="00825756">
        <w:rPr>
          <w:b/>
          <w:bCs/>
          <w:shd w:val="clear" w:color="auto" w:fill="FFFFFF"/>
          <w:lang w:eastAsia="en-GB"/>
        </w:rPr>
        <w:t>30B</w:t>
      </w:r>
      <w:r w:rsidR="00BC5024" w:rsidRPr="00825756">
        <w:rPr>
          <w:shd w:val="clear" w:color="auto" w:fill="FFFFFF"/>
          <w:lang w:eastAsia="en-GB"/>
        </w:rPr>
        <w:t xml:space="preserve"> y su protección son uno de los elementos principales para permitir el uso de nuevas tecnologías e</w:t>
      </w:r>
      <w:r w:rsidR="006A5AAD" w:rsidRPr="00825756">
        <w:rPr>
          <w:shd w:val="clear" w:color="auto" w:fill="FFFFFF"/>
          <w:lang w:eastAsia="en-GB"/>
        </w:rPr>
        <w:t>n</w:t>
      </w:r>
      <w:r w:rsidR="00BC5024" w:rsidRPr="00825756">
        <w:rPr>
          <w:shd w:val="clear" w:color="auto" w:fill="FFFFFF"/>
          <w:lang w:eastAsia="en-GB"/>
        </w:rPr>
        <w:t xml:space="preserve"> la banda de frecuencias </w:t>
      </w:r>
      <w:r w:rsidRPr="00825756">
        <w:rPr>
          <w:shd w:val="clear" w:color="auto" w:fill="FFFFFF"/>
          <w:lang w:eastAsia="en-GB"/>
        </w:rPr>
        <w:t>6</w:t>
      </w:r>
      <w:r w:rsidR="00BC5024" w:rsidRPr="00825756">
        <w:rPr>
          <w:shd w:val="clear" w:color="auto" w:fill="FFFFFF"/>
          <w:lang w:eastAsia="en-GB"/>
        </w:rPr>
        <w:t> </w:t>
      </w:r>
      <w:r w:rsidRPr="00825756">
        <w:rPr>
          <w:shd w:val="clear" w:color="auto" w:fill="FFFFFF"/>
          <w:lang w:eastAsia="en-GB"/>
        </w:rPr>
        <w:t xml:space="preserve">725-7 025 MHz. </w:t>
      </w:r>
      <w:r w:rsidR="00BC5024" w:rsidRPr="00825756">
        <w:rPr>
          <w:shd w:val="clear" w:color="auto" w:fill="FFFFFF"/>
          <w:lang w:eastAsia="en-GB"/>
        </w:rPr>
        <w:t xml:space="preserve">Aunque los promotores de las </w:t>
      </w:r>
      <w:r w:rsidRPr="00825756">
        <w:rPr>
          <w:shd w:val="clear" w:color="auto" w:fill="FFFFFF"/>
          <w:lang w:eastAsia="en-GB"/>
        </w:rPr>
        <w:t xml:space="preserve">IMT </w:t>
      </w:r>
      <w:r w:rsidR="00BC5024" w:rsidRPr="00825756">
        <w:rPr>
          <w:shd w:val="clear" w:color="auto" w:fill="FFFFFF"/>
          <w:lang w:eastAsia="en-GB"/>
        </w:rPr>
        <w:t xml:space="preserve">defienden los beneficios de un despliegue IMT, la protección del SFS no está garantizada y se pondrían en peligro los esfuerzos internacionales por proporcionar un servicio fiable que permita utilizar aplicaciones críticas que no pueden ser sustituidas por </w:t>
      </w:r>
      <w:r w:rsidR="006A5AAD" w:rsidRPr="00825756">
        <w:rPr>
          <w:shd w:val="clear" w:color="auto" w:fill="FFFFFF"/>
          <w:lang w:eastAsia="en-GB"/>
        </w:rPr>
        <w:t xml:space="preserve">bandas de frecuencias más altas, </w:t>
      </w:r>
      <w:r w:rsidR="00BC5024" w:rsidRPr="00825756">
        <w:rPr>
          <w:shd w:val="clear" w:color="auto" w:fill="FFFFFF"/>
          <w:lang w:eastAsia="en-GB"/>
        </w:rPr>
        <w:t xml:space="preserve">más sensibles a la atenuación atmosférica debido a la lluvia, y que se utilizan para proporcionar conectividad tanto a las zonas urbanas y suburbanas como a las zonas rurales, donde los servicios de comunicación constituyen una herramienta de transformación esencial para crear </w:t>
      </w:r>
      <w:r w:rsidR="000B7835" w:rsidRPr="00825756">
        <w:rPr>
          <w:shd w:val="clear" w:color="auto" w:fill="FFFFFF"/>
          <w:lang w:eastAsia="en-GB"/>
        </w:rPr>
        <w:t>contextos</w:t>
      </w:r>
      <w:r w:rsidR="00BC5024" w:rsidRPr="00825756">
        <w:rPr>
          <w:shd w:val="clear" w:color="auto" w:fill="FFFFFF"/>
          <w:lang w:eastAsia="en-GB"/>
        </w:rPr>
        <w:t xml:space="preserve"> </w:t>
      </w:r>
      <w:r w:rsidR="006A5AAD" w:rsidRPr="00825756">
        <w:rPr>
          <w:shd w:val="clear" w:color="auto" w:fill="FFFFFF"/>
          <w:lang w:eastAsia="en-GB"/>
        </w:rPr>
        <w:t xml:space="preserve">favorables </w:t>
      </w:r>
      <w:r w:rsidR="00BC5024" w:rsidRPr="00825756">
        <w:rPr>
          <w:shd w:val="clear" w:color="auto" w:fill="FFFFFF"/>
          <w:lang w:eastAsia="en-GB"/>
        </w:rPr>
        <w:t>para las sociedades rurales.</w:t>
      </w:r>
    </w:p>
    <w:p w14:paraId="60BD5640" w14:textId="3E537418" w:rsidR="003D5AEC" w:rsidRPr="00825756" w:rsidRDefault="003D5AEC" w:rsidP="003D5AEC">
      <w:pPr>
        <w:pStyle w:val="enumlev1"/>
        <w:rPr>
          <w:lang w:eastAsia="en-GB"/>
        </w:rPr>
      </w:pPr>
      <w:r w:rsidRPr="00825756">
        <w:rPr>
          <w:lang w:eastAsia="en-GB"/>
        </w:rPr>
        <w:t>6</w:t>
      </w:r>
      <w:r w:rsidRPr="00825756">
        <w:rPr>
          <w:shd w:val="clear" w:color="auto" w:fill="FFFFFF"/>
          <w:lang w:eastAsia="en-GB"/>
        </w:rPr>
        <w:t>)</w:t>
      </w:r>
      <w:r w:rsidRPr="00825756">
        <w:rPr>
          <w:lang w:eastAsia="en-GB"/>
        </w:rPr>
        <w:tab/>
      </w:r>
      <w:r w:rsidR="002B358A" w:rsidRPr="00825756">
        <w:rPr>
          <w:lang w:eastAsia="en-GB"/>
        </w:rPr>
        <w:t xml:space="preserve">Las mediciones de la temperatura de la superficie del mar tienen repercusiones importantes en las mediciones meteorológicas utilizadas para la protección de la vida frente a grandes fenómenos climáticos. El despliegue de las </w:t>
      </w:r>
      <w:r w:rsidRPr="00825756">
        <w:rPr>
          <w:lang w:eastAsia="en-GB"/>
        </w:rPr>
        <w:t xml:space="preserve">IMT </w:t>
      </w:r>
      <w:r w:rsidR="002B358A" w:rsidRPr="00825756">
        <w:rPr>
          <w:lang w:eastAsia="en-GB"/>
        </w:rPr>
        <w:t>influirá mucho en estas mediciones, incluso en posiciones situadas a varios miles de kilómetros de la costa. Por consiguiente, se debería estudiar en primer lugar la posibilidad de utilizar bandas alternativas, con mejores oportunidades de coexistencia, para la temperatura de la superficie del mar</w:t>
      </w:r>
      <w:r w:rsidRPr="00825756">
        <w:rPr>
          <w:lang w:eastAsia="en-GB"/>
        </w:rPr>
        <w:t>.</w:t>
      </w:r>
    </w:p>
    <w:p w14:paraId="5AA2C6EA" w14:textId="0EA01631" w:rsidR="003D5AEC" w:rsidRPr="00825756" w:rsidRDefault="003D5AEC" w:rsidP="003D5AEC">
      <w:pPr>
        <w:pStyle w:val="enumlev1"/>
        <w:rPr>
          <w:lang w:eastAsia="en-GB"/>
        </w:rPr>
      </w:pPr>
      <w:r w:rsidRPr="00825756">
        <w:rPr>
          <w:shd w:val="clear" w:color="auto" w:fill="FFFFFF"/>
          <w:lang w:eastAsia="en-GB"/>
        </w:rPr>
        <w:t>7)</w:t>
      </w:r>
      <w:r w:rsidRPr="00825756">
        <w:rPr>
          <w:shd w:val="clear" w:color="auto" w:fill="FFFFFF"/>
          <w:lang w:eastAsia="en-GB"/>
        </w:rPr>
        <w:tab/>
      </w:r>
      <w:r w:rsidR="004100F2" w:rsidRPr="00825756">
        <w:rPr>
          <w:shd w:val="clear" w:color="auto" w:fill="FFFFFF"/>
          <w:lang w:eastAsia="en-GB"/>
        </w:rPr>
        <w:t xml:space="preserve">La postura de la OACI en relación con el uso de la banda de frecuencias </w:t>
      </w:r>
      <w:r w:rsidRPr="00825756">
        <w:rPr>
          <w:shd w:val="clear" w:color="auto" w:fill="FFFFFF"/>
          <w:lang w:eastAsia="en-GB"/>
        </w:rPr>
        <w:t>6</w:t>
      </w:r>
      <w:r w:rsidR="004100F2" w:rsidRPr="00825756">
        <w:rPr>
          <w:shd w:val="clear" w:color="auto" w:fill="FFFFFF"/>
          <w:lang w:eastAsia="en-GB"/>
        </w:rPr>
        <w:t> </w:t>
      </w:r>
      <w:r w:rsidRPr="00825756">
        <w:rPr>
          <w:shd w:val="clear" w:color="auto" w:fill="FFFFFF"/>
          <w:lang w:eastAsia="en-GB"/>
        </w:rPr>
        <w:t>425</w:t>
      </w:r>
      <w:r w:rsidR="00660A29">
        <w:rPr>
          <w:shd w:val="clear" w:color="auto" w:fill="FFFFFF"/>
          <w:lang w:eastAsia="en-GB"/>
        </w:rPr>
        <w:noBreakHyphen/>
      </w:r>
      <w:r w:rsidRPr="00825756">
        <w:rPr>
          <w:shd w:val="clear" w:color="auto" w:fill="FFFFFF"/>
          <w:lang w:eastAsia="en-GB"/>
        </w:rPr>
        <w:t>6</w:t>
      </w:r>
      <w:r w:rsidR="004100F2" w:rsidRPr="00825756">
        <w:rPr>
          <w:shd w:val="clear" w:color="auto" w:fill="FFFFFF"/>
          <w:lang w:eastAsia="en-GB"/>
        </w:rPr>
        <w:t> 575 </w:t>
      </w:r>
      <w:r w:rsidRPr="00825756">
        <w:rPr>
          <w:shd w:val="clear" w:color="auto" w:fill="FFFFFF"/>
          <w:lang w:eastAsia="en-GB"/>
        </w:rPr>
        <w:t xml:space="preserve">MHz </w:t>
      </w:r>
      <w:r w:rsidR="004100F2" w:rsidRPr="00825756">
        <w:rPr>
          <w:shd w:val="clear" w:color="auto" w:fill="FFFFFF"/>
          <w:lang w:eastAsia="en-GB"/>
        </w:rPr>
        <w:t>en la Región 1 puso de relieve la necesidad de contar con disposiciones reglamen</w:t>
      </w:r>
      <w:r w:rsidR="003F3DC0" w:rsidRPr="00825756">
        <w:rPr>
          <w:shd w:val="clear" w:color="auto" w:fill="FFFFFF"/>
          <w:lang w:eastAsia="en-GB"/>
        </w:rPr>
        <w:t>t</w:t>
      </w:r>
      <w:r w:rsidR="004100F2" w:rsidRPr="00825756">
        <w:rPr>
          <w:shd w:val="clear" w:color="auto" w:fill="FFFFFF"/>
          <w:lang w:eastAsia="en-GB"/>
        </w:rPr>
        <w:t>arias para proteger los enlaces ascendentes del SFS y, así, continuar utilizando las redes del SFS OSG para la prestación de servicios aeronáuticos</w:t>
      </w:r>
      <w:r w:rsidRPr="00825756">
        <w:rPr>
          <w:shd w:val="clear" w:color="auto" w:fill="FFFFFF"/>
          <w:lang w:eastAsia="en-GB"/>
        </w:rPr>
        <w:t xml:space="preserve">, </w:t>
      </w:r>
      <w:r w:rsidR="004100F2" w:rsidRPr="00825756">
        <w:rPr>
          <w:shd w:val="clear" w:color="auto" w:fill="FFFFFF"/>
          <w:lang w:eastAsia="en-GB"/>
        </w:rPr>
        <w:t>dado que cualquier interferencia a los enlaces ascendentes de conexión del SMS en la banda de frecuencias</w:t>
      </w:r>
      <w:r w:rsidRPr="00825756">
        <w:rPr>
          <w:shd w:val="clear" w:color="auto" w:fill="FFFFFF"/>
          <w:lang w:eastAsia="en-GB"/>
        </w:rPr>
        <w:t xml:space="preserve"> 6</w:t>
      </w:r>
      <w:r w:rsidR="004100F2" w:rsidRPr="00825756">
        <w:rPr>
          <w:shd w:val="clear" w:color="auto" w:fill="FFFFFF"/>
          <w:lang w:eastAsia="en-GB"/>
        </w:rPr>
        <w:t> </w:t>
      </w:r>
      <w:r w:rsidRPr="00825756">
        <w:rPr>
          <w:shd w:val="clear" w:color="auto" w:fill="FFFFFF"/>
          <w:lang w:eastAsia="en-GB"/>
        </w:rPr>
        <w:t>425-</w:t>
      </w:r>
      <w:r w:rsidR="004100F2" w:rsidRPr="00825756">
        <w:rPr>
          <w:shd w:val="clear" w:color="auto" w:fill="FFFFFF"/>
          <w:lang w:eastAsia="en-GB"/>
        </w:rPr>
        <w:t>6 575 </w:t>
      </w:r>
      <w:r w:rsidRPr="00825756">
        <w:rPr>
          <w:shd w:val="clear" w:color="auto" w:fill="FFFFFF"/>
          <w:lang w:eastAsia="en-GB"/>
        </w:rPr>
        <w:t xml:space="preserve">MHz </w:t>
      </w:r>
      <w:r w:rsidR="004100F2" w:rsidRPr="00825756">
        <w:rPr>
          <w:shd w:val="clear" w:color="auto" w:fill="FFFFFF"/>
          <w:lang w:eastAsia="en-GB"/>
        </w:rPr>
        <w:t>podría poner en peligro las operaciones de vehículos espaciales. Las Administraciones cofirmantes y otras administraciones consideran que no se pueden poner en peligro los sistemas del SFS utilizados para las emergencias y catástrofes nacionales de carácter aeronáutico</w:t>
      </w:r>
      <w:r w:rsidRPr="00825756">
        <w:rPr>
          <w:shd w:val="clear" w:color="auto" w:fill="FFFFFF"/>
          <w:lang w:eastAsia="en-GB"/>
        </w:rPr>
        <w:t>.</w:t>
      </w:r>
    </w:p>
    <w:p w14:paraId="31B5EDE7" w14:textId="03E1D896" w:rsidR="003D5AEC" w:rsidRPr="00825756" w:rsidRDefault="003D5AEC" w:rsidP="003D5AEC">
      <w:pPr>
        <w:pStyle w:val="enumlev1"/>
        <w:rPr>
          <w:lang w:eastAsia="en-GB"/>
        </w:rPr>
      </w:pPr>
      <w:r w:rsidRPr="00825756">
        <w:rPr>
          <w:lang w:eastAsia="en-GB"/>
        </w:rPr>
        <w:t>8</w:t>
      </w:r>
      <w:r w:rsidRPr="00825756">
        <w:rPr>
          <w:shd w:val="clear" w:color="auto" w:fill="FFFFFF"/>
          <w:lang w:eastAsia="en-GB"/>
        </w:rPr>
        <w:t>)</w:t>
      </w:r>
      <w:r w:rsidRPr="00825756">
        <w:rPr>
          <w:lang w:eastAsia="en-GB"/>
        </w:rPr>
        <w:tab/>
      </w:r>
      <w:r w:rsidR="003F3DC0" w:rsidRPr="00825756">
        <w:rPr>
          <w:lang w:eastAsia="en-GB"/>
        </w:rPr>
        <w:t xml:space="preserve">La OMM no apoya la identificación de las IMT en las bandas de frecuencias </w:t>
      </w:r>
      <w:r w:rsidRPr="00825756">
        <w:rPr>
          <w:lang w:eastAsia="en-GB"/>
        </w:rPr>
        <w:t>6</w:t>
      </w:r>
      <w:r w:rsidR="003F3DC0" w:rsidRPr="00825756">
        <w:rPr>
          <w:lang w:eastAsia="en-GB"/>
        </w:rPr>
        <w:t> 425</w:t>
      </w:r>
      <w:r w:rsidR="00660A29">
        <w:rPr>
          <w:lang w:eastAsia="en-GB"/>
        </w:rPr>
        <w:noBreakHyphen/>
      </w:r>
      <w:r w:rsidR="003F3DC0" w:rsidRPr="00825756">
        <w:rPr>
          <w:lang w:eastAsia="en-GB"/>
        </w:rPr>
        <w:t>7 025 </w:t>
      </w:r>
      <w:r w:rsidRPr="00825756">
        <w:rPr>
          <w:lang w:eastAsia="en-GB"/>
        </w:rPr>
        <w:t>MHz o</w:t>
      </w:r>
      <w:r w:rsidR="003F3DC0" w:rsidRPr="00825756">
        <w:rPr>
          <w:lang w:eastAsia="en-GB"/>
        </w:rPr>
        <w:t xml:space="preserve"> 7 </w:t>
      </w:r>
      <w:r w:rsidRPr="00825756">
        <w:rPr>
          <w:lang w:eastAsia="en-GB"/>
        </w:rPr>
        <w:t>025-7 </w:t>
      </w:r>
      <w:r w:rsidR="003F3DC0" w:rsidRPr="00825756">
        <w:rPr>
          <w:lang w:eastAsia="en-GB"/>
        </w:rPr>
        <w:t>125 </w:t>
      </w:r>
      <w:r w:rsidRPr="00825756">
        <w:rPr>
          <w:lang w:eastAsia="en-GB"/>
        </w:rPr>
        <w:t xml:space="preserve">MHz. </w:t>
      </w:r>
      <w:r w:rsidR="003F3DC0" w:rsidRPr="00825756">
        <w:rPr>
          <w:lang w:eastAsia="en-GB"/>
        </w:rPr>
        <w:t xml:space="preserve">La OMM destacó la importancia de las mediciones de la temperatura de la superficie del mar que se emplean para la predicción meteorológica y la vigilancia del clima, a pesar de que en la nota del número </w:t>
      </w:r>
      <w:r w:rsidRPr="00825756">
        <w:rPr>
          <w:b/>
          <w:bCs/>
          <w:lang w:eastAsia="en-GB"/>
        </w:rPr>
        <w:t>5.458</w:t>
      </w:r>
      <w:r w:rsidRPr="00825756">
        <w:rPr>
          <w:lang w:eastAsia="en-GB"/>
        </w:rPr>
        <w:t xml:space="preserve"> </w:t>
      </w:r>
      <w:r w:rsidR="003F3DC0" w:rsidRPr="00825756">
        <w:rPr>
          <w:lang w:eastAsia="en-GB"/>
        </w:rPr>
        <w:t>del RR no se contempla una atribución al SETS (pasivo) en las bandas de frecuencias 6 </w:t>
      </w:r>
      <w:r w:rsidRPr="00825756">
        <w:rPr>
          <w:lang w:eastAsia="en-GB"/>
        </w:rPr>
        <w:t>425-7</w:t>
      </w:r>
      <w:r w:rsidR="003F3DC0" w:rsidRPr="00825756">
        <w:rPr>
          <w:lang w:eastAsia="en-GB"/>
        </w:rPr>
        <w:t> 075 </w:t>
      </w:r>
      <w:r w:rsidRPr="00825756">
        <w:rPr>
          <w:lang w:eastAsia="en-GB"/>
        </w:rPr>
        <w:t xml:space="preserve">MHz </w:t>
      </w:r>
      <w:r w:rsidR="003F3DC0" w:rsidRPr="00825756">
        <w:rPr>
          <w:lang w:eastAsia="en-GB"/>
        </w:rPr>
        <w:t>y 7 075-7 250 </w:t>
      </w:r>
      <w:r w:rsidRPr="00825756">
        <w:rPr>
          <w:lang w:eastAsia="en-GB"/>
        </w:rPr>
        <w:t xml:space="preserve">MHz. </w:t>
      </w:r>
      <w:r w:rsidR="003F3DC0" w:rsidRPr="00825756">
        <w:rPr>
          <w:lang w:eastAsia="en-GB"/>
        </w:rPr>
        <w:t xml:space="preserve">Dada la gran repercusión que </w:t>
      </w:r>
      <w:r w:rsidR="00917E22" w:rsidRPr="00825756">
        <w:rPr>
          <w:lang w:eastAsia="en-GB"/>
        </w:rPr>
        <w:t>ejercerá</w:t>
      </w:r>
      <w:r w:rsidR="003F3DC0" w:rsidRPr="00825756">
        <w:rPr>
          <w:lang w:eastAsia="en-GB"/>
        </w:rPr>
        <w:t xml:space="preserve"> el despliegue de las IMT en la banda de frecuencias de </w:t>
      </w:r>
      <w:r w:rsidRPr="00825756">
        <w:rPr>
          <w:lang w:eastAsia="en-GB"/>
        </w:rPr>
        <w:t xml:space="preserve">6 GHz </w:t>
      </w:r>
      <w:r w:rsidR="003F3DC0" w:rsidRPr="00825756">
        <w:rPr>
          <w:lang w:eastAsia="en-GB"/>
        </w:rPr>
        <w:t>sobre las mediciones de la temperatura de la superficie del mar realizadas incluso a varios miles de kilómetros de distancia de la costa, las mediciones que se utilizan para la protección de la vida frente a</w:t>
      </w:r>
      <w:r w:rsidR="00917E22" w:rsidRPr="00825756">
        <w:rPr>
          <w:lang w:eastAsia="en-GB"/>
        </w:rPr>
        <w:t xml:space="preserve"> grandes</w:t>
      </w:r>
      <w:r w:rsidR="003F3DC0" w:rsidRPr="00825756">
        <w:rPr>
          <w:lang w:eastAsia="en-GB"/>
        </w:rPr>
        <w:t xml:space="preserve"> fenómenos climáticos resultarán gravemente afectadas</w:t>
      </w:r>
      <w:r w:rsidRPr="00825756">
        <w:rPr>
          <w:lang w:eastAsia="en-GB"/>
        </w:rPr>
        <w:t>.</w:t>
      </w:r>
    </w:p>
    <w:p w14:paraId="2B748A2A" w14:textId="0FB87557" w:rsidR="003D5AEC" w:rsidRPr="00825756" w:rsidRDefault="003D5AEC" w:rsidP="003D5AEC">
      <w:pPr>
        <w:pStyle w:val="enumlev1"/>
        <w:rPr>
          <w:lang w:eastAsia="en-GB"/>
        </w:rPr>
      </w:pPr>
      <w:r w:rsidRPr="00825756">
        <w:rPr>
          <w:shd w:val="clear" w:color="auto" w:fill="FFFFFF"/>
          <w:lang w:eastAsia="en-GB"/>
        </w:rPr>
        <w:t>9)</w:t>
      </w:r>
      <w:r w:rsidRPr="00825756">
        <w:rPr>
          <w:shd w:val="clear" w:color="auto" w:fill="FFFFFF"/>
          <w:lang w:eastAsia="en-GB"/>
        </w:rPr>
        <w:tab/>
      </w:r>
      <w:r w:rsidR="002D2F61" w:rsidRPr="00825756">
        <w:rPr>
          <w:shd w:val="clear" w:color="auto" w:fill="FFFFFF"/>
          <w:lang w:eastAsia="en-GB"/>
        </w:rPr>
        <w:t>Algunas administraciones ya han autorizado el uso de las bandas de frecuencias</w:t>
      </w:r>
      <w:r w:rsidRPr="00825756">
        <w:rPr>
          <w:lang w:eastAsia="en-GB"/>
        </w:rPr>
        <w:t xml:space="preserve"> </w:t>
      </w:r>
      <w:r w:rsidR="002D2F61" w:rsidRPr="00825756">
        <w:rPr>
          <w:shd w:val="clear" w:color="auto" w:fill="FFFFFF"/>
          <w:lang w:eastAsia="en-GB"/>
        </w:rPr>
        <w:t>6 </w:t>
      </w:r>
      <w:r w:rsidRPr="00825756">
        <w:rPr>
          <w:shd w:val="clear" w:color="auto" w:fill="FFFFFF"/>
          <w:lang w:eastAsia="en-GB"/>
        </w:rPr>
        <w:t>425-7 025</w:t>
      </w:r>
      <w:r w:rsidR="002D2F61" w:rsidRPr="00825756">
        <w:rPr>
          <w:shd w:val="clear" w:color="auto" w:fill="FFFFFF"/>
          <w:lang w:eastAsia="en-GB"/>
        </w:rPr>
        <w:t xml:space="preserve"> </w:t>
      </w:r>
      <w:r w:rsidRPr="00825756">
        <w:rPr>
          <w:shd w:val="clear" w:color="auto" w:fill="FFFFFF"/>
          <w:lang w:eastAsia="en-GB"/>
        </w:rPr>
        <w:t xml:space="preserve">MHz </w:t>
      </w:r>
      <w:r w:rsidR="002D2F61" w:rsidRPr="00825756">
        <w:rPr>
          <w:shd w:val="clear" w:color="auto" w:fill="FFFFFF"/>
          <w:lang w:eastAsia="en-GB"/>
        </w:rPr>
        <w:t xml:space="preserve">y </w:t>
      </w:r>
      <w:r w:rsidRPr="00825756">
        <w:rPr>
          <w:shd w:val="clear" w:color="auto" w:fill="FFFFFF"/>
          <w:lang w:eastAsia="en-GB"/>
        </w:rPr>
        <w:t>7 025-7</w:t>
      </w:r>
      <w:r w:rsidR="002D2F61" w:rsidRPr="00825756">
        <w:rPr>
          <w:shd w:val="clear" w:color="auto" w:fill="FFFFFF"/>
          <w:lang w:eastAsia="en-GB"/>
        </w:rPr>
        <w:t> </w:t>
      </w:r>
      <w:r w:rsidRPr="00825756">
        <w:rPr>
          <w:shd w:val="clear" w:color="auto" w:fill="FFFFFF"/>
          <w:lang w:eastAsia="en-GB"/>
        </w:rPr>
        <w:t>125</w:t>
      </w:r>
      <w:r w:rsidR="002D2F61" w:rsidRPr="00825756">
        <w:rPr>
          <w:shd w:val="clear" w:color="auto" w:fill="FFFFFF"/>
          <w:lang w:eastAsia="en-GB"/>
        </w:rPr>
        <w:t> </w:t>
      </w:r>
      <w:r w:rsidRPr="00825756">
        <w:rPr>
          <w:shd w:val="clear" w:color="auto" w:fill="FFFFFF"/>
          <w:lang w:eastAsia="en-GB"/>
        </w:rPr>
        <w:t xml:space="preserve">MHz </w:t>
      </w:r>
      <w:r w:rsidR="002D2F61" w:rsidRPr="00825756">
        <w:rPr>
          <w:shd w:val="clear" w:color="auto" w:fill="FFFFFF"/>
          <w:lang w:eastAsia="en-GB"/>
        </w:rPr>
        <w:t xml:space="preserve">para tecnologías </w:t>
      </w:r>
      <w:r w:rsidR="00966613" w:rsidRPr="00825756">
        <w:rPr>
          <w:shd w:val="clear" w:color="auto" w:fill="FFFFFF"/>
          <w:lang w:eastAsia="en-GB"/>
        </w:rPr>
        <w:t xml:space="preserve">exentas de </w:t>
      </w:r>
      <w:r w:rsidR="002D2F61" w:rsidRPr="00825756">
        <w:rPr>
          <w:shd w:val="clear" w:color="auto" w:fill="FFFFFF"/>
          <w:lang w:eastAsia="en-GB"/>
        </w:rPr>
        <w:t xml:space="preserve">licencia, </w:t>
      </w:r>
      <w:r w:rsidR="00966613" w:rsidRPr="00825756">
        <w:rPr>
          <w:shd w:val="clear" w:color="auto" w:fill="FFFFFF"/>
          <w:lang w:eastAsia="en-GB"/>
        </w:rPr>
        <w:t>definiendo</w:t>
      </w:r>
      <w:r w:rsidR="002D2F61" w:rsidRPr="00825756">
        <w:rPr>
          <w:shd w:val="clear" w:color="auto" w:fill="FFFFFF"/>
          <w:lang w:eastAsia="en-GB"/>
        </w:rPr>
        <w:t xml:space="preserve"> disposiciones reglamentarias y técnicas que facilitan el uso inmediato de los </w:t>
      </w:r>
      <w:r w:rsidR="002D2F61" w:rsidRPr="00825756">
        <w:rPr>
          <w:shd w:val="clear" w:color="auto" w:fill="FFFFFF"/>
          <w:lang w:eastAsia="en-GB"/>
        </w:rPr>
        <w:lastRenderedPageBreak/>
        <w:t>dispositivos disponibles, lo que impulsa la creación de economías de escala y beneficia a las empresas, los consumidores y las economías</w:t>
      </w:r>
      <w:r w:rsidRPr="00825756">
        <w:rPr>
          <w:shd w:val="clear" w:color="auto" w:fill="FFFFFF"/>
          <w:lang w:eastAsia="en-GB"/>
        </w:rPr>
        <w:t>.</w:t>
      </w:r>
    </w:p>
    <w:p w14:paraId="30E53F88" w14:textId="4FF66876" w:rsidR="003D5AEC" w:rsidRPr="00825756" w:rsidRDefault="003D5AEC" w:rsidP="003D5AEC">
      <w:pPr>
        <w:pStyle w:val="enumlev1"/>
        <w:rPr>
          <w:lang w:eastAsia="en-GB"/>
        </w:rPr>
      </w:pPr>
      <w:r w:rsidRPr="00825756">
        <w:rPr>
          <w:lang w:eastAsia="en-GB"/>
        </w:rPr>
        <w:t>10</w:t>
      </w:r>
      <w:r w:rsidRPr="00825756">
        <w:rPr>
          <w:shd w:val="clear" w:color="auto" w:fill="FFFFFF"/>
          <w:lang w:eastAsia="en-GB"/>
        </w:rPr>
        <w:t>)</w:t>
      </w:r>
      <w:r w:rsidRPr="00825756">
        <w:rPr>
          <w:lang w:eastAsia="en-GB"/>
        </w:rPr>
        <w:tab/>
      </w:r>
      <w:r w:rsidR="003119ED" w:rsidRPr="00825756">
        <w:rPr>
          <w:lang w:eastAsia="en-GB"/>
        </w:rPr>
        <w:t xml:space="preserve">Algunas administraciones han decidido desplegar las IMT, mientras que otras han decidido utilizar la banda para </w:t>
      </w:r>
      <w:r w:rsidRPr="00825756">
        <w:rPr>
          <w:lang w:eastAsia="en-GB"/>
        </w:rPr>
        <w:t xml:space="preserve">WAS/RLAN </w:t>
      </w:r>
      <w:r w:rsidR="003119ED" w:rsidRPr="00825756">
        <w:rPr>
          <w:lang w:eastAsia="en-GB"/>
        </w:rPr>
        <w:t>en tanto que política nacional y regional. Por lo tanto, las condiciones para el uso de las IMT o WAS/RLAN en la banda de frecuencias de 6 GHz sin causar interferencia deben proteger el SFS y el SF y no obstaculizar su desarrollo futuro</w:t>
      </w:r>
      <w:r w:rsidRPr="00825756">
        <w:rPr>
          <w:lang w:eastAsia="en-GB"/>
        </w:rPr>
        <w:t>.</w:t>
      </w:r>
    </w:p>
    <w:p w14:paraId="65C308D0" w14:textId="1F32E4A7" w:rsidR="003D5AEC" w:rsidRPr="00825756" w:rsidRDefault="003D5AEC" w:rsidP="003D5AEC">
      <w:pPr>
        <w:pStyle w:val="enumlev1"/>
        <w:rPr>
          <w:lang w:eastAsia="en-GB"/>
        </w:rPr>
      </w:pPr>
      <w:r w:rsidRPr="00825756">
        <w:rPr>
          <w:shd w:val="clear" w:color="auto" w:fill="FFFFFF"/>
          <w:lang w:eastAsia="en-GB"/>
        </w:rPr>
        <w:t>11)</w:t>
      </w:r>
      <w:r w:rsidRPr="00825756">
        <w:rPr>
          <w:shd w:val="clear" w:color="auto" w:fill="FFFFFF"/>
          <w:lang w:eastAsia="en-GB"/>
        </w:rPr>
        <w:tab/>
      </w:r>
      <w:r w:rsidR="00370DDC" w:rsidRPr="00825756">
        <w:rPr>
          <w:shd w:val="clear" w:color="auto" w:fill="FFFFFF"/>
          <w:lang w:eastAsia="en-GB"/>
        </w:rPr>
        <w:t xml:space="preserve">Algunas administraciones están </w:t>
      </w:r>
      <w:r w:rsidR="0063509B" w:rsidRPr="00825756">
        <w:rPr>
          <w:shd w:val="clear" w:color="auto" w:fill="FFFFFF"/>
          <w:lang w:eastAsia="en-GB"/>
        </w:rPr>
        <w:t>haciendo uso de</w:t>
      </w:r>
      <w:r w:rsidR="00370DDC" w:rsidRPr="00825756">
        <w:rPr>
          <w:shd w:val="clear" w:color="auto" w:fill="FFFFFF"/>
          <w:lang w:eastAsia="en-GB"/>
        </w:rPr>
        <w:t xml:space="preserve"> la banda de 1 200 MHz exenta de licencia con ancho de banda contiguo en </w:t>
      </w:r>
      <w:r w:rsidRPr="00825756">
        <w:rPr>
          <w:shd w:val="clear" w:color="auto" w:fill="FFFFFF"/>
          <w:lang w:eastAsia="en-GB"/>
        </w:rPr>
        <w:t>5</w:t>
      </w:r>
      <w:r w:rsidR="0063509B" w:rsidRPr="00825756">
        <w:rPr>
          <w:shd w:val="clear" w:color="auto" w:fill="FFFFFF"/>
          <w:lang w:eastAsia="en-GB"/>
        </w:rPr>
        <w:t> </w:t>
      </w:r>
      <w:r w:rsidRPr="00825756">
        <w:rPr>
          <w:shd w:val="clear" w:color="auto" w:fill="FFFFFF"/>
          <w:lang w:eastAsia="en-GB"/>
        </w:rPr>
        <w:t>925-</w:t>
      </w:r>
      <w:r w:rsidRPr="00825756">
        <w:t>7</w:t>
      </w:r>
      <w:r w:rsidR="0063509B" w:rsidRPr="00825756">
        <w:t> </w:t>
      </w:r>
      <w:r w:rsidRPr="00825756">
        <w:t>125</w:t>
      </w:r>
      <w:r w:rsidR="0063509B" w:rsidRPr="00825756">
        <w:rPr>
          <w:shd w:val="clear" w:color="auto" w:fill="FFFFFF"/>
          <w:lang w:eastAsia="en-GB"/>
        </w:rPr>
        <w:t> </w:t>
      </w:r>
      <w:r w:rsidRPr="00825756">
        <w:rPr>
          <w:shd w:val="clear" w:color="auto" w:fill="FFFFFF"/>
          <w:lang w:eastAsia="en-GB"/>
        </w:rPr>
        <w:t xml:space="preserve">MHz </w:t>
      </w:r>
      <w:r w:rsidR="00370DDC" w:rsidRPr="00825756">
        <w:rPr>
          <w:shd w:val="clear" w:color="auto" w:fill="FFFFFF"/>
          <w:lang w:eastAsia="en-GB"/>
        </w:rPr>
        <w:t xml:space="preserve">para promover la próxima generación de aplicaciones de Internet, mediante </w:t>
      </w:r>
      <w:r w:rsidR="00CE4331" w:rsidRPr="00825756">
        <w:rPr>
          <w:shd w:val="clear" w:color="auto" w:fill="FFFFFF"/>
          <w:lang w:eastAsia="en-GB"/>
        </w:rPr>
        <w:t>la utilización</w:t>
      </w:r>
      <w:r w:rsidR="00370DDC" w:rsidRPr="00825756">
        <w:rPr>
          <w:shd w:val="clear" w:color="auto" w:fill="FFFFFF"/>
          <w:lang w:eastAsia="en-GB"/>
        </w:rPr>
        <w:t xml:space="preserve"> de tecnologías que dependen de la conexión Wi-Fi</w:t>
      </w:r>
      <w:r w:rsidRPr="00825756">
        <w:rPr>
          <w:shd w:val="clear" w:color="auto" w:fill="FFFFFF"/>
          <w:lang w:eastAsia="en-GB"/>
        </w:rPr>
        <w:t xml:space="preserve">. </w:t>
      </w:r>
      <w:r w:rsidR="00370DDC" w:rsidRPr="00825756">
        <w:rPr>
          <w:shd w:val="clear" w:color="auto" w:fill="FFFFFF"/>
          <w:lang w:eastAsia="en-GB"/>
        </w:rPr>
        <w:t>Estas aplicaciones</w:t>
      </w:r>
      <w:r w:rsidR="006114A1" w:rsidRPr="00825756">
        <w:rPr>
          <w:shd w:val="clear" w:color="auto" w:fill="FFFFFF"/>
          <w:lang w:eastAsia="en-GB"/>
        </w:rPr>
        <w:t xml:space="preserve"> </w:t>
      </w:r>
      <w:r w:rsidR="002C63A3" w:rsidRPr="00825756">
        <w:rPr>
          <w:shd w:val="clear" w:color="auto" w:fill="FFFFFF"/>
          <w:lang w:eastAsia="en-GB"/>
        </w:rPr>
        <w:t xml:space="preserve">de </w:t>
      </w:r>
      <w:r w:rsidR="00370DDC" w:rsidRPr="00825756">
        <w:rPr>
          <w:rFonts w:eastAsia="Batang"/>
        </w:rPr>
        <w:t xml:space="preserve">entretenimiento, navegación, </w:t>
      </w:r>
      <w:r w:rsidR="002C63A3" w:rsidRPr="00825756">
        <w:rPr>
          <w:rFonts w:eastAsia="Batang"/>
        </w:rPr>
        <w:t xml:space="preserve">educativas, </w:t>
      </w:r>
      <w:r w:rsidR="00370DDC" w:rsidRPr="00825756">
        <w:rPr>
          <w:rFonts w:eastAsia="Batang"/>
        </w:rPr>
        <w:t>empresariales e industriales, diseño de productos</w:t>
      </w:r>
      <w:r w:rsidR="002C63A3" w:rsidRPr="00825756">
        <w:rPr>
          <w:rFonts w:eastAsia="Batang"/>
        </w:rPr>
        <w:t>, atención sanitaria, e-gobierno, automatización industrial, Io</w:t>
      </w:r>
      <w:r w:rsidR="006114A1" w:rsidRPr="00825756">
        <w:rPr>
          <w:rFonts w:eastAsia="Batang"/>
        </w:rPr>
        <w:t>T, vídeo en 3D e IA entre otros (</w:t>
      </w:r>
      <w:r w:rsidR="006114A1" w:rsidRPr="00825756">
        <w:rPr>
          <w:shd w:val="clear" w:color="auto" w:fill="FFFFFF"/>
          <w:lang w:eastAsia="en-GB"/>
        </w:rPr>
        <w:t xml:space="preserve">como </w:t>
      </w:r>
      <w:r w:rsidR="006114A1" w:rsidRPr="00825756">
        <w:rPr>
          <w:lang w:eastAsia="en-GB"/>
        </w:rPr>
        <w:t>AR/VR/XR)</w:t>
      </w:r>
      <w:r w:rsidR="002C63A3" w:rsidRPr="00825756">
        <w:rPr>
          <w:rFonts w:eastAsia="Batang"/>
        </w:rPr>
        <w:t xml:space="preserve"> requieren anchos de banda de canal más amplios</w:t>
      </w:r>
      <w:r w:rsidRPr="00825756">
        <w:rPr>
          <w:shd w:val="clear" w:color="auto" w:fill="FFFFFF"/>
          <w:lang w:eastAsia="en-GB"/>
        </w:rPr>
        <w:t>.</w:t>
      </w:r>
    </w:p>
    <w:p w14:paraId="06360D8D" w14:textId="5A61A5B1" w:rsidR="003D5AEC" w:rsidRPr="00825756" w:rsidRDefault="003D5AEC" w:rsidP="003D5AEC">
      <w:pPr>
        <w:pStyle w:val="enumlev1"/>
        <w:rPr>
          <w:lang w:eastAsia="en-GB"/>
        </w:rPr>
      </w:pPr>
      <w:r w:rsidRPr="00825756">
        <w:rPr>
          <w:lang w:eastAsia="en-GB"/>
        </w:rPr>
        <w:t>12)</w:t>
      </w:r>
      <w:r w:rsidRPr="00825756">
        <w:rPr>
          <w:lang w:eastAsia="en-GB"/>
        </w:rPr>
        <w:tab/>
      </w:r>
      <w:r w:rsidR="002C63A3" w:rsidRPr="00825756">
        <w:rPr>
          <w:lang w:eastAsia="en-GB"/>
        </w:rPr>
        <w:t>El UIT-R, en un intento de maximizar los beneficios derivados del uso del espectro, está revisando la Recomendación UIT</w:t>
      </w:r>
      <w:r w:rsidRPr="00825756">
        <w:rPr>
          <w:lang w:eastAsia="en-GB"/>
        </w:rPr>
        <w:t>-R M.1801-2</w:t>
      </w:r>
      <w:r w:rsidR="00244467" w:rsidRPr="00825756">
        <w:rPr>
          <w:lang w:eastAsia="en-GB"/>
        </w:rPr>
        <w:t xml:space="preserve">, </w:t>
      </w:r>
      <w:r w:rsidR="002C63A3" w:rsidRPr="00825756">
        <w:rPr>
          <w:bCs/>
          <w:lang w:eastAsia="en-GB"/>
        </w:rPr>
        <w:t>Normas de interfaz radioeléctrica para sistemas de acceso inalámbrico de banda ancha, incluidas aplicaciones móviles y nómadas en el servicio móvil</w:t>
      </w:r>
      <w:r w:rsidRPr="00825756">
        <w:rPr>
          <w:lang w:eastAsia="en-GB"/>
        </w:rPr>
        <w:t xml:space="preserve">. </w:t>
      </w:r>
      <w:r w:rsidR="002C63A3" w:rsidRPr="00825756">
        <w:rPr>
          <w:lang w:eastAsia="en-GB"/>
        </w:rPr>
        <w:t xml:space="preserve">Esta revisión refleja los empeños por determinar la norma más adecuada para </w:t>
      </w:r>
      <w:r w:rsidR="00874B0A" w:rsidRPr="00825756">
        <w:rPr>
          <w:lang w:eastAsia="en-GB"/>
        </w:rPr>
        <w:t>permitir</w:t>
      </w:r>
      <w:r w:rsidR="002C63A3" w:rsidRPr="00825756">
        <w:rPr>
          <w:lang w:eastAsia="en-GB"/>
        </w:rPr>
        <w:t xml:space="preserve"> una gran variedad de datos de </w:t>
      </w:r>
      <w:r w:rsidR="00A54584" w:rsidRPr="00825756">
        <w:rPr>
          <w:lang w:eastAsia="en-GB"/>
        </w:rPr>
        <w:t>I</w:t>
      </w:r>
      <w:r w:rsidR="002C63A3" w:rsidRPr="00825756">
        <w:rPr>
          <w:lang w:eastAsia="en-GB"/>
        </w:rPr>
        <w:t xml:space="preserve">nternet de banda ancha y datos en tiempo real </w:t>
      </w:r>
      <w:r w:rsidR="00D720E7" w:rsidRPr="00825756">
        <w:rPr>
          <w:lang w:eastAsia="en-GB"/>
        </w:rPr>
        <w:t>de zonas urbanas, suburbanas y rurales, identificando</w:t>
      </w:r>
      <w:r w:rsidR="002C63A3" w:rsidRPr="00825756">
        <w:rPr>
          <w:lang w:eastAsia="en-GB"/>
        </w:rPr>
        <w:t xml:space="preserve"> los sistemas de acceso </w:t>
      </w:r>
      <w:r w:rsidR="00D720E7" w:rsidRPr="00825756">
        <w:rPr>
          <w:lang w:eastAsia="en-GB"/>
        </w:rPr>
        <w:t xml:space="preserve">inalámbrico </w:t>
      </w:r>
      <w:r w:rsidR="002C63A3" w:rsidRPr="00825756">
        <w:rPr>
          <w:lang w:eastAsia="en-GB"/>
        </w:rPr>
        <w:t xml:space="preserve">de banda ancha </w:t>
      </w:r>
      <w:r w:rsidR="00D720E7" w:rsidRPr="00825756">
        <w:rPr>
          <w:lang w:eastAsia="en-GB"/>
        </w:rPr>
        <w:t xml:space="preserve">en </w:t>
      </w:r>
      <w:r w:rsidR="002C63A3" w:rsidRPr="00825756">
        <w:rPr>
          <w:lang w:eastAsia="en-GB"/>
        </w:rPr>
        <w:t>el servicio móvil en la parte superior de la banda de frecuencias de 6 GHz</w:t>
      </w:r>
      <w:r w:rsidRPr="00825756">
        <w:rPr>
          <w:lang w:eastAsia="en-GB"/>
        </w:rPr>
        <w:t>.</w:t>
      </w:r>
    </w:p>
    <w:p w14:paraId="62B2829B" w14:textId="2532D7F1" w:rsidR="003D5AEC" w:rsidRPr="00825756" w:rsidRDefault="003D5AEC" w:rsidP="003D5AEC">
      <w:pPr>
        <w:pStyle w:val="enumlev1"/>
        <w:rPr>
          <w:lang w:eastAsia="en-GB"/>
        </w:rPr>
      </w:pPr>
      <w:r w:rsidRPr="00825756">
        <w:rPr>
          <w:lang w:eastAsia="en-GB"/>
        </w:rPr>
        <w:t>13)</w:t>
      </w:r>
      <w:r w:rsidRPr="00825756">
        <w:rPr>
          <w:lang w:eastAsia="en-GB"/>
        </w:rPr>
        <w:tab/>
      </w:r>
      <w:r w:rsidR="00011BC4" w:rsidRPr="00825756">
        <w:rPr>
          <w:lang w:eastAsia="en-GB"/>
        </w:rPr>
        <w:t>Las decision</w:t>
      </w:r>
      <w:r w:rsidR="00DA30CF" w:rsidRPr="00825756">
        <w:rPr>
          <w:lang w:eastAsia="en-GB"/>
        </w:rPr>
        <w:t>e</w:t>
      </w:r>
      <w:r w:rsidR="00011BC4" w:rsidRPr="00825756">
        <w:rPr>
          <w:lang w:eastAsia="en-GB"/>
        </w:rPr>
        <w:t xml:space="preserve">s de la CMR-23 deben tener en cuenta los principios establecidos en la Recomendación </w:t>
      </w:r>
      <w:r w:rsidRPr="00825756">
        <w:rPr>
          <w:b/>
          <w:bCs/>
          <w:lang w:eastAsia="en-GB"/>
        </w:rPr>
        <w:t>34 (Rev.</w:t>
      </w:r>
      <w:r w:rsidR="00011BC4" w:rsidRPr="00825756">
        <w:rPr>
          <w:b/>
          <w:bCs/>
          <w:lang w:eastAsia="en-GB"/>
        </w:rPr>
        <w:t>CMR-12)</w:t>
      </w:r>
      <w:r w:rsidR="00011BC4" w:rsidRPr="00825756">
        <w:t>,</w:t>
      </w:r>
      <w:bookmarkStart w:id="6" w:name="_Toc320536625"/>
      <w:bookmarkStart w:id="7" w:name="_Toc328141528"/>
      <w:bookmarkStart w:id="8" w:name="_Toc39735130"/>
      <w:r w:rsidR="00011BC4" w:rsidRPr="00825756">
        <w:t xml:space="preserve"> Principios para la atribución de bandas de frecuencias</w:t>
      </w:r>
      <w:bookmarkEnd w:id="6"/>
      <w:bookmarkEnd w:id="7"/>
      <w:bookmarkEnd w:id="8"/>
      <w:r w:rsidR="00011BC4" w:rsidRPr="00825756">
        <w:rPr>
          <w:lang w:eastAsia="en-GB"/>
        </w:rPr>
        <w:t>,</w:t>
      </w:r>
      <w:r w:rsidRPr="00825756">
        <w:rPr>
          <w:lang w:eastAsia="en-GB"/>
        </w:rPr>
        <w:t xml:space="preserve"> </w:t>
      </w:r>
      <w:r w:rsidR="00011BC4" w:rsidRPr="00825756">
        <w:rPr>
          <w:lang w:eastAsia="en-GB"/>
        </w:rPr>
        <w:t xml:space="preserve">que </w:t>
      </w:r>
      <w:r w:rsidR="00255D63" w:rsidRPr="00825756">
        <w:rPr>
          <w:lang w:eastAsia="en-GB"/>
        </w:rPr>
        <w:t xml:space="preserve">incluye </w:t>
      </w:r>
      <w:r w:rsidR="00011BC4" w:rsidRPr="00825756">
        <w:rPr>
          <w:lang w:eastAsia="en-GB"/>
        </w:rPr>
        <w:t>lo siguiente</w:t>
      </w:r>
      <w:r w:rsidRPr="00825756">
        <w:rPr>
          <w:lang w:eastAsia="en-GB"/>
        </w:rPr>
        <w:t>:</w:t>
      </w:r>
    </w:p>
    <w:p w14:paraId="754970D6" w14:textId="079B30C0" w:rsidR="003D5AEC" w:rsidRPr="00660A29" w:rsidRDefault="003D5AEC" w:rsidP="003D5AEC">
      <w:pPr>
        <w:rPr>
          <w:i/>
        </w:rPr>
      </w:pPr>
      <w:r w:rsidRPr="00825756">
        <w:rPr>
          <w:i/>
          <w:iCs/>
          <w:lang w:eastAsia="en-GB"/>
        </w:rPr>
        <w:tab/>
      </w:r>
      <w:r w:rsidR="00825756">
        <w:rPr>
          <w:iCs/>
          <w:lang w:eastAsia="en-GB"/>
        </w:rPr>
        <w:t>«</w:t>
      </w:r>
      <w:r w:rsidRPr="00660A29">
        <w:rPr>
          <w:i/>
          <w:lang w:eastAsia="en-GB"/>
        </w:rPr>
        <w:t>(…) </w:t>
      </w:r>
    </w:p>
    <w:p w14:paraId="1D7ABD9A" w14:textId="61100EA9" w:rsidR="003D5AEC" w:rsidRPr="00660A29" w:rsidRDefault="003D5AEC" w:rsidP="003D5AEC">
      <w:pPr>
        <w:rPr>
          <w:i/>
        </w:rPr>
      </w:pPr>
      <w:r w:rsidRPr="00825756">
        <w:rPr>
          <w:i/>
          <w:iCs/>
          <w:lang w:eastAsia="en-GB"/>
        </w:rPr>
        <w:t> </w:t>
      </w:r>
      <w:r w:rsidRPr="00825756">
        <w:rPr>
          <w:i/>
          <w:iCs/>
          <w:lang w:eastAsia="en-GB"/>
        </w:rPr>
        <w:tab/>
      </w:r>
      <w:r w:rsidRPr="00660A29">
        <w:rPr>
          <w:i/>
        </w:rPr>
        <w:t>recomienda que las futuras conferencias mundiales de radiocomunicaciones</w:t>
      </w:r>
      <w:r w:rsidRPr="00660A29">
        <w:rPr>
          <w:i/>
          <w:lang w:eastAsia="en-GB"/>
        </w:rPr>
        <w:t xml:space="preserve">   </w:t>
      </w:r>
    </w:p>
    <w:p w14:paraId="08C87A2A" w14:textId="28A08A14" w:rsidR="003D5AEC" w:rsidRPr="00660A29" w:rsidRDefault="003D5AEC" w:rsidP="003D5AEC">
      <w:pPr>
        <w:ind w:left="1134" w:hanging="1134"/>
        <w:rPr>
          <w:i/>
        </w:rPr>
      </w:pPr>
      <w:r w:rsidRPr="00660A29">
        <w:rPr>
          <w:i/>
          <w:lang w:eastAsia="en-GB"/>
        </w:rPr>
        <w:tab/>
        <w:t>1</w:t>
      </w:r>
      <w:r w:rsidRPr="00660A29">
        <w:rPr>
          <w:rFonts w:ascii="Calibri" w:hAnsi="Calibri" w:cs="Calibri"/>
          <w:i/>
          <w:lang w:eastAsia="en-GB"/>
        </w:rPr>
        <w:tab/>
      </w:r>
      <w:r w:rsidRPr="00660A29">
        <w:rPr>
          <w:i/>
        </w:rPr>
        <w:t>siempre que sea posible, atribuyan bandas de frecuencias a los servicios definidos en acepción amplia, con el fin de proporcionar a las administraciones la mayor flexibilidad para utilizar el espectro, teniendo en cuenta los factores de seguridad, técnicos, de explotación, económicos y otros pertinentes</w:t>
      </w:r>
      <w:r w:rsidR="00825756" w:rsidRPr="00660A29">
        <w:rPr>
          <w:i/>
          <w:lang w:eastAsia="en-GB"/>
        </w:rPr>
        <w:t>»</w:t>
      </w:r>
      <w:r w:rsidRPr="00660A29">
        <w:rPr>
          <w:i/>
          <w:lang w:eastAsia="en-GB"/>
        </w:rPr>
        <w:t>;</w:t>
      </w:r>
      <w:r w:rsidRPr="00660A29">
        <w:rPr>
          <w:i/>
        </w:rPr>
        <w:t> </w:t>
      </w:r>
    </w:p>
    <w:p w14:paraId="0E036019" w14:textId="77777777" w:rsidR="003D5AEC" w:rsidRPr="00660A29" w:rsidRDefault="003D5AEC" w:rsidP="003D5AEC">
      <w:pPr>
        <w:rPr>
          <w:i/>
        </w:rPr>
      </w:pPr>
      <w:r w:rsidRPr="00660A29">
        <w:rPr>
          <w:i/>
          <w:lang w:eastAsia="en-GB"/>
        </w:rPr>
        <w:tab/>
        <w:t>(…) </w:t>
      </w:r>
    </w:p>
    <w:p w14:paraId="328A5375" w14:textId="3C75F162" w:rsidR="003D5AEC" w:rsidRPr="00660A29" w:rsidRDefault="003D5AEC" w:rsidP="003D5AEC">
      <w:pPr>
        <w:ind w:left="1134" w:hanging="1134"/>
        <w:rPr>
          <w:rFonts w:ascii="Segoe UI" w:hAnsi="Segoe UI" w:cs="Segoe UI"/>
          <w:i/>
          <w:sz w:val="18"/>
          <w:szCs w:val="18"/>
          <w:lang w:eastAsia="en-GB"/>
        </w:rPr>
      </w:pPr>
      <w:r w:rsidRPr="00660A29">
        <w:rPr>
          <w:i/>
          <w:lang w:eastAsia="en-GB"/>
        </w:rPr>
        <w:tab/>
        <w:t>4</w:t>
      </w:r>
      <w:r w:rsidRPr="00660A29">
        <w:rPr>
          <w:rFonts w:ascii="Calibri" w:hAnsi="Calibri" w:cs="Calibri"/>
          <w:i/>
          <w:lang w:eastAsia="en-GB"/>
        </w:rPr>
        <w:tab/>
      </w:r>
      <w:r w:rsidRPr="00660A29">
        <w:rPr>
          <w:i/>
        </w:rPr>
        <w:t>tengan en cuenta los estudios pertinentes del Sector de Radiocomunicaciones y los Informe(s) de las Reuniones Preparatorias de la Conferencia (RPC) pertinentes, según proceda,</w:t>
      </w:r>
      <w:r w:rsidRPr="00660A29">
        <w:rPr>
          <w:i/>
          <w:color w:val="000000"/>
        </w:rPr>
        <w:t xml:space="preserve"> teniendo en cuenta también las contribuciones de los miembros, incluidas la evolución, las previsiones y utilizaciones técnicas y operativas conforme al orden del día de la CMR</w:t>
      </w:r>
      <w:r w:rsidRPr="00660A29">
        <w:rPr>
          <w:i/>
          <w:lang w:eastAsia="en-GB"/>
        </w:rPr>
        <w:t>,  </w:t>
      </w:r>
    </w:p>
    <w:p w14:paraId="7FB08811" w14:textId="77777777" w:rsidR="003D5AEC" w:rsidRPr="00660A29" w:rsidRDefault="003D5AEC" w:rsidP="003D5AEC">
      <w:pPr>
        <w:ind w:left="1134" w:hanging="1134"/>
        <w:rPr>
          <w:i/>
        </w:rPr>
      </w:pPr>
      <w:r w:rsidRPr="00660A29">
        <w:rPr>
          <w:i/>
          <w:lang w:eastAsia="en-GB"/>
        </w:rPr>
        <w:tab/>
        <w:t>(…)</w:t>
      </w:r>
      <w:r w:rsidRPr="00660A29">
        <w:rPr>
          <w:i/>
        </w:rPr>
        <w:t> </w:t>
      </w:r>
    </w:p>
    <w:p w14:paraId="3260E8D7" w14:textId="3DBABC08" w:rsidR="003D5AEC" w:rsidRPr="00660A29" w:rsidRDefault="003D5AEC" w:rsidP="003D5AEC">
      <w:pPr>
        <w:ind w:left="1134" w:hanging="1134"/>
        <w:rPr>
          <w:rFonts w:ascii="Segoe UI" w:hAnsi="Segoe UI" w:cs="Segoe UI"/>
          <w:i/>
          <w:sz w:val="18"/>
          <w:szCs w:val="18"/>
          <w:lang w:eastAsia="en-GB"/>
        </w:rPr>
      </w:pPr>
      <w:r w:rsidRPr="00660A29">
        <w:rPr>
          <w:i/>
          <w:lang w:eastAsia="en-GB"/>
        </w:rPr>
        <w:tab/>
      </w:r>
      <w:r w:rsidRPr="00660A29">
        <w:rPr>
          <w:i/>
        </w:rPr>
        <w:t>encarga al Director de la Oficina de Radiocomunicaciones y pide a las Comisiones de Estudio de Radiocomunicaciones</w:t>
      </w:r>
    </w:p>
    <w:p w14:paraId="4AD152E7" w14:textId="77777777" w:rsidR="003D5AEC" w:rsidRPr="00660A29" w:rsidRDefault="003D5AEC" w:rsidP="003D5AEC">
      <w:pPr>
        <w:rPr>
          <w:i/>
        </w:rPr>
      </w:pPr>
      <w:r w:rsidRPr="00660A29">
        <w:rPr>
          <w:i/>
          <w:lang w:eastAsia="en-GB"/>
        </w:rPr>
        <w:tab/>
        <w:t>(…)</w:t>
      </w:r>
      <w:r w:rsidRPr="00660A29">
        <w:rPr>
          <w:i/>
        </w:rPr>
        <w:t> </w:t>
      </w:r>
    </w:p>
    <w:p w14:paraId="5B6636BE" w14:textId="31DDD830" w:rsidR="003D5AEC" w:rsidRPr="00825756" w:rsidRDefault="003D5AEC" w:rsidP="003D5AEC">
      <w:pPr>
        <w:ind w:left="1134" w:hanging="1134"/>
      </w:pPr>
      <w:r w:rsidRPr="00660A29">
        <w:rPr>
          <w:i/>
          <w:lang w:eastAsia="en-GB"/>
        </w:rPr>
        <w:tab/>
        <w:t>2</w:t>
      </w:r>
      <w:r w:rsidRPr="00660A29">
        <w:rPr>
          <w:rFonts w:ascii="Calibri" w:hAnsi="Calibri" w:cs="Calibri"/>
          <w:i/>
          <w:lang w:eastAsia="en-GB"/>
        </w:rPr>
        <w:tab/>
      </w:r>
      <w:r w:rsidRPr="00660A29">
        <w:rPr>
          <w:i/>
        </w:rPr>
        <w:t>que lleven a cabo dichos estudios con la participación de la Organización de Aviación Civil Internacional (OACI), la Organización Marítima Internacional (OMI), la Organización Meteorológica Mundial (OMM) y otras organizaciones internacionales interesadas, según proceda</w:t>
      </w:r>
      <w:r w:rsidRPr="00660A29">
        <w:rPr>
          <w:i/>
          <w:lang w:eastAsia="en-GB"/>
        </w:rPr>
        <w:t>;</w:t>
      </w:r>
      <w:r w:rsidR="00825756">
        <w:rPr>
          <w:iCs/>
          <w:lang w:eastAsia="en-GB"/>
        </w:rPr>
        <w:t>»</w:t>
      </w:r>
      <w:r w:rsidRPr="00825756">
        <w:t> </w:t>
      </w:r>
    </w:p>
    <w:p w14:paraId="7B4EF428" w14:textId="22000187" w:rsidR="003D5AEC" w:rsidRPr="00825756" w:rsidRDefault="00A27736" w:rsidP="003D5AEC">
      <w:pPr>
        <w:rPr>
          <w:rFonts w:eastAsia="Calibri"/>
          <w:iCs/>
        </w:rPr>
      </w:pPr>
      <w:r w:rsidRPr="00825756">
        <w:rPr>
          <w:rFonts w:eastAsia="Batang"/>
        </w:rPr>
        <w:lastRenderedPageBreak/>
        <w:t xml:space="preserve">Habida cuenta de lo anterior, las Administraciones cofirmantes respaldan los Métodos 4A y 5A sin cambios </w:t>
      </w:r>
      <w:r w:rsidR="00244467" w:rsidRPr="00825756">
        <w:rPr>
          <w:rFonts w:eastAsia="Batang"/>
        </w:rPr>
        <w:t xml:space="preserve">(NOC) </w:t>
      </w:r>
      <w:r w:rsidRPr="00825756">
        <w:rPr>
          <w:rFonts w:eastAsia="Batang"/>
        </w:rPr>
        <w:t>en la</w:t>
      </w:r>
      <w:r w:rsidR="00011BC4" w:rsidRPr="00825756">
        <w:rPr>
          <w:rFonts w:eastAsia="Batang"/>
        </w:rPr>
        <w:t>s</w:t>
      </w:r>
      <w:r w:rsidRPr="00825756">
        <w:rPr>
          <w:rFonts w:eastAsia="Batang"/>
        </w:rPr>
        <w:t xml:space="preserve"> atribuciones en la banda de frecuencias </w:t>
      </w:r>
      <w:r w:rsidRPr="00825756">
        <w:rPr>
          <w:rFonts w:eastAsia="Calibri"/>
          <w:iCs/>
        </w:rPr>
        <w:t>6 </w:t>
      </w:r>
      <w:r w:rsidR="003D5AEC" w:rsidRPr="00825756">
        <w:rPr>
          <w:rFonts w:eastAsia="Calibri"/>
          <w:iCs/>
        </w:rPr>
        <w:t>425-7</w:t>
      </w:r>
      <w:r w:rsidRPr="00825756">
        <w:rPr>
          <w:rFonts w:eastAsia="Calibri"/>
          <w:iCs/>
        </w:rPr>
        <w:t> 125 </w:t>
      </w:r>
      <w:r w:rsidR="003D5AEC" w:rsidRPr="00825756">
        <w:rPr>
          <w:rFonts w:eastAsia="Calibri"/>
          <w:iCs/>
        </w:rPr>
        <w:t>MHz.</w:t>
      </w:r>
    </w:p>
    <w:p w14:paraId="1EF99A45" w14:textId="0D72B957" w:rsidR="003D5AEC" w:rsidRPr="00825756" w:rsidRDefault="003D5AEC" w:rsidP="00EA0CD5">
      <w:pPr>
        <w:pStyle w:val="Heading1"/>
        <w:rPr>
          <w:rFonts w:eastAsia="Batang"/>
        </w:rPr>
      </w:pPr>
      <w:r w:rsidRPr="00825756">
        <w:rPr>
          <w:rFonts w:eastAsia="Batang"/>
        </w:rPr>
        <w:t>2</w:t>
      </w:r>
      <w:r w:rsidRPr="00825756">
        <w:rPr>
          <w:rFonts w:eastAsia="Batang"/>
        </w:rPr>
        <w:tab/>
      </w:r>
      <w:r w:rsidR="00D25D85" w:rsidRPr="00825756">
        <w:rPr>
          <w:rFonts w:eastAsia="Batang"/>
        </w:rPr>
        <w:t>Propuestas</w:t>
      </w:r>
    </w:p>
    <w:p w14:paraId="68A006BB" w14:textId="77777777" w:rsidR="003D5AEC" w:rsidRPr="00825756" w:rsidRDefault="003D5AEC" w:rsidP="003D5AEC"/>
    <w:p w14:paraId="5E2F2094" w14:textId="77777777" w:rsidR="003D5AEC" w:rsidRPr="00825756" w:rsidRDefault="003D5AEC" w:rsidP="003D5AEC">
      <w:pPr>
        <w:tabs>
          <w:tab w:val="clear" w:pos="1134"/>
          <w:tab w:val="clear" w:pos="1871"/>
          <w:tab w:val="clear" w:pos="2268"/>
        </w:tabs>
        <w:overflowPunct/>
        <w:autoSpaceDE/>
        <w:autoSpaceDN/>
        <w:adjustRightInd/>
        <w:spacing w:before="0"/>
        <w:textAlignment w:val="auto"/>
      </w:pPr>
      <w:r w:rsidRPr="00825756">
        <w:br w:type="page"/>
      </w:r>
    </w:p>
    <w:p w14:paraId="53070855" w14:textId="77777777" w:rsidR="00370DDC" w:rsidRPr="00825756" w:rsidRDefault="00F50B7B" w:rsidP="00EA0CD5">
      <w:pPr>
        <w:pStyle w:val="ArtNo"/>
      </w:pPr>
      <w:bookmarkStart w:id="9" w:name="_Toc48141301"/>
      <w:r w:rsidRPr="00825756">
        <w:lastRenderedPageBreak/>
        <w:t xml:space="preserve">ARTÍCULO </w:t>
      </w:r>
      <w:r w:rsidRPr="00825756">
        <w:rPr>
          <w:rStyle w:val="href"/>
        </w:rPr>
        <w:t>5</w:t>
      </w:r>
      <w:bookmarkEnd w:id="9"/>
    </w:p>
    <w:p w14:paraId="4FD78084" w14:textId="77777777" w:rsidR="00370DDC" w:rsidRPr="00825756" w:rsidRDefault="00F50B7B" w:rsidP="00370DDC">
      <w:pPr>
        <w:pStyle w:val="Arttitle"/>
      </w:pPr>
      <w:bookmarkStart w:id="10" w:name="_Toc48141302"/>
      <w:r w:rsidRPr="00825756">
        <w:t>Atribuciones de frecuencia</w:t>
      </w:r>
      <w:bookmarkEnd w:id="10"/>
    </w:p>
    <w:p w14:paraId="196A276A" w14:textId="77777777" w:rsidR="00370DDC" w:rsidRPr="00825756" w:rsidRDefault="00F50B7B" w:rsidP="00370DDC">
      <w:pPr>
        <w:pStyle w:val="Section1"/>
      </w:pPr>
      <w:r w:rsidRPr="00825756">
        <w:t>Sección IV – Cuadro de atribución de bandas de frecuencias</w:t>
      </w:r>
      <w:r w:rsidRPr="00825756">
        <w:br/>
      </w:r>
      <w:r w:rsidRPr="00825756">
        <w:rPr>
          <w:b w:val="0"/>
          <w:bCs/>
        </w:rPr>
        <w:t>(Véase el número</w:t>
      </w:r>
      <w:r w:rsidRPr="00825756">
        <w:t xml:space="preserve"> </w:t>
      </w:r>
      <w:r w:rsidRPr="00825756">
        <w:rPr>
          <w:rStyle w:val="Artref"/>
        </w:rPr>
        <w:t>2.1</w:t>
      </w:r>
      <w:r w:rsidRPr="00825756">
        <w:rPr>
          <w:b w:val="0"/>
          <w:bCs/>
        </w:rPr>
        <w:t>)</w:t>
      </w:r>
      <w:r w:rsidRPr="00825756">
        <w:br/>
      </w:r>
    </w:p>
    <w:p w14:paraId="1876D0B9" w14:textId="77777777" w:rsidR="00F656BB" w:rsidRPr="00E10733" w:rsidRDefault="00F50B7B" w:rsidP="00EA0CD5">
      <w:pPr>
        <w:pStyle w:val="Proposal"/>
        <w:rPr>
          <w:lang w:val="en-GB"/>
        </w:rPr>
      </w:pPr>
      <w:r w:rsidRPr="00E10733">
        <w:rPr>
          <w:u w:val="single"/>
          <w:lang w:val="en-GB"/>
        </w:rPr>
        <w:t>NOC</w:t>
      </w:r>
      <w:r w:rsidRPr="00E10733">
        <w:rPr>
          <w:lang w:val="en-GB"/>
        </w:rPr>
        <w:tab/>
        <w:t>ARS/LBY/QAT/SMO/SOM/175/1</w:t>
      </w:r>
    </w:p>
    <w:p w14:paraId="2131FA10" w14:textId="77777777" w:rsidR="00370DDC" w:rsidRPr="00825756" w:rsidRDefault="00F50B7B" w:rsidP="00EA0CD5">
      <w:pPr>
        <w:pStyle w:val="Tabletitle"/>
      </w:pPr>
      <w:r w:rsidRPr="00825756">
        <w:t>5 570-6 700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370DDC" w:rsidRPr="00825756" w14:paraId="2B91AB1B" w14:textId="77777777" w:rsidTr="00370DDC">
        <w:trPr>
          <w:cantSplit/>
        </w:trPr>
        <w:tc>
          <w:tcPr>
            <w:tcW w:w="9304" w:type="dxa"/>
            <w:gridSpan w:val="3"/>
            <w:tcBorders>
              <w:top w:val="single" w:sz="6" w:space="0" w:color="auto"/>
              <w:left w:val="single" w:sz="6" w:space="0" w:color="auto"/>
              <w:bottom w:val="single" w:sz="6" w:space="0" w:color="auto"/>
              <w:right w:val="single" w:sz="6" w:space="0" w:color="auto"/>
            </w:tcBorders>
          </w:tcPr>
          <w:p w14:paraId="1552FBC7" w14:textId="77777777" w:rsidR="00370DDC" w:rsidRPr="00825756" w:rsidRDefault="00F50B7B" w:rsidP="00EA0CD5">
            <w:pPr>
              <w:pStyle w:val="Tablehead"/>
            </w:pPr>
            <w:r w:rsidRPr="00825756">
              <w:t>Atribución a los servicios</w:t>
            </w:r>
          </w:p>
        </w:tc>
      </w:tr>
      <w:tr w:rsidR="00370DDC" w:rsidRPr="00825756" w14:paraId="6E179FED" w14:textId="77777777" w:rsidTr="00370DDC">
        <w:trPr>
          <w:cantSplit/>
        </w:trPr>
        <w:tc>
          <w:tcPr>
            <w:tcW w:w="3101" w:type="dxa"/>
            <w:tcBorders>
              <w:top w:val="single" w:sz="6" w:space="0" w:color="auto"/>
              <w:left w:val="single" w:sz="6" w:space="0" w:color="auto"/>
              <w:bottom w:val="single" w:sz="6" w:space="0" w:color="auto"/>
              <w:right w:val="single" w:sz="6" w:space="0" w:color="auto"/>
            </w:tcBorders>
          </w:tcPr>
          <w:p w14:paraId="0E5DEBED" w14:textId="77777777" w:rsidR="00370DDC" w:rsidRPr="00825756" w:rsidRDefault="00F50B7B" w:rsidP="00EA0CD5">
            <w:pPr>
              <w:pStyle w:val="Tablehead"/>
            </w:pPr>
            <w:r w:rsidRPr="00825756">
              <w:t>Región 1</w:t>
            </w:r>
          </w:p>
        </w:tc>
        <w:tc>
          <w:tcPr>
            <w:tcW w:w="3101" w:type="dxa"/>
            <w:tcBorders>
              <w:top w:val="single" w:sz="6" w:space="0" w:color="auto"/>
              <w:left w:val="single" w:sz="6" w:space="0" w:color="auto"/>
              <w:bottom w:val="single" w:sz="6" w:space="0" w:color="auto"/>
              <w:right w:val="single" w:sz="6" w:space="0" w:color="auto"/>
            </w:tcBorders>
          </w:tcPr>
          <w:p w14:paraId="443090A7" w14:textId="77777777" w:rsidR="00370DDC" w:rsidRPr="00825756" w:rsidRDefault="00F50B7B" w:rsidP="00EA0CD5">
            <w:pPr>
              <w:pStyle w:val="Tablehead"/>
            </w:pPr>
            <w:r w:rsidRPr="00825756">
              <w:t>Región 2</w:t>
            </w:r>
          </w:p>
        </w:tc>
        <w:tc>
          <w:tcPr>
            <w:tcW w:w="3102" w:type="dxa"/>
            <w:tcBorders>
              <w:top w:val="single" w:sz="6" w:space="0" w:color="auto"/>
              <w:left w:val="single" w:sz="6" w:space="0" w:color="auto"/>
              <w:bottom w:val="single" w:sz="6" w:space="0" w:color="auto"/>
              <w:right w:val="single" w:sz="6" w:space="0" w:color="auto"/>
            </w:tcBorders>
          </w:tcPr>
          <w:p w14:paraId="162A414B" w14:textId="77777777" w:rsidR="00370DDC" w:rsidRPr="00825756" w:rsidRDefault="00F50B7B" w:rsidP="00EA0CD5">
            <w:pPr>
              <w:pStyle w:val="Tablehead"/>
            </w:pPr>
            <w:r w:rsidRPr="00825756">
              <w:t>Región 3</w:t>
            </w:r>
          </w:p>
        </w:tc>
      </w:tr>
      <w:tr w:rsidR="00370DDC" w:rsidRPr="00825756" w14:paraId="64772616" w14:textId="77777777" w:rsidTr="00370DDC">
        <w:trPr>
          <w:cantSplit/>
        </w:trPr>
        <w:tc>
          <w:tcPr>
            <w:tcW w:w="9304" w:type="dxa"/>
            <w:gridSpan w:val="3"/>
            <w:tcBorders>
              <w:top w:val="single" w:sz="6" w:space="0" w:color="auto"/>
              <w:left w:val="single" w:sz="6" w:space="0" w:color="auto"/>
              <w:bottom w:val="single" w:sz="6" w:space="0" w:color="auto"/>
              <w:right w:val="single" w:sz="6" w:space="0" w:color="auto"/>
            </w:tcBorders>
          </w:tcPr>
          <w:p w14:paraId="4305F8AD" w14:textId="77777777" w:rsidR="00370DDC" w:rsidRPr="00825756" w:rsidRDefault="00F50B7B" w:rsidP="00370DDC">
            <w:pPr>
              <w:pStyle w:val="TableTextS5"/>
              <w:spacing w:before="20" w:after="20"/>
              <w:rPr>
                <w:color w:val="000000"/>
              </w:rPr>
            </w:pPr>
            <w:r w:rsidRPr="00825756">
              <w:rPr>
                <w:rStyle w:val="Tablefreq"/>
                <w:color w:val="000000"/>
              </w:rPr>
              <w:t>5 925-6 700</w:t>
            </w:r>
            <w:r w:rsidRPr="00825756">
              <w:rPr>
                <w:color w:val="000000"/>
              </w:rPr>
              <w:tab/>
              <w:t>FIJO  5.457</w:t>
            </w:r>
          </w:p>
          <w:p w14:paraId="5721EAE6" w14:textId="77777777" w:rsidR="00370DDC" w:rsidRPr="00825756" w:rsidRDefault="00F50B7B" w:rsidP="00370DDC">
            <w:pPr>
              <w:pStyle w:val="TableTextS5"/>
              <w:spacing w:before="20" w:after="20"/>
              <w:rPr>
                <w:color w:val="000000"/>
              </w:rPr>
            </w:pPr>
            <w:r w:rsidRPr="00825756">
              <w:rPr>
                <w:color w:val="000000"/>
              </w:rPr>
              <w:tab/>
            </w:r>
            <w:r w:rsidRPr="00825756">
              <w:rPr>
                <w:color w:val="000000"/>
              </w:rPr>
              <w:tab/>
            </w:r>
            <w:r w:rsidRPr="00825756">
              <w:rPr>
                <w:color w:val="000000"/>
              </w:rPr>
              <w:tab/>
            </w:r>
            <w:r w:rsidRPr="00825756">
              <w:rPr>
                <w:color w:val="000000"/>
              </w:rPr>
              <w:tab/>
              <w:t xml:space="preserve">FIJO POR SATÉLITE (Tierra-espacio)  </w:t>
            </w:r>
            <w:r w:rsidRPr="00825756">
              <w:rPr>
                <w:rStyle w:val="Artref"/>
                <w:color w:val="000000"/>
              </w:rPr>
              <w:t>5.457A</w:t>
            </w:r>
            <w:r w:rsidRPr="00825756">
              <w:rPr>
                <w:color w:val="000000"/>
              </w:rPr>
              <w:t xml:space="preserve">  </w:t>
            </w:r>
            <w:r w:rsidRPr="00825756">
              <w:rPr>
                <w:rStyle w:val="Artref"/>
                <w:color w:val="000000"/>
              </w:rPr>
              <w:t>5.457B</w:t>
            </w:r>
          </w:p>
          <w:p w14:paraId="4B3D6287" w14:textId="77777777" w:rsidR="00370DDC" w:rsidRPr="00825756" w:rsidRDefault="00F50B7B" w:rsidP="00370DDC">
            <w:pPr>
              <w:pStyle w:val="TableTextS5"/>
              <w:spacing w:before="20" w:after="20"/>
              <w:rPr>
                <w:color w:val="000000"/>
              </w:rPr>
            </w:pPr>
            <w:r w:rsidRPr="00825756">
              <w:rPr>
                <w:color w:val="000000"/>
              </w:rPr>
              <w:tab/>
            </w:r>
            <w:r w:rsidRPr="00825756">
              <w:rPr>
                <w:color w:val="000000"/>
              </w:rPr>
              <w:tab/>
            </w:r>
            <w:r w:rsidRPr="00825756">
              <w:rPr>
                <w:color w:val="000000"/>
              </w:rPr>
              <w:tab/>
            </w:r>
            <w:r w:rsidRPr="00825756">
              <w:rPr>
                <w:color w:val="000000"/>
              </w:rPr>
              <w:tab/>
              <w:t>MÓVIL  5.457C</w:t>
            </w:r>
          </w:p>
          <w:p w14:paraId="0CF9C13E" w14:textId="77777777" w:rsidR="00370DDC" w:rsidRPr="00825756" w:rsidRDefault="00F50B7B" w:rsidP="00370DDC">
            <w:pPr>
              <w:pStyle w:val="TableTextS5"/>
              <w:spacing w:before="20" w:after="20"/>
              <w:rPr>
                <w:color w:val="000000"/>
              </w:rPr>
            </w:pPr>
            <w:r w:rsidRPr="00825756">
              <w:rPr>
                <w:color w:val="000000"/>
              </w:rPr>
              <w:tab/>
            </w:r>
            <w:r w:rsidRPr="00825756">
              <w:rPr>
                <w:color w:val="000000"/>
              </w:rPr>
              <w:tab/>
            </w:r>
            <w:r w:rsidRPr="00825756">
              <w:rPr>
                <w:color w:val="000000"/>
              </w:rPr>
              <w:tab/>
            </w:r>
            <w:r w:rsidRPr="00825756">
              <w:rPr>
                <w:color w:val="000000"/>
              </w:rPr>
              <w:tab/>
            </w:r>
            <w:r w:rsidRPr="00825756">
              <w:rPr>
                <w:rStyle w:val="Artref"/>
                <w:color w:val="000000"/>
              </w:rPr>
              <w:t>5.149</w:t>
            </w:r>
            <w:r w:rsidRPr="00825756">
              <w:rPr>
                <w:color w:val="000000"/>
              </w:rPr>
              <w:t xml:space="preserve">  </w:t>
            </w:r>
            <w:r w:rsidRPr="00825756">
              <w:rPr>
                <w:rStyle w:val="Artref"/>
                <w:color w:val="000000"/>
              </w:rPr>
              <w:t>5.440</w:t>
            </w:r>
            <w:r w:rsidRPr="00825756">
              <w:rPr>
                <w:color w:val="000000"/>
              </w:rPr>
              <w:t xml:space="preserve">  </w:t>
            </w:r>
            <w:r w:rsidRPr="00825756">
              <w:rPr>
                <w:rStyle w:val="Artref"/>
                <w:color w:val="000000"/>
              </w:rPr>
              <w:t>5.458</w:t>
            </w:r>
          </w:p>
        </w:tc>
      </w:tr>
    </w:tbl>
    <w:p w14:paraId="49FD0D88" w14:textId="30F73787" w:rsidR="00F656BB" w:rsidRPr="00825756" w:rsidRDefault="00F50B7B">
      <w:pPr>
        <w:pStyle w:val="Reasons"/>
      </w:pPr>
      <w:r w:rsidRPr="00825756">
        <w:rPr>
          <w:b/>
        </w:rPr>
        <w:t>Motivos:</w:t>
      </w:r>
      <w:r w:rsidRPr="00825756">
        <w:tab/>
      </w:r>
      <w:r w:rsidR="0072594F" w:rsidRPr="00825756">
        <w:t xml:space="preserve">Los países cofirmantes proponen no modificar </w:t>
      </w:r>
      <w:r w:rsidR="00CB0D57" w:rsidRPr="00825756">
        <w:t xml:space="preserve">(NOC) </w:t>
      </w:r>
      <w:r w:rsidR="0072594F" w:rsidRPr="00825756">
        <w:t>las bandas de frecuencias 6 425-7 025 y 7 025-7 125 MHz. De esta manera, se proteger</w:t>
      </w:r>
      <w:r w:rsidR="00CB0D57" w:rsidRPr="00825756">
        <w:t>ían</w:t>
      </w:r>
      <w:r w:rsidR="0072594F" w:rsidRPr="00825756">
        <w:t xml:space="preserve"> los servicios existentes y su desarrollo futuro y, al mismo tiempo,</w:t>
      </w:r>
      <w:r w:rsidR="00CB0D57" w:rsidRPr="00825756">
        <w:t xml:space="preserve"> se</w:t>
      </w:r>
      <w:r w:rsidR="0072594F" w:rsidRPr="00825756">
        <w:t xml:space="preserve"> manten</w:t>
      </w:r>
      <w:r w:rsidR="00CB0D57" w:rsidRPr="00825756">
        <w:t>dría</w:t>
      </w:r>
      <w:r w:rsidR="0072594F" w:rsidRPr="00825756">
        <w:t xml:space="preserve"> la flexibilidad para aprovechar al máximo las bandas en las atribuciones actuales contribuyendo a su desarrollo futuro.</w:t>
      </w:r>
      <w:r w:rsidR="0072594F" w:rsidRPr="00825756">
        <w:br/>
        <w:t>En este sentido, extensos estudios técnicos han demostrado que las redes IMT no pueden coexistir con servicios preexistentes importantes en la banda d</w:t>
      </w:r>
      <w:r w:rsidR="00CB0D57" w:rsidRPr="00825756">
        <w:t>e frecuencias 6 425-7 125 MHz. Un</w:t>
      </w:r>
      <w:r w:rsidR="0072594F" w:rsidRPr="00825756">
        <w:t>a armonización más general de las IMT en la banda de frecuencias 6 425-7 125 MHz no resulta factible por problemas de coexistencia y por las decisiones que han tomado varias administraciones de no utilizar este espectro para los despliegues de redes IMT. Es importante destacar que las implementaciones de IMT carecerían de las economías de escala necesarias para establecer un ecosistema de equipo sólido o para alcanzar la viabilidad comercial.</w:t>
      </w:r>
    </w:p>
    <w:p w14:paraId="0BFCF7B2" w14:textId="77777777" w:rsidR="00F656BB" w:rsidRPr="00E10733" w:rsidRDefault="00F50B7B">
      <w:pPr>
        <w:pStyle w:val="Proposal"/>
        <w:rPr>
          <w:lang w:val="en-GB"/>
        </w:rPr>
      </w:pPr>
      <w:r w:rsidRPr="00E10733">
        <w:rPr>
          <w:u w:val="single"/>
          <w:lang w:val="en-GB"/>
        </w:rPr>
        <w:t>NOC</w:t>
      </w:r>
      <w:r w:rsidRPr="00E10733">
        <w:rPr>
          <w:lang w:val="en-GB"/>
        </w:rPr>
        <w:tab/>
        <w:t>ARS/LBY/QAT/SMO/SOM/175/2</w:t>
      </w:r>
    </w:p>
    <w:p w14:paraId="02B7209D" w14:textId="77777777" w:rsidR="00370DDC" w:rsidRPr="00825756" w:rsidRDefault="00F50B7B" w:rsidP="00EA0CD5">
      <w:pPr>
        <w:pStyle w:val="Tabletitle"/>
      </w:pPr>
      <w:r w:rsidRPr="00825756">
        <w:t>6 700-7 250 MHz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370DDC" w:rsidRPr="00825756" w14:paraId="0C92A22A" w14:textId="77777777" w:rsidTr="00370DDC">
        <w:trPr>
          <w:cantSplit/>
        </w:trPr>
        <w:tc>
          <w:tcPr>
            <w:tcW w:w="9304" w:type="dxa"/>
            <w:gridSpan w:val="3"/>
          </w:tcPr>
          <w:p w14:paraId="466ADC4F" w14:textId="77777777" w:rsidR="00370DDC" w:rsidRPr="00825756" w:rsidRDefault="00F50B7B" w:rsidP="00EA0CD5">
            <w:pPr>
              <w:pStyle w:val="Tablehead"/>
            </w:pPr>
            <w:r w:rsidRPr="00825756">
              <w:t>Atribución a los servicios</w:t>
            </w:r>
          </w:p>
        </w:tc>
      </w:tr>
      <w:tr w:rsidR="00370DDC" w:rsidRPr="00825756" w14:paraId="0CE7C829" w14:textId="77777777" w:rsidTr="00370DDC">
        <w:trPr>
          <w:cantSplit/>
        </w:trPr>
        <w:tc>
          <w:tcPr>
            <w:tcW w:w="3101" w:type="dxa"/>
          </w:tcPr>
          <w:p w14:paraId="7063D91B" w14:textId="77777777" w:rsidR="00370DDC" w:rsidRPr="00825756" w:rsidRDefault="00F50B7B" w:rsidP="00EA0CD5">
            <w:pPr>
              <w:pStyle w:val="Tablehead"/>
            </w:pPr>
            <w:r w:rsidRPr="00825756">
              <w:t>Región 1</w:t>
            </w:r>
          </w:p>
        </w:tc>
        <w:tc>
          <w:tcPr>
            <w:tcW w:w="3101" w:type="dxa"/>
          </w:tcPr>
          <w:p w14:paraId="418CD553" w14:textId="77777777" w:rsidR="00370DDC" w:rsidRPr="00825756" w:rsidRDefault="00F50B7B" w:rsidP="00EA0CD5">
            <w:pPr>
              <w:pStyle w:val="Tablehead"/>
            </w:pPr>
            <w:r w:rsidRPr="00825756">
              <w:t>Región 2</w:t>
            </w:r>
          </w:p>
        </w:tc>
        <w:tc>
          <w:tcPr>
            <w:tcW w:w="3102" w:type="dxa"/>
          </w:tcPr>
          <w:p w14:paraId="52E09603" w14:textId="77777777" w:rsidR="00370DDC" w:rsidRPr="00825756" w:rsidRDefault="00F50B7B" w:rsidP="00EA0CD5">
            <w:pPr>
              <w:pStyle w:val="Tablehead"/>
            </w:pPr>
            <w:r w:rsidRPr="00825756">
              <w:t>Región 3</w:t>
            </w:r>
          </w:p>
        </w:tc>
      </w:tr>
      <w:tr w:rsidR="00370DDC" w:rsidRPr="00825756" w14:paraId="6DF5EFCD" w14:textId="77777777" w:rsidTr="00370DDC">
        <w:trPr>
          <w:cantSplit/>
        </w:trPr>
        <w:tc>
          <w:tcPr>
            <w:tcW w:w="9304" w:type="dxa"/>
            <w:gridSpan w:val="3"/>
          </w:tcPr>
          <w:p w14:paraId="32F682EB" w14:textId="77777777" w:rsidR="00370DDC" w:rsidRPr="00825756" w:rsidRDefault="00F50B7B" w:rsidP="00370DDC">
            <w:pPr>
              <w:pStyle w:val="TableTextS5"/>
              <w:spacing w:before="20" w:after="20"/>
              <w:rPr>
                <w:color w:val="000000"/>
              </w:rPr>
            </w:pPr>
            <w:r w:rsidRPr="00825756">
              <w:rPr>
                <w:rStyle w:val="Tablefreq"/>
                <w:color w:val="000000"/>
              </w:rPr>
              <w:t>6 700-7 075</w:t>
            </w:r>
            <w:r w:rsidRPr="00825756">
              <w:rPr>
                <w:color w:val="000000"/>
              </w:rPr>
              <w:tab/>
              <w:t>FIJO</w:t>
            </w:r>
          </w:p>
          <w:p w14:paraId="360949CA" w14:textId="77777777" w:rsidR="00370DDC" w:rsidRPr="00825756" w:rsidRDefault="00F50B7B" w:rsidP="00370DDC">
            <w:pPr>
              <w:pStyle w:val="TableTextS5"/>
              <w:spacing w:before="20" w:after="20"/>
              <w:rPr>
                <w:color w:val="000000"/>
              </w:rPr>
            </w:pPr>
            <w:r w:rsidRPr="00825756">
              <w:rPr>
                <w:color w:val="000000"/>
              </w:rPr>
              <w:tab/>
            </w:r>
            <w:r w:rsidRPr="00825756">
              <w:rPr>
                <w:color w:val="000000"/>
              </w:rPr>
              <w:tab/>
            </w:r>
            <w:r w:rsidRPr="00825756">
              <w:rPr>
                <w:color w:val="000000"/>
              </w:rPr>
              <w:tab/>
            </w:r>
            <w:r w:rsidRPr="00825756">
              <w:rPr>
                <w:color w:val="000000"/>
              </w:rPr>
              <w:tab/>
              <w:t xml:space="preserve">FIJO POR SATÉLITE (Tierra-espacio) (espacio-Tierra)  </w:t>
            </w:r>
            <w:r w:rsidRPr="00825756">
              <w:rPr>
                <w:rStyle w:val="Artref"/>
                <w:color w:val="000000"/>
              </w:rPr>
              <w:t>5.441</w:t>
            </w:r>
          </w:p>
          <w:p w14:paraId="1D608AC0" w14:textId="77777777" w:rsidR="00370DDC" w:rsidRPr="00825756" w:rsidRDefault="00F50B7B" w:rsidP="00370DDC">
            <w:pPr>
              <w:pStyle w:val="TableTextS5"/>
              <w:spacing w:before="20" w:after="20"/>
              <w:rPr>
                <w:color w:val="000000"/>
              </w:rPr>
            </w:pPr>
            <w:r w:rsidRPr="00825756">
              <w:rPr>
                <w:color w:val="000000"/>
              </w:rPr>
              <w:tab/>
            </w:r>
            <w:r w:rsidRPr="00825756">
              <w:rPr>
                <w:color w:val="000000"/>
              </w:rPr>
              <w:tab/>
            </w:r>
            <w:r w:rsidRPr="00825756">
              <w:rPr>
                <w:color w:val="000000"/>
              </w:rPr>
              <w:tab/>
            </w:r>
            <w:r w:rsidRPr="00825756">
              <w:rPr>
                <w:color w:val="000000"/>
              </w:rPr>
              <w:tab/>
              <w:t>MÓVIL</w:t>
            </w:r>
          </w:p>
          <w:p w14:paraId="1BB79C5A" w14:textId="77777777" w:rsidR="00370DDC" w:rsidRPr="00825756" w:rsidRDefault="00F50B7B" w:rsidP="00370DDC">
            <w:pPr>
              <w:pStyle w:val="TableTextS5"/>
              <w:spacing w:before="20" w:after="20"/>
              <w:rPr>
                <w:color w:val="000000"/>
              </w:rPr>
            </w:pPr>
            <w:r w:rsidRPr="00825756">
              <w:rPr>
                <w:color w:val="000000"/>
              </w:rPr>
              <w:tab/>
            </w:r>
            <w:r w:rsidRPr="00825756">
              <w:rPr>
                <w:color w:val="000000"/>
              </w:rPr>
              <w:tab/>
            </w:r>
            <w:r w:rsidRPr="00825756">
              <w:rPr>
                <w:color w:val="000000"/>
              </w:rPr>
              <w:tab/>
            </w:r>
            <w:r w:rsidRPr="00825756">
              <w:rPr>
                <w:color w:val="000000"/>
              </w:rPr>
              <w:tab/>
            </w:r>
            <w:r w:rsidRPr="00825756">
              <w:rPr>
                <w:rStyle w:val="Artref"/>
                <w:color w:val="000000"/>
              </w:rPr>
              <w:t>5.458</w:t>
            </w:r>
            <w:r w:rsidRPr="00825756">
              <w:rPr>
                <w:color w:val="000000"/>
              </w:rPr>
              <w:t xml:space="preserve">  </w:t>
            </w:r>
            <w:r w:rsidRPr="00825756">
              <w:rPr>
                <w:rStyle w:val="Artref"/>
                <w:color w:val="000000"/>
              </w:rPr>
              <w:t>5.458A</w:t>
            </w:r>
            <w:r w:rsidRPr="00825756">
              <w:rPr>
                <w:color w:val="000000"/>
              </w:rPr>
              <w:t xml:space="preserve">  </w:t>
            </w:r>
            <w:r w:rsidRPr="00825756">
              <w:rPr>
                <w:rStyle w:val="Artref"/>
                <w:color w:val="000000"/>
              </w:rPr>
              <w:t>5.458B</w:t>
            </w:r>
          </w:p>
        </w:tc>
      </w:tr>
      <w:tr w:rsidR="00370DDC" w:rsidRPr="00825756" w14:paraId="55BF2D4C" w14:textId="77777777" w:rsidTr="00370DDC">
        <w:trPr>
          <w:cantSplit/>
        </w:trPr>
        <w:tc>
          <w:tcPr>
            <w:tcW w:w="9304" w:type="dxa"/>
            <w:gridSpan w:val="3"/>
          </w:tcPr>
          <w:p w14:paraId="0EFD73C7" w14:textId="77777777" w:rsidR="00370DDC" w:rsidRPr="00825756" w:rsidRDefault="00F50B7B" w:rsidP="00370DDC">
            <w:pPr>
              <w:pStyle w:val="TableTextS5"/>
              <w:spacing w:before="20" w:after="20"/>
              <w:rPr>
                <w:color w:val="000000"/>
              </w:rPr>
            </w:pPr>
            <w:r w:rsidRPr="00825756">
              <w:rPr>
                <w:rStyle w:val="Tablefreq"/>
                <w:color w:val="000000"/>
              </w:rPr>
              <w:t>7 075-7 145</w:t>
            </w:r>
            <w:r w:rsidRPr="00825756">
              <w:rPr>
                <w:color w:val="000000"/>
              </w:rPr>
              <w:tab/>
              <w:t>FIJO</w:t>
            </w:r>
          </w:p>
          <w:p w14:paraId="2C4F46C7" w14:textId="77777777" w:rsidR="00370DDC" w:rsidRPr="00825756" w:rsidRDefault="00F50B7B" w:rsidP="00370DDC">
            <w:pPr>
              <w:pStyle w:val="TableTextS5"/>
              <w:spacing w:before="20" w:after="20"/>
              <w:rPr>
                <w:color w:val="000000"/>
              </w:rPr>
            </w:pPr>
            <w:r w:rsidRPr="00825756">
              <w:rPr>
                <w:color w:val="000000"/>
              </w:rPr>
              <w:tab/>
            </w:r>
            <w:r w:rsidRPr="00825756">
              <w:rPr>
                <w:color w:val="000000"/>
              </w:rPr>
              <w:tab/>
            </w:r>
            <w:r w:rsidRPr="00825756">
              <w:rPr>
                <w:color w:val="000000"/>
              </w:rPr>
              <w:tab/>
            </w:r>
            <w:r w:rsidRPr="00825756">
              <w:rPr>
                <w:color w:val="000000"/>
              </w:rPr>
              <w:tab/>
              <w:t>MÓVIL</w:t>
            </w:r>
          </w:p>
          <w:p w14:paraId="785AFD95" w14:textId="77777777" w:rsidR="00370DDC" w:rsidRPr="00825756" w:rsidRDefault="00F50B7B" w:rsidP="00370DDC">
            <w:pPr>
              <w:pStyle w:val="TableTextS5"/>
              <w:spacing w:before="20" w:after="20"/>
              <w:rPr>
                <w:color w:val="000000"/>
              </w:rPr>
            </w:pPr>
            <w:r w:rsidRPr="00825756">
              <w:rPr>
                <w:color w:val="000000"/>
              </w:rPr>
              <w:tab/>
            </w:r>
            <w:r w:rsidRPr="00825756">
              <w:rPr>
                <w:color w:val="000000"/>
              </w:rPr>
              <w:tab/>
            </w:r>
            <w:r w:rsidRPr="00825756">
              <w:rPr>
                <w:color w:val="000000"/>
              </w:rPr>
              <w:tab/>
            </w:r>
            <w:r w:rsidRPr="00825756">
              <w:rPr>
                <w:color w:val="000000"/>
              </w:rPr>
              <w:tab/>
            </w:r>
            <w:r w:rsidRPr="00825756">
              <w:rPr>
                <w:rStyle w:val="Artref"/>
                <w:color w:val="000000"/>
              </w:rPr>
              <w:t>5.458</w:t>
            </w:r>
            <w:r w:rsidRPr="00825756">
              <w:rPr>
                <w:color w:val="000000"/>
              </w:rPr>
              <w:t xml:space="preserve">  </w:t>
            </w:r>
            <w:r w:rsidRPr="00825756">
              <w:rPr>
                <w:rStyle w:val="Artref"/>
                <w:color w:val="000000"/>
              </w:rPr>
              <w:t>5.459</w:t>
            </w:r>
          </w:p>
        </w:tc>
      </w:tr>
    </w:tbl>
    <w:p w14:paraId="151ADDBC" w14:textId="048E486D" w:rsidR="00F656BB" w:rsidRPr="00825756" w:rsidRDefault="00F50B7B">
      <w:pPr>
        <w:pStyle w:val="Reasons"/>
      </w:pPr>
      <w:r w:rsidRPr="00825756">
        <w:rPr>
          <w:b/>
        </w:rPr>
        <w:t>Motivos:</w:t>
      </w:r>
      <w:r w:rsidRPr="00825756">
        <w:tab/>
      </w:r>
      <w:r w:rsidR="00E16B18" w:rsidRPr="00825756">
        <w:t>Los países cofirmantes proponen no modificar las bandas de frecuencias 6 4</w:t>
      </w:r>
      <w:r w:rsidR="00BF2309" w:rsidRPr="00825756">
        <w:t>25</w:t>
      </w:r>
      <w:r w:rsidR="00E16B18" w:rsidRPr="00825756">
        <w:t xml:space="preserve">-7 025 y 7 025-7 125 MHz. De esta manera, se </w:t>
      </w:r>
      <w:r w:rsidR="00CB0D57" w:rsidRPr="00825756">
        <w:t xml:space="preserve">protegerían </w:t>
      </w:r>
      <w:r w:rsidR="00E16B18" w:rsidRPr="00825756">
        <w:t>los servicios existentes y su desarrollo futuro y</w:t>
      </w:r>
      <w:r w:rsidR="00BF2309" w:rsidRPr="00825756">
        <w:t>, al mismo tiempo,</w:t>
      </w:r>
      <w:r w:rsidR="00E16B18" w:rsidRPr="00825756">
        <w:t xml:space="preserve"> </w:t>
      </w:r>
      <w:r w:rsidR="00CB0D57" w:rsidRPr="00825756">
        <w:t xml:space="preserve">se mantendría </w:t>
      </w:r>
      <w:r w:rsidR="00E16B18" w:rsidRPr="00825756">
        <w:t>la flexibilidad para aprovechar al máximo las bandas en las atribuciones actuales contribuyendo a su desarrollo futuro.</w:t>
      </w:r>
      <w:r w:rsidR="00E16B18" w:rsidRPr="00825756">
        <w:br/>
        <w:t>En este sentido, extensos estudios técnicos han demostrado que las redes IMT no pueden coexistir con servicios preexistentes importantes en la banda d</w:t>
      </w:r>
      <w:r w:rsidR="009E18ED" w:rsidRPr="00825756">
        <w:t>e frecuencias 6 425-7 125 MHz. Un</w:t>
      </w:r>
      <w:r w:rsidR="00E16B18" w:rsidRPr="00825756">
        <w:t>a armonización más general de las IMT en l</w:t>
      </w:r>
      <w:r w:rsidR="002F3CC5" w:rsidRPr="00825756">
        <w:t>a</w:t>
      </w:r>
      <w:r w:rsidR="00E16B18" w:rsidRPr="00825756">
        <w:t xml:space="preserve"> banda de frecuencias 6 425-7 125 MHz no resulta factible por </w:t>
      </w:r>
      <w:r w:rsidR="00683CD2" w:rsidRPr="00825756">
        <w:t>problemas</w:t>
      </w:r>
      <w:r w:rsidR="00E16B18" w:rsidRPr="00825756">
        <w:t xml:space="preserve"> de coexistencia y por las decisiones que han tomado varias administraciones </w:t>
      </w:r>
      <w:r w:rsidR="00E16B18" w:rsidRPr="00825756">
        <w:lastRenderedPageBreak/>
        <w:t>de no utilizar este espectro para los despliegues de redes IMT. Es importante destacar que las implementaciones de IMT carecerían de las economías de escala necesarias para establecer un ecosistema de equipo sólido o para alcanzar la viabilidad comercial.</w:t>
      </w:r>
    </w:p>
    <w:p w14:paraId="42B926E6" w14:textId="77777777" w:rsidR="00F656BB" w:rsidRPr="00E10733" w:rsidRDefault="00F50B7B">
      <w:pPr>
        <w:pStyle w:val="Proposal"/>
        <w:rPr>
          <w:lang w:val="en-GB"/>
        </w:rPr>
      </w:pPr>
      <w:r w:rsidRPr="00E10733">
        <w:rPr>
          <w:lang w:val="en-GB"/>
        </w:rPr>
        <w:t>SUP</w:t>
      </w:r>
      <w:r w:rsidRPr="00E10733">
        <w:rPr>
          <w:lang w:val="en-GB"/>
        </w:rPr>
        <w:tab/>
        <w:t>ARS/LBY/QAT/SMO/SOM/175/3</w:t>
      </w:r>
      <w:r w:rsidRPr="00E10733">
        <w:rPr>
          <w:vanish/>
          <w:color w:val="7F7F7F" w:themeColor="text1" w:themeTint="80"/>
          <w:vertAlign w:val="superscript"/>
          <w:lang w:val="en-GB"/>
        </w:rPr>
        <w:t>#1391</w:t>
      </w:r>
    </w:p>
    <w:p w14:paraId="541628D5" w14:textId="77777777" w:rsidR="00370DDC" w:rsidRPr="00825756" w:rsidRDefault="00F50B7B" w:rsidP="00370DDC">
      <w:pPr>
        <w:pStyle w:val="ResNo"/>
      </w:pPr>
      <w:bookmarkStart w:id="11" w:name="_Toc36190239"/>
      <w:bookmarkStart w:id="12" w:name="_Toc39734919"/>
      <w:r w:rsidRPr="00825756">
        <w:t xml:space="preserve">RESOLUCIÓN </w:t>
      </w:r>
      <w:r w:rsidRPr="00825756">
        <w:rPr>
          <w:rStyle w:val="href"/>
        </w:rPr>
        <w:t>245</w:t>
      </w:r>
      <w:r w:rsidRPr="00825756">
        <w:t xml:space="preserve"> (CMR-19)</w:t>
      </w:r>
      <w:bookmarkEnd w:id="11"/>
      <w:bookmarkEnd w:id="12"/>
    </w:p>
    <w:p w14:paraId="71296711" w14:textId="77777777" w:rsidR="00370DDC" w:rsidRPr="00825756" w:rsidRDefault="00F50B7B" w:rsidP="00370DDC">
      <w:pPr>
        <w:pStyle w:val="Restitle"/>
      </w:pPr>
      <w:r w:rsidRPr="00825756">
        <w:t>Estudios sobre asuntos relacionados con la identificación de las bandas de frecuencias 3 300-3 400 MHz, 3 600</w:t>
      </w:r>
      <w:r w:rsidRPr="00825756">
        <w:noBreakHyphen/>
        <w:t>3 800 MHz, 6 425-7 025 MHz, 7 025</w:t>
      </w:r>
      <w:r w:rsidRPr="00825756">
        <w:noBreakHyphen/>
        <w:t>7 125 MHz y 10,0-10,5 GHz para la componente terrenal de las Telecomunicaciones Móviles Internacionales</w:t>
      </w:r>
    </w:p>
    <w:p w14:paraId="1B7E698E" w14:textId="462F8BFA" w:rsidR="00E10733" w:rsidRPr="00E10733" w:rsidRDefault="00F50B7B" w:rsidP="00E10733">
      <w:pPr>
        <w:pStyle w:val="Reasons"/>
      </w:pPr>
      <w:r w:rsidRPr="00825756">
        <w:rPr>
          <w:b/>
        </w:rPr>
        <w:t>Motivos:</w:t>
      </w:r>
      <w:r w:rsidRPr="00825756">
        <w:tab/>
      </w:r>
      <w:r w:rsidR="00E16B18" w:rsidRPr="00825756">
        <w:t xml:space="preserve">Cambios derivados. La Resolución </w:t>
      </w:r>
      <w:r w:rsidR="00E16B18" w:rsidRPr="00825756">
        <w:rPr>
          <w:b/>
        </w:rPr>
        <w:t>245 (CMR-19)</w:t>
      </w:r>
      <w:r w:rsidR="00E16B18" w:rsidRPr="00825756">
        <w:t xml:space="preserve"> ya no es necesaria.</w:t>
      </w:r>
    </w:p>
    <w:p w14:paraId="45424C85" w14:textId="2919C732" w:rsidR="00E10733" w:rsidRPr="00E10733" w:rsidRDefault="00E10733" w:rsidP="00E10733">
      <w:pPr>
        <w:jc w:val="center"/>
        <w:rPr>
          <w:lang w:val="fr-FR"/>
        </w:rPr>
      </w:pPr>
      <w:r w:rsidRPr="00406B8B">
        <w:rPr>
          <w:lang w:val="fr-FR"/>
        </w:rPr>
        <w:t>______________</w:t>
      </w:r>
    </w:p>
    <w:sectPr w:rsidR="00E10733" w:rsidRPr="00E10733">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56721" w14:textId="77777777" w:rsidR="00370DDC" w:rsidRDefault="00370DDC">
      <w:r>
        <w:separator/>
      </w:r>
    </w:p>
  </w:endnote>
  <w:endnote w:type="continuationSeparator" w:id="0">
    <w:p w14:paraId="264051B7" w14:textId="77777777" w:rsidR="00370DDC" w:rsidRDefault="00370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7E680" w14:textId="77777777" w:rsidR="00370DDC" w:rsidRDefault="00370D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72A207" w14:textId="1D6250C6" w:rsidR="00370DDC" w:rsidRPr="00EA6613" w:rsidRDefault="00370DDC">
    <w:pPr>
      <w:ind w:right="360"/>
    </w:pPr>
    <w:r>
      <w:fldChar w:fldCharType="begin"/>
    </w:r>
    <w:r w:rsidRPr="00EA6613">
      <w:instrText xml:space="preserve"> FILENAME \p  \* MERGEFORMAT </w:instrText>
    </w:r>
    <w:r>
      <w:fldChar w:fldCharType="separate"/>
    </w:r>
    <w:r w:rsidR="00EA6613">
      <w:rPr>
        <w:noProof/>
      </w:rPr>
      <w:t>P:\ESP\ITU-R\CONF-R\CMR23\100\175S.docx</w:t>
    </w:r>
    <w:r>
      <w:fldChar w:fldCharType="end"/>
    </w:r>
    <w:r w:rsidRPr="00EA6613">
      <w:tab/>
    </w:r>
    <w:r>
      <w:fldChar w:fldCharType="begin"/>
    </w:r>
    <w:r>
      <w:instrText xml:space="preserve"> SAVEDATE \@ DD.MM.YY </w:instrText>
    </w:r>
    <w:r>
      <w:fldChar w:fldCharType="separate"/>
    </w:r>
    <w:r w:rsidR="00E10733">
      <w:rPr>
        <w:noProof/>
      </w:rPr>
      <w:t>10.11.23</w:t>
    </w:r>
    <w:r>
      <w:fldChar w:fldCharType="end"/>
    </w:r>
    <w:r w:rsidRPr="00EA6613">
      <w:tab/>
    </w:r>
    <w:r>
      <w:fldChar w:fldCharType="begin"/>
    </w:r>
    <w:r>
      <w:instrText xml:space="preserve"> PRINTDATE \@ DD.MM.YY </w:instrText>
    </w:r>
    <w:r>
      <w:fldChar w:fldCharType="separate"/>
    </w:r>
    <w:r w:rsidR="00EA6613">
      <w:rPr>
        <w:noProof/>
      </w:rPr>
      <w:t>10.11.23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F3912" w14:textId="4FEB754C" w:rsidR="00370DDC" w:rsidRDefault="00E57740" w:rsidP="00B86034">
    <w:pPr>
      <w:pStyle w:val="Footer"/>
      <w:ind w:right="360"/>
      <w:rPr>
        <w:lang w:val="en-US"/>
      </w:rPr>
    </w:pPr>
    <w:r>
      <w:fldChar w:fldCharType="begin"/>
    </w:r>
    <w:r>
      <w:rPr>
        <w:lang w:val="en-US"/>
      </w:rPr>
      <w:instrText xml:space="preserve"> FILENAME \p  \* MERGEFORMAT </w:instrText>
    </w:r>
    <w:r>
      <w:fldChar w:fldCharType="separate"/>
    </w:r>
    <w:r w:rsidR="00854594">
      <w:rPr>
        <w:lang w:val="en-US"/>
      </w:rPr>
      <w:t>P:\ESP\ITU-R\CONF-R\CMR23\100\175S.docx</w:t>
    </w:r>
    <w:r>
      <w:fldChar w:fldCharType="end"/>
    </w:r>
    <w:r w:rsidR="00DB7853">
      <w:t xml:space="preserve"> (530464)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1DA3" w14:textId="06C154C8" w:rsidR="00DB7853" w:rsidRDefault="00DB7853" w:rsidP="00DB7853">
    <w:pPr>
      <w:pStyle w:val="Footer"/>
      <w:ind w:right="360"/>
      <w:rPr>
        <w:lang w:val="en-US"/>
      </w:rPr>
    </w:pPr>
    <w:r>
      <w:fldChar w:fldCharType="begin"/>
    </w:r>
    <w:r>
      <w:rPr>
        <w:lang w:val="en-US"/>
      </w:rPr>
      <w:instrText xml:space="preserve"> FILENAME \p  \* MERGEFORMAT </w:instrText>
    </w:r>
    <w:r>
      <w:fldChar w:fldCharType="separate"/>
    </w:r>
    <w:r w:rsidR="00854594">
      <w:rPr>
        <w:lang w:val="en-US"/>
      </w:rPr>
      <w:t>P:\ESP\ITU-R\CONF-R\CMR23\100\175S.docx</w:t>
    </w:r>
    <w:r>
      <w:fldChar w:fldCharType="end"/>
    </w:r>
    <w:r>
      <w:t xml:space="preserve"> (530464)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5B327" w14:textId="77777777" w:rsidR="00370DDC" w:rsidRDefault="00370DDC">
      <w:r>
        <w:rPr>
          <w:b/>
        </w:rPr>
        <w:t>_______________</w:t>
      </w:r>
    </w:p>
  </w:footnote>
  <w:footnote w:type="continuationSeparator" w:id="0">
    <w:p w14:paraId="71E37FFF" w14:textId="77777777" w:rsidR="00370DDC" w:rsidRDefault="00370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52267" w14:textId="5F3C3FCC" w:rsidR="00370DDC" w:rsidRDefault="00370DD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57740">
      <w:rPr>
        <w:rStyle w:val="PageNumber"/>
        <w:noProof/>
      </w:rPr>
      <w:t>3</w:t>
    </w:r>
    <w:r>
      <w:rPr>
        <w:rStyle w:val="PageNumber"/>
      </w:rPr>
      <w:fldChar w:fldCharType="end"/>
    </w:r>
  </w:p>
  <w:p w14:paraId="5125B743" w14:textId="77777777" w:rsidR="00370DDC" w:rsidRDefault="00370DDC" w:rsidP="00C44E9E">
    <w:pPr>
      <w:pStyle w:val="Header"/>
      <w:rPr>
        <w:lang w:val="en-US"/>
      </w:rPr>
    </w:pPr>
    <w:r>
      <w:rPr>
        <w:lang w:val="en-US"/>
      </w:rPr>
      <w:t>WRC23/</w:t>
    </w:r>
    <w:r>
      <w:t>175-</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526140347">
    <w:abstractNumId w:val="8"/>
  </w:num>
  <w:num w:numId="2" w16cid:durableId="121288816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117283180">
    <w:abstractNumId w:val="9"/>
  </w:num>
  <w:num w:numId="4" w16cid:durableId="1920214198">
    <w:abstractNumId w:val="7"/>
  </w:num>
  <w:num w:numId="5" w16cid:durableId="545803071">
    <w:abstractNumId w:val="6"/>
  </w:num>
  <w:num w:numId="6" w16cid:durableId="680160342">
    <w:abstractNumId w:val="5"/>
  </w:num>
  <w:num w:numId="7" w16cid:durableId="1890263054">
    <w:abstractNumId w:val="4"/>
  </w:num>
  <w:num w:numId="8" w16cid:durableId="1129124951">
    <w:abstractNumId w:val="3"/>
  </w:num>
  <w:num w:numId="9" w16cid:durableId="838421876">
    <w:abstractNumId w:val="2"/>
  </w:num>
  <w:num w:numId="10" w16cid:durableId="1819958356">
    <w:abstractNumId w:val="1"/>
  </w:num>
  <w:num w:numId="11" w16cid:durableId="1318269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1BC4"/>
    <w:rsid w:val="00015CC8"/>
    <w:rsid w:val="0002785D"/>
    <w:rsid w:val="00037069"/>
    <w:rsid w:val="00087AE8"/>
    <w:rsid w:val="00091054"/>
    <w:rsid w:val="000A2A7D"/>
    <w:rsid w:val="000A5B9A"/>
    <w:rsid w:val="000B7835"/>
    <w:rsid w:val="000E5BF9"/>
    <w:rsid w:val="000F0E6D"/>
    <w:rsid w:val="000F2CC2"/>
    <w:rsid w:val="0011439C"/>
    <w:rsid w:val="00121170"/>
    <w:rsid w:val="00121D2E"/>
    <w:rsid w:val="00123CC5"/>
    <w:rsid w:val="001255C3"/>
    <w:rsid w:val="00137EB0"/>
    <w:rsid w:val="0015142D"/>
    <w:rsid w:val="001616DC"/>
    <w:rsid w:val="00163962"/>
    <w:rsid w:val="00191A97"/>
    <w:rsid w:val="0019729C"/>
    <w:rsid w:val="001A083F"/>
    <w:rsid w:val="001C41FA"/>
    <w:rsid w:val="001E2B52"/>
    <w:rsid w:val="001E3F27"/>
    <w:rsid w:val="001E7D42"/>
    <w:rsid w:val="0023659C"/>
    <w:rsid w:val="00236D2A"/>
    <w:rsid w:val="00244467"/>
    <w:rsid w:val="0024569E"/>
    <w:rsid w:val="00255D63"/>
    <w:rsid w:val="00255F12"/>
    <w:rsid w:val="002567CB"/>
    <w:rsid w:val="00262C09"/>
    <w:rsid w:val="002723CE"/>
    <w:rsid w:val="00287A33"/>
    <w:rsid w:val="002A791F"/>
    <w:rsid w:val="002B358A"/>
    <w:rsid w:val="002C1A52"/>
    <w:rsid w:val="002C1B26"/>
    <w:rsid w:val="002C5D6C"/>
    <w:rsid w:val="002C63A3"/>
    <w:rsid w:val="002D2F61"/>
    <w:rsid w:val="002E701F"/>
    <w:rsid w:val="002F3CC5"/>
    <w:rsid w:val="002F7B27"/>
    <w:rsid w:val="003064C2"/>
    <w:rsid w:val="003119ED"/>
    <w:rsid w:val="00311B29"/>
    <w:rsid w:val="003248A9"/>
    <w:rsid w:val="00324FFA"/>
    <w:rsid w:val="0032680B"/>
    <w:rsid w:val="00363A65"/>
    <w:rsid w:val="00370DDC"/>
    <w:rsid w:val="003A6743"/>
    <w:rsid w:val="003B1E8C"/>
    <w:rsid w:val="003C0613"/>
    <w:rsid w:val="003C1950"/>
    <w:rsid w:val="003C2508"/>
    <w:rsid w:val="003D0AA3"/>
    <w:rsid w:val="003D5AEC"/>
    <w:rsid w:val="003E2086"/>
    <w:rsid w:val="003F3DC0"/>
    <w:rsid w:val="003F3F87"/>
    <w:rsid w:val="003F7F66"/>
    <w:rsid w:val="004100F2"/>
    <w:rsid w:val="00421443"/>
    <w:rsid w:val="00440B3A"/>
    <w:rsid w:val="0044375A"/>
    <w:rsid w:val="0045384C"/>
    <w:rsid w:val="00454553"/>
    <w:rsid w:val="00472A86"/>
    <w:rsid w:val="004B124A"/>
    <w:rsid w:val="004B3095"/>
    <w:rsid w:val="004D2749"/>
    <w:rsid w:val="004D2C7C"/>
    <w:rsid w:val="005133B5"/>
    <w:rsid w:val="00524392"/>
    <w:rsid w:val="00525CB2"/>
    <w:rsid w:val="00532097"/>
    <w:rsid w:val="00535CA7"/>
    <w:rsid w:val="00547D2D"/>
    <w:rsid w:val="0058350F"/>
    <w:rsid w:val="00583C7E"/>
    <w:rsid w:val="0059098E"/>
    <w:rsid w:val="005C4FA5"/>
    <w:rsid w:val="005D46FB"/>
    <w:rsid w:val="005F2605"/>
    <w:rsid w:val="005F3B0E"/>
    <w:rsid w:val="005F3DB8"/>
    <w:rsid w:val="005F559C"/>
    <w:rsid w:val="00602857"/>
    <w:rsid w:val="006114A1"/>
    <w:rsid w:val="006124AD"/>
    <w:rsid w:val="0061474F"/>
    <w:rsid w:val="0062039C"/>
    <w:rsid w:val="00624009"/>
    <w:rsid w:val="0063509B"/>
    <w:rsid w:val="0064662A"/>
    <w:rsid w:val="006571D7"/>
    <w:rsid w:val="00660A29"/>
    <w:rsid w:val="00662BA0"/>
    <w:rsid w:val="006654AA"/>
    <w:rsid w:val="00666B37"/>
    <w:rsid w:val="00671EDE"/>
    <w:rsid w:val="0067344B"/>
    <w:rsid w:val="006747AA"/>
    <w:rsid w:val="00683CD2"/>
    <w:rsid w:val="00684A94"/>
    <w:rsid w:val="00691168"/>
    <w:rsid w:val="00692AAE"/>
    <w:rsid w:val="006A5AAD"/>
    <w:rsid w:val="006B32F8"/>
    <w:rsid w:val="006C0E38"/>
    <w:rsid w:val="006D6E67"/>
    <w:rsid w:val="006E1A13"/>
    <w:rsid w:val="00701C20"/>
    <w:rsid w:val="00702F3D"/>
    <w:rsid w:val="0070518E"/>
    <w:rsid w:val="0072594F"/>
    <w:rsid w:val="007354E9"/>
    <w:rsid w:val="007419A9"/>
    <w:rsid w:val="007424E8"/>
    <w:rsid w:val="0074579D"/>
    <w:rsid w:val="00765578"/>
    <w:rsid w:val="00766333"/>
    <w:rsid w:val="0077084A"/>
    <w:rsid w:val="00784EE0"/>
    <w:rsid w:val="007952C7"/>
    <w:rsid w:val="007C0B95"/>
    <w:rsid w:val="007C2317"/>
    <w:rsid w:val="007D330A"/>
    <w:rsid w:val="007E59CF"/>
    <w:rsid w:val="00800664"/>
    <w:rsid w:val="0080079E"/>
    <w:rsid w:val="00825756"/>
    <w:rsid w:val="008504C2"/>
    <w:rsid w:val="00854594"/>
    <w:rsid w:val="00866AE6"/>
    <w:rsid w:val="00874B0A"/>
    <w:rsid w:val="008750A8"/>
    <w:rsid w:val="00895E8C"/>
    <w:rsid w:val="008C11B6"/>
    <w:rsid w:val="008D3316"/>
    <w:rsid w:val="008E5AF2"/>
    <w:rsid w:val="0090121B"/>
    <w:rsid w:val="009144C9"/>
    <w:rsid w:val="00917E22"/>
    <w:rsid w:val="0094091F"/>
    <w:rsid w:val="0094720D"/>
    <w:rsid w:val="00962171"/>
    <w:rsid w:val="00966613"/>
    <w:rsid w:val="00972F24"/>
    <w:rsid w:val="00973754"/>
    <w:rsid w:val="009C0BED"/>
    <w:rsid w:val="009C3D30"/>
    <w:rsid w:val="009E11EC"/>
    <w:rsid w:val="009E18ED"/>
    <w:rsid w:val="00A021CC"/>
    <w:rsid w:val="00A03CF3"/>
    <w:rsid w:val="00A118DB"/>
    <w:rsid w:val="00A12E0B"/>
    <w:rsid w:val="00A27736"/>
    <w:rsid w:val="00A4450C"/>
    <w:rsid w:val="00A54584"/>
    <w:rsid w:val="00A81B5B"/>
    <w:rsid w:val="00AA5E6C"/>
    <w:rsid w:val="00AC2CE1"/>
    <w:rsid w:val="00AC49B1"/>
    <w:rsid w:val="00AD5856"/>
    <w:rsid w:val="00AE5677"/>
    <w:rsid w:val="00AE658F"/>
    <w:rsid w:val="00AF2F78"/>
    <w:rsid w:val="00B130B0"/>
    <w:rsid w:val="00B239FA"/>
    <w:rsid w:val="00B2760C"/>
    <w:rsid w:val="00B36202"/>
    <w:rsid w:val="00B372AB"/>
    <w:rsid w:val="00B44C7B"/>
    <w:rsid w:val="00B47331"/>
    <w:rsid w:val="00B52D55"/>
    <w:rsid w:val="00B8267C"/>
    <w:rsid w:val="00B8288C"/>
    <w:rsid w:val="00B86034"/>
    <w:rsid w:val="00BC5024"/>
    <w:rsid w:val="00BE2E80"/>
    <w:rsid w:val="00BE5EDD"/>
    <w:rsid w:val="00BE6A1F"/>
    <w:rsid w:val="00BF2309"/>
    <w:rsid w:val="00C126C4"/>
    <w:rsid w:val="00C44E9E"/>
    <w:rsid w:val="00C63EB5"/>
    <w:rsid w:val="00C73CFA"/>
    <w:rsid w:val="00C87DA7"/>
    <w:rsid w:val="00CA4945"/>
    <w:rsid w:val="00CA5BE6"/>
    <w:rsid w:val="00CB0D57"/>
    <w:rsid w:val="00CC01E0"/>
    <w:rsid w:val="00CC7ECE"/>
    <w:rsid w:val="00CD5FEE"/>
    <w:rsid w:val="00CE4331"/>
    <w:rsid w:val="00CE4AFE"/>
    <w:rsid w:val="00CE60D2"/>
    <w:rsid w:val="00CE7431"/>
    <w:rsid w:val="00D00CA8"/>
    <w:rsid w:val="00D0288A"/>
    <w:rsid w:val="00D25D85"/>
    <w:rsid w:val="00D720E7"/>
    <w:rsid w:val="00D72A5D"/>
    <w:rsid w:val="00DA30CF"/>
    <w:rsid w:val="00DA71A3"/>
    <w:rsid w:val="00DB7853"/>
    <w:rsid w:val="00DC1922"/>
    <w:rsid w:val="00DC2D52"/>
    <w:rsid w:val="00DC629B"/>
    <w:rsid w:val="00DE1C31"/>
    <w:rsid w:val="00E05BFF"/>
    <w:rsid w:val="00E10733"/>
    <w:rsid w:val="00E16B18"/>
    <w:rsid w:val="00E262F1"/>
    <w:rsid w:val="00E3176A"/>
    <w:rsid w:val="00E36CE4"/>
    <w:rsid w:val="00E41DF4"/>
    <w:rsid w:val="00E51892"/>
    <w:rsid w:val="00E54754"/>
    <w:rsid w:val="00E56BD3"/>
    <w:rsid w:val="00E57740"/>
    <w:rsid w:val="00E71D14"/>
    <w:rsid w:val="00E8406B"/>
    <w:rsid w:val="00EA0CD5"/>
    <w:rsid w:val="00EA6613"/>
    <w:rsid w:val="00EA77F0"/>
    <w:rsid w:val="00F32316"/>
    <w:rsid w:val="00F50B7B"/>
    <w:rsid w:val="00F656BB"/>
    <w:rsid w:val="00F66597"/>
    <w:rsid w:val="00F675D0"/>
    <w:rsid w:val="00F8150C"/>
    <w:rsid w:val="00F8221F"/>
    <w:rsid w:val="00FA43B1"/>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BF70E8E"/>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 w:type="character" w:styleId="Hyperlink">
    <w:name w:val="Hyperlink"/>
    <w:basedOn w:val="DefaultParagraphFont"/>
    <w:uiPriority w:val="99"/>
    <w:semiHidden/>
    <w:unhideWhenUsed/>
    <w:rPr>
      <w:color w:val="0000FF" w:themeColor="hyperlink"/>
      <w:u w:val="single"/>
    </w:rPr>
  </w:style>
  <w:style w:type="character" w:styleId="Strong">
    <w:name w:val="Strong"/>
    <w:basedOn w:val="DefaultParagraphFont"/>
    <w:uiPriority w:val="22"/>
    <w:qFormat/>
    <w:rsid w:val="002C63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R23-WRC23-C-0175!!MSW-S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Props1.xml><?xml version="1.0" encoding="utf-8"?>
<ds:datastoreItem xmlns:ds="http://schemas.openxmlformats.org/officeDocument/2006/customXml" ds:itemID="{A5239E9D-7EC4-4A5D-91BE-976543392697}">
  <ds:schemaRefs>
    <ds:schemaRef ds:uri="http://schemas.microsoft.com/sharepoint/events"/>
  </ds:schemaRefs>
</ds:datastoreItem>
</file>

<file path=customXml/itemProps2.xml><?xml version="1.0" encoding="utf-8"?>
<ds:datastoreItem xmlns:ds="http://schemas.openxmlformats.org/officeDocument/2006/customXml" ds:itemID="{495E71AC-5AD1-4DF7-A1DA-86C6CFAD6E5B}">
  <ds:schemaRefs>
    <ds:schemaRef ds:uri="http://schemas.microsoft.com/sharepoint/v3/contenttype/forms"/>
  </ds:schemaRefs>
</ds:datastoreItem>
</file>

<file path=customXml/itemProps3.xml><?xml version="1.0" encoding="utf-8"?>
<ds:datastoreItem xmlns:ds="http://schemas.openxmlformats.org/officeDocument/2006/customXml" ds:itemID="{199229CD-97FF-43B0-A6EC-60759B102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5A1413-EA60-4EF4-83CE-C0F95741313D}">
  <ds:schemaRefs>
    <ds:schemaRef ds:uri="http://schemas.openxmlformats.org/officeDocument/2006/bibliography"/>
  </ds:schemaRefs>
</ds:datastoreItem>
</file>

<file path=customXml/itemProps5.xml><?xml version="1.0" encoding="utf-8"?>
<ds:datastoreItem xmlns:ds="http://schemas.openxmlformats.org/officeDocument/2006/customXml" ds:itemID="{88E222DA-ECCD-43BE-A7A7-BA1B347C39AC}">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3279</Words>
  <Characters>17610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R23-WRC23-C-0175!!MSW-S</vt:lpstr>
    </vt:vector>
  </TitlesOfParts>
  <Manager>Secretaría General - Pool</Manager>
  <Company>Unión Internacional de Telecomunicaciones (UIT)</Company>
  <LinksUpToDate>false</LinksUpToDate>
  <CharactersWithSpaces>20848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R23-WRC23-C-0175!!MSW-S</dc:title>
  <dc:subject>Conferencia Mundial de Radiocomunicaciones - 2019</dc:subject>
  <dc:creator>Documents Proposals Manager (DPM)</dc:creator>
  <cp:keywords>DPM_v2023.11.6.1_prod</cp:keywords>
  <dc:description/>
  <cp:lastModifiedBy>Spanish</cp:lastModifiedBy>
  <cp:revision>4</cp:revision>
  <cp:lastPrinted>2023-11-10T10:02:00Z</cp:lastPrinted>
  <dcterms:created xsi:type="dcterms:W3CDTF">2023-11-10T13:37:00Z</dcterms:created>
  <dcterms:modified xsi:type="dcterms:W3CDTF">2023-11-10T13:39:00Z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