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06F57" w14:paraId="5232D173" w14:textId="77777777" w:rsidTr="0080079E">
        <w:trPr>
          <w:cantSplit/>
        </w:trPr>
        <w:tc>
          <w:tcPr>
            <w:tcW w:w="1418" w:type="dxa"/>
            <w:vAlign w:val="center"/>
          </w:tcPr>
          <w:p w14:paraId="2177A9FD" w14:textId="77777777" w:rsidR="0080079E" w:rsidRPr="00B06F57" w:rsidRDefault="0080079E" w:rsidP="0080079E">
            <w:pPr>
              <w:spacing w:before="0" w:line="240" w:lineRule="atLeast"/>
              <w:rPr>
                <w:rFonts w:ascii="Verdana" w:hAnsi="Verdana"/>
                <w:position w:val="6"/>
                <w:lang w:val="es-ES"/>
              </w:rPr>
            </w:pPr>
            <w:r w:rsidRPr="00B06F57">
              <w:rPr>
                <w:noProof/>
                <w:lang w:val="es-ES" w:eastAsia="es-ES"/>
              </w:rPr>
              <w:drawing>
                <wp:inline distT="0" distB="0" distL="0" distR="0" wp14:anchorId="62DD214A" wp14:editId="5852ED7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6C12621" w14:textId="77777777" w:rsidR="0080079E" w:rsidRPr="00B06F57" w:rsidRDefault="0080079E" w:rsidP="00C44E9E">
            <w:pPr>
              <w:spacing w:before="400" w:after="48" w:line="240" w:lineRule="atLeast"/>
              <w:rPr>
                <w:rFonts w:ascii="Verdana" w:hAnsi="Verdana"/>
                <w:position w:val="6"/>
                <w:lang w:val="es-ES"/>
              </w:rPr>
            </w:pPr>
            <w:r w:rsidRPr="00B06F57">
              <w:rPr>
                <w:rFonts w:ascii="Verdana" w:hAnsi="Verdana" w:cs="Times"/>
                <w:b/>
                <w:position w:val="6"/>
                <w:sz w:val="20"/>
                <w:lang w:val="es-ES"/>
              </w:rPr>
              <w:t>Conferencia Mundial de Radiocomunicaciones (CMR-23)</w:t>
            </w:r>
            <w:r w:rsidRPr="00B06F57">
              <w:rPr>
                <w:rFonts w:ascii="Verdana" w:hAnsi="Verdana" w:cs="Times"/>
                <w:b/>
                <w:position w:val="6"/>
                <w:sz w:val="20"/>
                <w:lang w:val="es-ES"/>
              </w:rPr>
              <w:br/>
            </w:r>
            <w:r w:rsidRPr="00B06F57">
              <w:rPr>
                <w:rFonts w:ascii="Verdana" w:hAnsi="Verdana" w:cs="Times"/>
                <w:b/>
                <w:position w:val="6"/>
                <w:sz w:val="18"/>
                <w:szCs w:val="18"/>
                <w:lang w:val="es-ES"/>
              </w:rPr>
              <w:t>Dubái, 20 de noviembre - 15 de diciembre de 2023</w:t>
            </w:r>
          </w:p>
        </w:tc>
        <w:tc>
          <w:tcPr>
            <w:tcW w:w="1809" w:type="dxa"/>
            <w:vAlign w:val="center"/>
          </w:tcPr>
          <w:p w14:paraId="3AE083F3" w14:textId="77777777" w:rsidR="0080079E" w:rsidRPr="00B06F57" w:rsidRDefault="0080079E" w:rsidP="0080079E">
            <w:pPr>
              <w:spacing w:before="0" w:line="240" w:lineRule="atLeast"/>
              <w:rPr>
                <w:lang w:val="es-ES"/>
              </w:rPr>
            </w:pPr>
            <w:bookmarkStart w:id="0" w:name="ditulogo"/>
            <w:bookmarkEnd w:id="0"/>
            <w:r w:rsidRPr="00B06F57">
              <w:rPr>
                <w:noProof/>
                <w:lang w:val="es-ES" w:eastAsia="es-ES"/>
              </w:rPr>
              <w:drawing>
                <wp:inline distT="0" distB="0" distL="0" distR="0" wp14:anchorId="006E0445" wp14:editId="17A68A7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06F57" w14:paraId="04A08909" w14:textId="77777777" w:rsidTr="0050008E">
        <w:trPr>
          <w:cantSplit/>
        </w:trPr>
        <w:tc>
          <w:tcPr>
            <w:tcW w:w="6911" w:type="dxa"/>
            <w:gridSpan w:val="2"/>
            <w:tcBorders>
              <w:bottom w:val="single" w:sz="12" w:space="0" w:color="auto"/>
            </w:tcBorders>
          </w:tcPr>
          <w:p w14:paraId="029A1042" w14:textId="77777777" w:rsidR="0090121B" w:rsidRPr="00B06F57"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6B6E6188" w14:textId="77777777" w:rsidR="0090121B" w:rsidRPr="00B06F57" w:rsidRDefault="0090121B" w:rsidP="0090121B">
            <w:pPr>
              <w:spacing w:before="0" w:line="240" w:lineRule="atLeast"/>
              <w:rPr>
                <w:rFonts w:ascii="Verdana" w:hAnsi="Verdana"/>
                <w:szCs w:val="24"/>
                <w:lang w:val="es-ES"/>
              </w:rPr>
            </w:pPr>
          </w:p>
        </w:tc>
      </w:tr>
      <w:tr w:rsidR="0090121B" w:rsidRPr="00B06F57" w14:paraId="7C64F6AE" w14:textId="77777777" w:rsidTr="0090121B">
        <w:trPr>
          <w:cantSplit/>
        </w:trPr>
        <w:tc>
          <w:tcPr>
            <w:tcW w:w="6911" w:type="dxa"/>
            <w:gridSpan w:val="2"/>
            <w:tcBorders>
              <w:top w:val="single" w:sz="12" w:space="0" w:color="auto"/>
            </w:tcBorders>
          </w:tcPr>
          <w:p w14:paraId="1DB5D498" w14:textId="77777777" w:rsidR="0090121B" w:rsidRPr="00B06F57"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63A99924" w14:textId="77777777" w:rsidR="0090121B" w:rsidRPr="00B06F57" w:rsidRDefault="0090121B" w:rsidP="0090121B">
            <w:pPr>
              <w:spacing w:before="0" w:line="240" w:lineRule="atLeast"/>
              <w:rPr>
                <w:rFonts w:ascii="Verdana" w:hAnsi="Verdana"/>
                <w:sz w:val="20"/>
                <w:lang w:val="es-ES"/>
              </w:rPr>
            </w:pPr>
          </w:p>
        </w:tc>
      </w:tr>
      <w:tr w:rsidR="0090121B" w:rsidRPr="00B06F57" w14:paraId="32BD1504" w14:textId="77777777" w:rsidTr="0090121B">
        <w:trPr>
          <w:cantSplit/>
        </w:trPr>
        <w:tc>
          <w:tcPr>
            <w:tcW w:w="6911" w:type="dxa"/>
            <w:gridSpan w:val="2"/>
          </w:tcPr>
          <w:p w14:paraId="48587409" w14:textId="77777777" w:rsidR="0090121B" w:rsidRPr="00B06F57" w:rsidRDefault="001E7D42" w:rsidP="00EA77F0">
            <w:pPr>
              <w:pStyle w:val="Committee"/>
              <w:framePr w:hSpace="0" w:wrap="auto" w:hAnchor="text" w:yAlign="inline"/>
              <w:rPr>
                <w:sz w:val="18"/>
                <w:szCs w:val="18"/>
                <w:lang w:val="es-ES"/>
              </w:rPr>
            </w:pPr>
            <w:r w:rsidRPr="00B06F57">
              <w:rPr>
                <w:sz w:val="18"/>
                <w:szCs w:val="18"/>
                <w:lang w:val="es-ES"/>
              </w:rPr>
              <w:t>SESIÓN PLENARIA</w:t>
            </w:r>
          </w:p>
        </w:tc>
        <w:tc>
          <w:tcPr>
            <w:tcW w:w="3120" w:type="dxa"/>
            <w:gridSpan w:val="2"/>
          </w:tcPr>
          <w:p w14:paraId="04685CCF" w14:textId="77777777" w:rsidR="0090121B" w:rsidRPr="00B06F57" w:rsidRDefault="00AE658F" w:rsidP="0045384C">
            <w:pPr>
              <w:spacing w:before="0"/>
              <w:rPr>
                <w:rFonts w:ascii="Verdana" w:hAnsi="Verdana"/>
                <w:sz w:val="18"/>
                <w:szCs w:val="18"/>
                <w:lang w:val="es-ES"/>
              </w:rPr>
            </w:pPr>
            <w:r w:rsidRPr="00B06F57">
              <w:rPr>
                <w:rFonts w:ascii="Verdana" w:hAnsi="Verdana"/>
                <w:b/>
                <w:sz w:val="18"/>
                <w:szCs w:val="18"/>
                <w:lang w:val="es-ES"/>
              </w:rPr>
              <w:t>Documento 194</w:t>
            </w:r>
            <w:r w:rsidR="0090121B" w:rsidRPr="00B06F57">
              <w:rPr>
                <w:rFonts w:ascii="Verdana" w:hAnsi="Verdana"/>
                <w:b/>
                <w:sz w:val="18"/>
                <w:szCs w:val="18"/>
                <w:lang w:val="es-ES"/>
              </w:rPr>
              <w:t>-</w:t>
            </w:r>
            <w:r w:rsidRPr="00B06F57">
              <w:rPr>
                <w:rFonts w:ascii="Verdana" w:hAnsi="Verdana"/>
                <w:b/>
                <w:sz w:val="18"/>
                <w:szCs w:val="18"/>
                <w:lang w:val="es-ES"/>
              </w:rPr>
              <w:t>S</w:t>
            </w:r>
          </w:p>
        </w:tc>
      </w:tr>
      <w:bookmarkEnd w:id="1"/>
      <w:tr w:rsidR="000A5B9A" w:rsidRPr="00B06F57" w14:paraId="3DCFA09A" w14:textId="77777777" w:rsidTr="0090121B">
        <w:trPr>
          <w:cantSplit/>
        </w:trPr>
        <w:tc>
          <w:tcPr>
            <w:tcW w:w="6911" w:type="dxa"/>
            <w:gridSpan w:val="2"/>
          </w:tcPr>
          <w:p w14:paraId="1ADC0D8D" w14:textId="77777777" w:rsidR="000A5B9A" w:rsidRPr="00B06F57" w:rsidRDefault="000A5B9A" w:rsidP="0045384C">
            <w:pPr>
              <w:spacing w:before="0" w:after="48"/>
              <w:rPr>
                <w:rFonts w:ascii="Verdana" w:hAnsi="Verdana"/>
                <w:b/>
                <w:smallCaps/>
                <w:sz w:val="18"/>
                <w:szCs w:val="18"/>
                <w:lang w:val="es-ES"/>
              </w:rPr>
            </w:pPr>
          </w:p>
        </w:tc>
        <w:tc>
          <w:tcPr>
            <w:tcW w:w="3120" w:type="dxa"/>
            <w:gridSpan w:val="2"/>
          </w:tcPr>
          <w:p w14:paraId="07009E90" w14:textId="77777777" w:rsidR="000A5B9A" w:rsidRPr="00B06F57" w:rsidRDefault="000A5B9A" w:rsidP="0045384C">
            <w:pPr>
              <w:spacing w:before="0"/>
              <w:rPr>
                <w:rFonts w:ascii="Verdana" w:hAnsi="Verdana"/>
                <w:b/>
                <w:sz w:val="18"/>
                <w:szCs w:val="18"/>
                <w:lang w:val="es-ES"/>
              </w:rPr>
            </w:pPr>
            <w:r w:rsidRPr="00B06F57">
              <w:rPr>
                <w:rFonts w:ascii="Verdana" w:hAnsi="Verdana"/>
                <w:b/>
                <w:sz w:val="18"/>
                <w:szCs w:val="18"/>
                <w:lang w:val="es-ES"/>
              </w:rPr>
              <w:t>30 de octubre de 2023</w:t>
            </w:r>
          </w:p>
        </w:tc>
      </w:tr>
      <w:tr w:rsidR="000A5B9A" w:rsidRPr="00B06F57" w14:paraId="3C084CDC" w14:textId="77777777" w:rsidTr="0090121B">
        <w:trPr>
          <w:cantSplit/>
        </w:trPr>
        <w:tc>
          <w:tcPr>
            <w:tcW w:w="6911" w:type="dxa"/>
            <w:gridSpan w:val="2"/>
          </w:tcPr>
          <w:p w14:paraId="615106D0" w14:textId="77777777" w:rsidR="000A5B9A" w:rsidRPr="00B06F57" w:rsidRDefault="000A5B9A" w:rsidP="0045384C">
            <w:pPr>
              <w:spacing w:before="0" w:after="48"/>
              <w:rPr>
                <w:rFonts w:ascii="Verdana" w:hAnsi="Verdana"/>
                <w:b/>
                <w:smallCaps/>
                <w:sz w:val="18"/>
                <w:szCs w:val="18"/>
                <w:lang w:val="es-ES"/>
              </w:rPr>
            </w:pPr>
          </w:p>
        </w:tc>
        <w:tc>
          <w:tcPr>
            <w:tcW w:w="3120" w:type="dxa"/>
            <w:gridSpan w:val="2"/>
          </w:tcPr>
          <w:p w14:paraId="7C7F55B7" w14:textId="77777777" w:rsidR="000A5B9A" w:rsidRPr="00B06F57" w:rsidRDefault="000A5B9A" w:rsidP="0045384C">
            <w:pPr>
              <w:spacing w:before="0"/>
              <w:rPr>
                <w:rFonts w:ascii="Verdana" w:hAnsi="Verdana"/>
                <w:b/>
                <w:sz w:val="18"/>
                <w:szCs w:val="18"/>
                <w:lang w:val="es-ES"/>
              </w:rPr>
            </w:pPr>
            <w:r w:rsidRPr="00B06F57">
              <w:rPr>
                <w:rFonts w:ascii="Verdana" w:hAnsi="Verdana"/>
                <w:b/>
                <w:sz w:val="18"/>
                <w:szCs w:val="18"/>
                <w:lang w:val="es-ES"/>
              </w:rPr>
              <w:t>Original: inglés</w:t>
            </w:r>
          </w:p>
        </w:tc>
      </w:tr>
      <w:tr w:rsidR="000A5B9A" w:rsidRPr="00B06F57" w14:paraId="3D3E317B" w14:textId="77777777" w:rsidTr="006744FC">
        <w:trPr>
          <w:cantSplit/>
        </w:trPr>
        <w:tc>
          <w:tcPr>
            <w:tcW w:w="10031" w:type="dxa"/>
            <w:gridSpan w:val="4"/>
          </w:tcPr>
          <w:p w14:paraId="257965AC" w14:textId="77777777" w:rsidR="000A5B9A" w:rsidRPr="00B06F57" w:rsidRDefault="000A5B9A" w:rsidP="0045384C">
            <w:pPr>
              <w:spacing w:before="0"/>
              <w:rPr>
                <w:rFonts w:ascii="Verdana" w:hAnsi="Verdana"/>
                <w:b/>
                <w:sz w:val="18"/>
                <w:szCs w:val="22"/>
                <w:lang w:val="es-ES"/>
              </w:rPr>
            </w:pPr>
          </w:p>
        </w:tc>
      </w:tr>
      <w:tr w:rsidR="000A5B9A" w:rsidRPr="00B06F57" w14:paraId="26D3E283" w14:textId="77777777" w:rsidTr="0050008E">
        <w:trPr>
          <w:cantSplit/>
        </w:trPr>
        <w:tc>
          <w:tcPr>
            <w:tcW w:w="10031" w:type="dxa"/>
            <w:gridSpan w:val="4"/>
          </w:tcPr>
          <w:p w14:paraId="15FD05CA" w14:textId="15E49727" w:rsidR="000A5B9A" w:rsidRPr="00B06F57" w:rsidRDefault="00434FCA" w:rsidP="000A5B9A">
            <w:pPr>
              <w:pStyle w:val="Source"/>
              <w:rPr>
                <w:lang w:val="es-ES"/>
              </w:rPr>
            </w:pPr>
            <w:bookmarkStart w:id="2" w:name="dsource" w:colFirst="0" w:colLast="0"/>
            <w:r w:rsidRPr="00B06F57">
              <w:rPr>
                <w:lang w:val="es-ES"/>
              </w:rPr>
              <w:t>Nota de la Secretaria General</w:t>
            </w:r>
          </w:p>
        </w:tc>
      </w:tr>
      <w:tr w:rsidR="000A5B9A" w:rsidRPr="00B06F57" w14:paraId="4DC78CA3" w14:textId="77777777" w:rsidTr="0050008E">
        <w:trPr>
          <w:cantSplit/>
        </w:trPr>
        <w:tc>
          <w:tcPr>
            <w:tcW w:w="10031" w:type="dxa"/>
            <w:gridSpan w:val="4"/>
          </w:tcPr>
          <w:p w14:paraId="29A5840C" w14:textId="5CE96A39" w:rsidR="000A5B9A" w:rsidRPr="00B06F57" w:rsidRDefault="00434FCA" w:rsidP="00434FCA">
            <w:pPr>
              <w:pStyle w:val="Title1"/>
              <w:rPr>
                <w:lang w:val="es-ES"/>
              </w:rPr>
            </w:pPr>
            <w:bookmarkStart w:id="3" w:name="dtitle1" w:colFirst="0" w:colLast="0"/>
            <w:bookmarkEnd w:id="2"/>
            <w:r w:rsidRPr="00B06F57">
              <w:rPr>
                <w:lang w:val="es-ES"/>
              </w:rPr>
              <w:t xml:space="preserve">POSICIÓN ACORDADA DE LA Organización Internacional de Comunicaciones Espaciales </w:t>
            </w:r>
            <w:r w:rsidR="00361F1F" w:rsidRPr="00B06F57">
              <w:rPr>
                <w:lang w:val="es-ES"/>
              </w:rPr>
              <w:t>INTERSPUTNIK SOBRE</w:t>
            </w:r>
            <w:r w:rsidRPr="00B06F57">
              <w:rPr>
                <w:lang w:val="es-ES"/>
              </w:rPr>
              <w:t xml:space="preserve"> LOS PUNTOS DEL ORDEN DEL DÍA DE LA CONFERENCIA MUNDIAL DE RADIOCOMUNICACIONES 2023 DE LA UNIÓN INTERNACIONAL DE TELECOMUNICACIONES </w:t>
            </w:r>
          </w:p>
        </w:tc>
      </w:tr>
      <w:tr w:rsidR="000A5B9A" w:rsidRPr="00B06F57" w14:paraId="57A867B5" w14:textId="77777777" w:rsidTr="0050008E">
        <w:trPr>
          <w:cantSplit/>
        </w:trPr>
        <w:tc>
          <w:tcPr>
            <w:tcW w:w="10031" w:type="dxa"/>
            <w:gridSpan w:val="4"/>
          </w:tcPr>
          <w:p w14:paraId="7B6B1F9B" w14:textId="77777777" w:rsidR="000A5B9A" w:rsidRPr="00B06F57" w:rsidRDefault="000A5B9A" w:rsidP="000A5B9A">
            <w:pPr>
              <w:pStyle w:val="Title2"/>
              <w:rPr>
                <w:lang w:val="es-ES"/>
              </w:rPr>
            </w:pPr>
            <w:bookmarkStart w:id="4" w:name="dtitle2" w:colFirst="0" w:colLast="0"/>
            <w:bookmarkEnd w:id="3"/>
          </w:p>
        </w:tc>
      </w:tr>
      <w:tr w:rsidR="000A5B9A" w:rsidRPr="00B06F57" w14:paraId="677B718B" w14:textId="77777777" w:rsidTr="0050008E">
        <w:trPr>
          <w:cantSplit/>
        </w:trPr>
        <w:tc>
          <w:tcPr>
            <w:tcW w:w="10031" w:type="dxa"/>
            <w:gridSpan w:val="4"/>
          </w:tcPr>
          <w:tbl>
            <w:tblPr>
              <w:tblpPr w:leftFromText="180" w:rightFromText="180" w:horzAnchor="margin" w:tblpY="-675"/>
              <w:tblW w:w="10031" w:type="dxa"/>
              <w:tblLayout w:type="fixed"/>
              <w:tblLook w:val="0000" w:firstRow="0" w:lastRow="0" w:firstColumn="0" w:lastColumn="0" w:noHBand="0" w:noVBand="0"/>
            </w:tblPr>
            <w:tblGrid>
              <w:gridCol w:w="10031"/>
            </w:tblGrid>
            <w:tr w:rsidR="00434FCA" w:rsidRPr="00434FCA" w14:paraId="6EB793D1" w14:textId="77777777" w:rsidTr="004A2DC3">
              <w:trPr>
                <w:cantSplit/>
                <w:trHeight w:val="23"/>
              </w:trPr>
              <w:tc>
                <w:tcPr>
                  <w:tcW w:w="10031" w:type="dxa"/>
                  <w:shd w:val="clear" w:color="auto" w:fill="auto"/>
                </w:tcPr>
                <w:p w14:paraId="0C45D98C" w14:textId="77777777" w:rsidR="00434FCA" w:rsidRPr="00434FCA" w:rsidRDefault="00434FCA" w:rsidP="00434FCA">
                  <w:pPr>
                    <w:overflowPunct/>
                    <w:autoSpaceDE/>
                    <w:autoSpaceDN/>
                    <w:adjustRightInd/>
                    <w:spacing w:before="240"/>
                    <w:jc w:val="center"/>
                    <w:textAlignment w:val="auto"/>
                    <w:rPr>
                      <w:sz w:val="28"/>
                      <w:lang w:val="es-ES"/>
                    </w:rPr>
                  </w:pPr>
                  <w:bookmarkStart w:id="5" w:name="dtitle3" w:colFirst="0" w:colLast="0"/>
                  <w:bookmarkEnd w:id="4"/>
                </w:p>
              </w:tc>
            </w:tr>
          </w:tbl>
          <w:p w14:paraId="4769B9B7" w14:textId="009BF5B9" w:rsidR="00434FCA" w:rsidRPr="00B06F57" w:rsidRDefault="00434FCA" w:rsidP="00297E6F">
            <w:pPr>
              <w:pStyle w:val="Normalaftertitle"/>
              <w:rPr>
                <w:lang w:val="es-ES"/>
              </w:rPr>
            </w:pPr>
            <w:bookmarkStart w:id="6" w:name="lt_pId010"/>
            <w:r w:rsidRPr="00B06F57">
              <w:rPr>
                <w:lang w:val="es-ES"/>
              </w:rPr>
              <w:t xml:space="preserve">Tengo el honor de señalar a la atención de la Conferencia, a petición de la Organización Internacional de Comunicaciones Espaciales Intersputnik, el documento para información adjunto. </w:t>
            </w:r>
          </w:p>
          <w:bookmarkEnd w:id="6"/>
          <w:p w14:paraId="2F8E297F" w14:textId="61FA4991" w:rsidR="00434FCA" w:rsidRPr="00434FCA" w:rsidRDefault="00434FCA" w:rsidP="00434FCA">
            <w:pPr>
              <w:tabs>
                <w:tab w:val="clear" w:pos="1134"/>
                <w:tab w:val="clear" w:pos="1871"/>
                <w:tab w:val="clear" w:pos="2268"/>
                <w:tab w:val="center" w:pos="6804"/>
              </w:tabs>
              <w:spacing w:before="960"/>
              <w:rPr>
                <w:lang w:val="es-ES"/>
              </w:rPr>
            </w:pPr>
            <w:r w:rsidRPr="00434FCA">
              <w:rPr>
                <w:lang w:val="es-ES"/>
              </w:rPr>
              <w:tab/>
            </w:r>
            <w:bookmarkStart w:id="7" w:name="lt_pId011"/>
            <w:r w:rsidRPr="00434FCA">
              <w:rPr>
                <w:lang w:val="es-ES"/>
              </w:rPr>
              <w:t>Doreen Bogdan-Martin</w:t>
            </w:r>
            <w:bookmarkEnd w:id="7"/>
            <w:r w:rsidRPr="00434FCA">
              <w:rPr>
                <w:lang w:val="es-ES"/>
              </w:rPr>
              <w:br/>
            </w:r>
            <w:r w:rsidRPr="00434FCA">
              <w:rPr>
                <w:lang w:val="es-ES"/>
              </w:rPr>
              <w:tab/>
            </w:r>
            <w:bookmarkStart w:id="8" w:name="lt_pId012"/>
            <w:r w:rsidRPr="00B06F57">
              <w:rPr>
                <w:lang w:val="es-ES"/>
              </w:rPr>
              <w:t xml:space="preserve">Secretaria </w:t>
            </w:r>
            <w:r w:rsidRPr="00434FCA">
              <w:rPr>
                <w:lang w:val="es-ES"/>
              </w:rPr>
              <w:t>General</w:t>
            </w:r>
            <w:bookmarkEnd w:id="8"/>
          </w:p>
          <w:p w14:paraId="729F61E5" w14:textId="5A65BE64" w:rsidR="000A5B9A" w:rsidRPr="00B06F57" w:rsidRDefault="000A5B9A" w:rsidP="000A5B9A">
            <w:pPr>
              <w:pStyle w:val="Agendaitem"/>
              <w:rPr>
                <w:lang w:val="es-ES"/>
              </w:rPr>
            </w:pPr>
          </w:p>
        </w:tc>
      </w:tr>
      <w:bookmarkEnd w:id="5"/>
    </w:tbl>
    <w:p w14:paraId="05BFDC4F" w14:textId="77777777" w:rsidR="00363A65" w:rsidRPr="00B06F57" w:rsidRDefault="00363A65" w:rsidP="002C1A52">
      <w:pPr>
        <w:rPr>
          <w:lang w:val="es-ES"/>
        </w:rPr>
      </w:pPr>
    </w:p>
    <w:p w14:paraId="085FF130" w14:textId="7925A986" w:rsidR="00434FCA" w:rsidRPr="00297E6F" w:rsidRDefault="008750A8" w:rsidP="00434FCA">
      <w:pPr>
        <w:pStyle w:val="Annextitle"/>
      </w:pPr>
      <w:r w:rsidRPr="00B06F57">
        <w:rPr>
          <w:lang w:val="es-ES"/>
        </w:rPr>
        <w:br w:type="page"/>
      </w:r>
      <w:r w:rsidR="00434FCA" w:rsidRPr="00B06F57">
        <w:rPr>
          <w:lang w:val="es-ES"/>
        </w:rPr>
        <w:lastRenderedPageBreak/>
        <w:t xml:space="preserve">POSICIÓN ACORDADA DE LA ORGANIZACIÓN INTERNACIONAL DE COMUNICACIONES ESPACIALES </w:t>
      </w:r>
      <w:r w:rsidR="00B06F57" w:rsidRPr="00B06F57">
        <w:rPr>
          <w:lang w:val="es-ES"/>
        </w:rPr>
        <w:t>INTERSPUTNIK SOBRE</w:t>
      </w:r>
      <w:r w:rsidR="00434FCA" w:rsidRPr="00B06F57">
        <w:rPr>
          <w:lang w:val="es-ES"/>
        </w:rPr>
        <w:t xml:space="preserve"> LOS PUNTOS DEL ORDEN DEL DÍA DE LA CONFERENCIA MUNDIAL DE RADIOCOMUNICACIONES 2023 DE LA UNIÓN INTERNACIONAL DE TELECOMUNICACIONES</w:t>
      </w:r>
    </w:p>
    <w:p w14:paraId="63B475E2" w14:textId="18B84572" w:rsidR="00434FCA" w:rsidRPr="00434FCA" w:rsidRDefault="00434FCA" w:rsidP="00297E6F">
      <w:pPr>
        <w:rPr>
          <w:lang w:val="es-ES"/>
        </w:rPr>
      </w:pPr>
      <w:bookmarkStart w:id="9" w:name="lt_pId014"/>
      <w:r w:rsidRPr="00B06F57">
        <w:rPr>
          <w:lang w:val="es-ES"/>
        </w:rPr>
        <w:t xml:space="preserve">Este </w:t>
      </w:r>
      <w:r w:rsidR="001D253F" w:rsidRPr="00B06F57">
        <w:rPr>
          <w:lang w:val="es-ES"/>
        </w:rPr>
        <w:t>documento</w:t>
      </w:r>
      <w:r w:rsidRPr="00B06F57">
        <w:rPr>
          <w:lang w:val="es-ES"/>
        </w:rPr>
        <w:t xml:space="preserve"> contiene la posición acordada de la Organización Internacional de </w:t>
      </w:r>
      <w:r w:rsidR="001D253F" w:rsidRPr="00B06F57">
        <w:rPr>
          <w:lang w:val="es-ES"/>
        </w:rPr>
        <w:t xml:space="preserve">Comunicaciones Espaciales (IOCS) </w:t>
      </w:r>
      <w:r w:rsidR="00B06F57" w:rsidRPr="00B06F57">
        <w:rPr>
          <w:lang w:val="es-ES"/>
        </w:rPr>
        <w:t>Intersputnik sobre</w:t>
      </w:r>
      <w:r w:rsidRPr="00B06F57">
        <w:rPr>
          <w:lang w:val="es-ES"/>
        </w:rPr>
        <w:t xml:space="preserve"> los puntos del orden del día de la </w:t>
      </w:r>
      <w:r w:rsidR="001D253F" w:rsidRPr="00B06F57">
        <w:rPr>
          <w:lang w:val="es-ES"/>
        </w:rPr>
        <w:t xml:space="preserve">Conferencia Mundial </w:t>
      </w:r>
      <w:r w:rsidRPr="00B06F57">
        <w:rPr>
          <w:lang w:val="es-ES"/>
        </w:rPr>
        <w:t xml:space="preserve">de </w:t>
      </w:r>
      <w:r w:rsidR="001D253F" w:rsidRPr="00B06F57">
        <w:rPr>
          <w:lang w:val="es-ES"/>
        </w:rPr>
        <w:t xml:space="preserve">Radiocomunicaciones </w:t>
      </w:r>
      <w:r w:rsidRPr="00B06F57">
        <w:rPr>
          <w:lang w:val="es-ES"/>
        </w:rPr>
        <w:t xml:space="preserve">2023 </w:t>
      </w:r>
      <w:r w:rsidR="001D253F" w:rsidRPr="00B06F57">
        <w:rPr>
          <w:lang w:val="es-ES"/>
        </w:rPr>
        <w:t xml:space="preserve">(CMR-23) </w:t>
      </w:r>
      <w:r w:rsidRPr="00B06F57">
        <w:rPr>
          <w:lang w:val="es-ES"/>
        </w:rPr>
        <w:t xml:space="preserve">de la </w:t>
      </w:r>
      <w:r w:rsidR="001D253F" w:rsidRPr="00B06F57">
        <w:rPr>
          <w:lang w:val="es-ES"/>
        </w:rPr>
        <w:t xml:space="preserve">Unión Internacional </w:t>
      </w:r>
      <w:r w:rsidRPr="00B06F57">
        <w:rPr>
          <w:lang w:val="es-ES"/>
        </w:rPr>
        <w:t xml:space="preserve">de </w:t>
      </w:r>
      <w:r w:rsidR="001D253F" w:rsidRPr="00B06F57">
        <w:rPr>
          <w:lang w:val="es-ES"/>
        </w:rPr>
        <w:t>Telecomunicaciones (UIT), relacionados con las comunicaciones por satélite y otras actividades de la Organización (Posición de Intersput</w:t>
      </w:r>
      <w:r w:rsidR="00B06F57">
        <w:rPr>
          <w:lang w:val="es-ES"/>
        </w:rPr>
        <w:t>n</w:t>
      </w:r>
      <w:r w:rsidR="001D253F" w:rsidRPr="00B06F57">
        <w:rPr>
          <w:lang w:val="es-ES"/>
        </w:rPr>
        <w:t xml:space="preserve">ik). </w:t>
      </w:r>
      <w:bookmarkEnd w:id="9"/>
    </w:p>
    <w:p w14:paraId="1D1B48D4" w14:textId="0AE33D5A" w:rsidR="00434FCA" w:rsidRPr="00434FCA" w:rsidRDefault="00434FCA" w:rsidP="00297E6F">
      <w:pPr>
        <w:pStyle w:val="Heading1"/>
        <w:rPr>
          <w:lang w:val="es-ES"/>
        </w:rPr>
      </w:pPr>
      <w:r w:rsidRPr="00434FCA">
        <w:rPr>
          <w:lang w:val="es-ES"/>
        </w:rPr>
        <w:t>1</w:t>
      </w:r>
      <w:r w:rsidRPr="00434FCA">
        <w:rPr>
          <w:lang w:val="es-ES"/>
        </w:rPr>
        <w:tab/>
      </w:r>
      <w:bookmarkStart w:id="10" w:name="lt_pId016"/>
      <w:r w:rsidR="001D253F" w:rsidRPr="00B06F57">
        <w:rPr>
          <w:lang w:val="es-ES"/>
        </w:rPr>
        <w:t>Antecedentes de</w:t>
      </w:r>
      <w:r w:rsidRPr="00434FCA">
        <w:rPr>
          <w:lang w:val="es-ES"/>
        </w:rPr>
        <w:t xml:space="preserve"> Intersputnik</w:t>
      </w:r>
      <w:bookmarkEnd w:id="10"/>
    </w:p>
    <w:p w14:paraId="3AC5ABCE" w14:textId="049C1220" w:rsidR="00434FCA" w:rsidRPr="00434FCA" w:rsidRDefault="00D72750" w:rsidP="00434FCA">
      <w:pPr>
        <w:rPr>
          <w:lang w:val="es-ES"/>
        </w:rPr>
      </w:pPr>
      <w:bookmarkStart w:id="11" w:name="lt_pId017"/>
      <w:r w:rsidRPr="00B06F57">
        <w:rPr>
          <w:lang w:val="es-ES"/>
        </w:rPr>
        <w:t xml:space="preserve">La Organización Internacional de Comunicaciones Espaciales Intersputnik, constituida en virtud del Acuerdo para la creación del sistema internacional y la organización de comunicaciones espaciales Intersputnik, firmado el 15 de noviembre de 1971, es una organización internacional intergubernamental cuya misión es contribuir al fortalecimiento y al desarrollo de las relaciones económicas, científicas, técnicas, culturales y de otro tipo mediante las comunicaciones, la difusión de radio y televisión por satélite y garantizar la cooperación y la coordinación de </w:t>
      </w:r>
      <w:r w:rsidR="001D6946">
        <w:rPr>
          <w:lang w:val="es-ES"/>
        </w:rPr>
        <w:t xml:space="preserve">los </w:t>
      </w:r>
      <w:r w:rsidRPr="00B06F57">
        <w:rPr>
          <w:lang w:val="es-ES"/>
        </w:rPr>
        <w:t>esfuerzos en el diseño, la implantación, la explotación y el desarrollo del sistema internacional de telecomunicaciones por satélite Intersputnik.</w:t>
      </w:r>
      <w:bookmarkEnd w:id="11"/>
    </w:p>
    <w:p w14:paraId="4C5CDFEB" w14:textId="35A289A4" w:rsidR="00434FCA" w:rsidRPr="00434FCA" w:rsidRDefault="00434FCA" w:rsidP="00297E6F">
      <w:pPr>
        <w:pStyle w:val="Heading1"/>
        <w:rPr>
          <w:b w:val="0"/>
          <w:lang w:val="es-ES"/>
        </w:rPr>
      </w:pPr>
      <w:r w:rsidRPr="00434FCA">
        <w:rPr>
          <w:lang w:val="es-ES"/>
        </w:rPr>
        <w:t>2</w:t>
      </w:r>
      <w:r w:rsidRPr="00434FCA">
        <w:rPr>
          <w:lang w:val="es-ES"/>
        </w:rPr>
        <w:tab/>
      </w:r>
      <w:bookmarkStart w:id="12" w:name="lt_pId019"/>
      <w:r w:rsidR="00D72750" w:rsidRPr="00B06F57">
        <w:rPr>
          <w:lang w:val="es-ES"/>
        </w:rPr>
        <w:t xml:space="preserve">Posición de </w:t>
      </w:r>
      <w:r w:rsidRPr="00434FCA">
        <w:rPr>
          <w:lang w:val="es-ES"/>
        </w:rPr>
        <w:t xml:space="preserve">Intersputnik </w:t>
      </w:r>
      <w:r w:rsidR="00D72750" w:rsidRPr="00B06F57">
        <w:rPr>
          <w:lang w:val="es-ES"/>
        </w:rPr>
        <w:t>para la CMR</w:t>
      </w:r>
      <w:r w:rsidRPr="00434FCA">
        <w:rPr>
          <w:lang w:val="es-ES"/>
        </w:rPr>
        <w:t>-23</w:t>
      </w:r>
      <w:bookmarkEnd w:id="12"/>
    </w:p>
    <w:p w14:paraId="03491CAF" w14:textId="5FC25A6B" w:rsidR="00434FCA" w:rsidRPr="00434FCA" w:rsidRDefault="00D72750" w:rsidP="00434FCA">
      <w:pPr>
        <w:tabs>
          <w:tab w:val="clear" w:pos="1134"/>
          <w:tab w:val="clear" w:pos="1871"/>
          <w:tab w:val="clear" w:pos="2268"/>
        </w:tabs>
        <w:overflowPunct/>
        <w:autoSpaceDE/>
        <w:autoSpaceDN/>
        <w:adjustRightInd/>
        <w:spacing w:before="0"/>
        <w:textAlignment w:val="auto"/>
        <w:rPr>
          <w:lang w:val="es-ES"/>
        </w:rPr>
      </w:pPr>
      <w:r w:rsidRPr="00B06F57">
        <w:rPr>
          <w:lang w:val="es-ES"/>
        </w:rPr>
        <w:t xml:space="preserve">El Comité de Operaciones de Intersputnik aprobó la Posición de Intersputnik de acuerdo con las reglas y procedimientos de Intersputnik. </w:t>
      </w:r>
      <w:r w:rsidRPr="00B06F57">
        <w:rPr>
          <w:b/>
          <w:lang w:val="es-ES"/>
        </w:rPr>
        <w:t>Esta posición, sin embargo, no refleja una posición unánime de los Miembros de la IOSC Intersputnik sobre los puntos del orden del día de la CMR-23</w:t>
      </w:r>
      <w:r w:rsidRPr="00B06F57">
        <w:rPr>
          <w:lang w:val="es-ES"/>
        </w:rPr>
        <w:t>.</w:t>
      </w:r>
      <w:r w:rsidR="00434FCA" w:rsidRPr="00434FCA">
        <w:rPr>
          <w:lang w:val="es-ES"/>
        </w:rPr>
        <w:br w:type="page"/>
      </w:r>
    </w:p>
    <w:p w14:paraId="26DE1049" w14:textId="18E675A4" w:rsidR="00434FCA" w:rsidRPr="00434FCA" w:rsidRDefault="00D920FB" w:rsidP="00434FCA">
      <w:pPr>
        <w:rPr>
          <w:lang w:val="es-ES"/>
        </w:rPr>
      </w:pPr>
      <w:bookmarkStart w:id="13" w:name="lt_pId022"/>
      <w:r w:rsidRPr="00B06F57">
        <w:rPr>
          <w:lang w:val="es-ES"/>
        </w:rPr>
        <w:lastRenderedPageBreak/>
        <w:t>El siguiente Cuadro resume la posición de Intersputnik sobre determinados puntos del orden del día</w:t>
      </w:r>
      <w:r w:rsidR="00434FCA" w:rsidRPr="00434FCA">
        <w:rPr>
          <w:lang w:val="es-ES"/>
        </w:rPr>
        <w:t>:</w:t>
      </w:r>
      <w:bookmarkEnd w:id="13"/>
    </w:p>
    <w:p w14:paraId="30238887" w14:textId="77777777" w:rsidR="00434FCA" w:rsidRPr="00434FCA" w:rsidRDefault="00434FCA" w:rsidP="00434FCA">
      <w:pPr>
        <w:rPr>
          <w:lang w:val="es-ES"/>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114"/>
        <w:gridCol w:w="6662"/>
      </w:tblGrid>
      <w:tr w:rsidR="00434FCA" w:rsidRPr="00434FCA" w14:paraId="4EC98B92" w14:textId="77777777" w:rsidTr="004A2DC3">
        <w:trPr>
          <w:tblHeader/>
          <w:jc w:val="center"/>
        </w:trPr>
        <w:tc>
          <w:tcPr>
            <w:tcW w:w="3114" w:type="dxa"/>
            <w:vAlign w:val="center"/>
          </w:tcPr>
          <w:p w14:paraId="5E3982E0" w14:textId="3A8CEB69" w:rsidR="00434FCA" w:rsidRPr="00297E6F" w:rsidRDefault="00D920FB" w:rsidP="00297E6F">
            <w:pPr>
              <w:pStyle w:val="Tablehead"/>
              <w:rPr>
                <w:rFonts w:eastAsia="Calibri"/>
                <w:sz w:val="24"/>
                <w:szCs w:val="24"/>
                <w:lang w:val="es-ES" w:eastAsia="ru-RU"/>
              </w:rPr>
            </w:pPr>
            <w:bookmarkStart w:id="14" w:name="lt_pId023"/>
            <w:r w:rsidRPr="00297E6F">
              <w:rPr>
                <w:rFonts w:eastAsia="Calibri"/>
                <w:sz w:val="24"/>
                <w:szCs w:val="24"/>
                <w:lang w:val="es-ES" w:eastAsia="ru-RU"/>
              </w:rPr>
              <w:t>Punto del orden del día</w:t>
            </w:r>
            <w:bookmarkEnd w:id="14"/>
          </w:p>
        </w:tc>
        <w:tc>
          <w:tcPr>
            <w:tcW w:w="6662" w:type="dxa"/>
            <w:vAlign w:val="center"/>
          </w:tcPr>
          <w:p w14:paraId="5F5EB16D" w14:textId="5387BC3F" w:rsidR="00434FCA" w:rsidRPr="00297E6F" w:rsidRDefault="002C25CA" w:rsidP="00297E6F">
            <w:pPr>
              <w:pStyle w:val="Tablehead"/>
              <w:rPr>
                <w:rFonts w:eastAsia="Calibri"/>
                <w:b w:val="0"/>
                <w:sz w:val="24"/>
                <w:szCs w:val="24"/>
                <w:lang w:val="es-ES" w:eastAsia="ru-RU"/>
              </w:rPr>
            </w:pPr>
            <w:r w:rsidRPr="00297E6F">
              <w:rPr>
                <w:rFonts w:eastAsia="Calibri"/>
                <w:sz w:val="24"/>
                <w:szCs w:val="24"/>
                <w:lang w:val="es-ES" w:eastAsia="ru-RU"/>
              </w:rPr>
              <w:t>Posición de Intersput</w:t>
            </w:r>
            <w:r w:rsidR="00B06F57" w:rsidRPr="00297E6F">
              <w:rPr>
                <w:rFonts w:eastAsia="Calibri"/>
                <w:sz w:val="24"/>
                <w:szCs w:val="24"/>
                <w:lang w:val="es-ES" w:eastAsia="ru-RU"/>
              </w:rPr>
              <w:t>n</w:t>
            </w:r>
            <w:r w:rsidRPr="00297E6F">
              <w:rPr>
                <w:rFonts w:eastAsia="Calibri"/>
                <w:sz w:val="24"/>
                <w:szCs w:val="24"/>
                <w:lang w:val="es-ES" w:eastAsia="ru-RU"/>
              </w:rPr>
              <w:t>ik</w:t>
            </w:r>
          </w:p>
        </w:tc>
      </w:tr>
      <w:tr w:rsidR="00434FCA" w:rsidRPr="00434FCA" w14:paraId="66D50577" w14:textId="77777777" w:rsidTr="004A2DC3">
        <w:trPr>
          <w:jc w:val="center"/>
        </w:trPr>
        <w:tc>
          <w:tcPr>
            <w:tcW w:w="3114" w:type="dxa"/>
          </w:tcPr>
          <w:p w14:paraId="24FC4C3D" w14:textId="355CDF79" w:rsidR="00434FCA" w:rsidRPr="00434FCA" w:rsidRDefault="00D920FB" w:rsidP="00434F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bookmarkStart w:id="15" w:name="lt_pId025"/>
            <w:r w:rsidRPr="00B06F57">
              <w:rPr>
                <w:rFonts w:eastAsia="Calibri"/>
                <w:b/>
                <w:i/>
                <w:szCs w:val="24"/>
                <w:lang w:val="es-ES" w:eastAsia="ru-RU"/>
              </w:rPr>
              <w:t xml:space="preserve">Punto </w:t>
            </w:r>
            <w:r w:rsidRPr="00434FCA">
              <w:rPr>
                <w:rFonts w:eastAsia="Calibri"/>
                <w:b/>
                <w:i/>
                <w:szCs w:val="24"/>
                <w:lang w:val="es-ES" w:eastAsia="ru-RU"/>
              </w:rPr>
              <w:t>1.2</w:t>
            </w:r>
            <w:r w:rsidRPr="00B06F57">
              <w:rPr>
                <w:rFonts w:eastAsia="Calibri"/>
                <w:b/>
                <w:i/>
                <w:szCs w:val="24"/>
                <w:lang w:val="es-ES" w:eastAsia="ru-RU"/>
              </w:rPr>
              <w:t xml:space="preserve"> del orden del día </w:t>
            </w:r>
            <w:bookmarkEnd w:id="15"/>
          </w:p>
          <w:p w14:paraId="7E057EB9" w14:textId="0CCB2903" w:rsidR="00434FCA" w:rsidRPr="00434FCA" w:rsidRDefault="001D6946" w:rsidP="00434FCA">
            <w:pPr>
              <w:tabs>
                <w:tab w:val="clear" w:pos="1134"/>
                <w:tab w:val="clear" w:pos="1871"/>
                <w:tab w:val="clear" w:pos="2268"/>
              </w:tabs>
              <w:overflowPunct/>
              <w:autoSpaceDE/>
              <w:autoSpaceDN/>
              <w:adjustRightInd/>
              <w:spacing w:before="0" w:after="200" w:line="276" w:lineRule="auto"/>
              <w:textAlignment w:val="auto"/>
              <w:rPr>
                <w:rFonts w:eastAsia="Calibri"/>
                <w:iCs/>
                <w:color w:val="000000"/>
                <w:szCs w:val="24"/>
                <w:lang w:val="es-ES" w:eastAsia="ru-RU"/>
              </w:rPr>
            </w:pPr>
            <w:r>
              <w:rPr>
                <w:rFonts w:eastAsia="Calibri"/>
                <w:iCs/>
                <w:color w:val="000000"/>
                <w:szCs w:val="24"/>
                <w:lang w:val="es-ES" w:eastAsia="ru-RU"/>
              </w:rPr>
              <w:t>cuestiones de</w:t>
            </w:r>
            <w:r w:rsidR="00D920FB" w:rsidRPr="00B06F57">
              <w:rPr>
                <w:rFonts w:eastAsia="Calibri"/>
                <w:iCs/>
                <w:color w:val="000000"/>
                <w:szCs w:val="24"/>
                <w:lang w:val="es-ES" w:eastAsia="ru-RU"/>
              </w:rPr>
              <w:t xml:space="preserve"> las Telecomunicaciones Móviles Internacionales (IMT), incluidas posibles atribuciones adicionales a título primario al servicio móvil en determinadas bandas de frecuencias, de conformidad con la Resolución </w:t>
            </w:r>
            <w:r w:rsidR="00D920FB" w:rsidRPr="009959FA">
              <w:rPr>
                <w:rFonts w:eastAsia="Calibri"/>
                <w:b/>
                <w:bCs/>
                <w:iCs/>
                <w:color w:val="000000"/>
                <w:szCs w:val="24"/>
                <w:lang w:val="es-ES" w:eastAsia="ru-RU"/>
              </w:rPr>
              <w:t>245 (CMR-19)</w:t>
            </w:r>
            <w:r w:rsidR="002C25CA" w:rsidRPr="00B06F57">
              <w:rPr>
                <w:rFonts w:eastAsia="Calibri"/>
                <w:iCs/>
                <w:color w:val="000000"/>
                <w:szCs w:val="24"/>
                <w:lang w:val="es-ES" w:eastAsia="ru-RU"/>
              </w:rPr>
              <w:t>.</w:t>
            </w:r>
          </w:p>
        </w:tc>
        <w:tc>
          <w:tcPr>
            <w:tcW w:w="6662" w:type="dxa"/>
          </w:tcPr>
          <w:p w14:paraId="33DB72BF" w14:textId="5C24CB75" w:rsidR="00434FCA" w:rsidRPr="00434FCA" w:rsidRDefault="00434FCA" w:rsidP="00434FCA">
            <w:pPr>
              <w:tabs>
                <w:tab w:val="clear" w:pos="1134"/>
                <w:tab w:val="clear" w:pos="1871"/>
                <w:tab w:val="clear" w:pos="2268"/>
              </w:tabs>
              <w:overflowPunct/>
              <w:autoSpaceDE/>
              <w:autoSpaceDN/>
              <w:adjustRightInd/>
              <w:spacing w:before="0" w:after="200" w:line="276" w:lineRule="auto"/>
              <w:textAlignment w:val="auto"/>
              <w:rPr>
                <w:rFonts w:eastAsia="Calibri"/>
                <w:i/>
                <w:szCs w:val="24"/>
                <w:u w:val="single"/>
                <w:lang w:val="es-ES" w:eastAsia="ru-RU"/>
              </w:rPr>
            </w:pPr>
            <w:bookmarkStart w:id="16" w:name="lt_pId027"/>
            <w:r w:rsidRPr="00434FCA">
              <w:rPr>
                <w:rFonts w:eastAsia="Calibri"/>
                <w:i/>
                <w:szCs w:val="24"/>
                <w:u w:val="single"/>
                <w:lang w:val="es-ES" w:eastAsia="ru-RU"/>
              </w:rPr>
              <w:t>Band 3 − 3600−3800 MHz (</w:t>
            </w:r>
            <w:r w:rsidR="00B06F57" w:rsidRPr="00434FCA">
              <w:rPr>
                <w:rFonts w:eastAsia="Calibri"/>
                <w:i/>
                <w:szCs w:val="24"/>
                <w:u w:val="single"/>
                <w:lang w:val="es-ES" w:eastAsia="ru-RU"/>
              </w:rPr>
              <w:t>Región</w:t>
            </w:r>
            <w:r w:rsidRPr="00434FCA">
              <w:rPr>
                <w:rFonts w:eastAsia="Calibri"/>
                <w:i/>
                <w:szCs w:val="24"/>
                <w:u w:val="single"/>
                <w:lang w:val="es-ES" w:eastAsia="ru-RU"/>
              </w:rPr>
              <w:t xml:space="preserve"> 2)</w:t>
            </w:r>
            <w:r w:rsidRPr="00434FCA">
              <w:rPr>
                <w:rFonts w:eastAsia="Calibri"/>
                <w:iCs/>
                <w:szCs w:val="24"/>
                <w:lang w:val="es-ES" w:eastAsia="ru-RU"/>
              </w:rPr>
              <w:t>:</w:t>
            </w:r>
            <w:bookmarkEnd w:id="16"/>
          </w:p>
          <w:p w14:paraId="04CDE6D4" w14:textId="26937E59" w:rsidR="00434FCA" w:rsidRPr="00434FCA" w:rsidRDefault="002C25CA" w:rsidP="0002578F">
            <w:p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jc w:val="both"/>
              <w:textAlignment w:val="auto"/>
              <w:rPr>
                <w:rFonts w:eastAsia="Calibri"/>
                <w:b/>
                <w:i/>
                <w:color w:val="000000"/>
                <w:szCs w:val="24"/>
                <w:lang w:val="es-ES" w:eastAsia="ru-RU"/>
              </w:rPr>
            </w:pPr>
            <w:bookmarkStart w:id="17" w:name="lt_pId028"/>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3A</w:t>
            </w:r>
            <w:r w:rsidR="00434FCA" w:rsidRPr="00434FCA">
              <w:rPr>
                <w:rFonts w:eastAsia="Calibri"/>
                <w:bCs/>
                <w:color w:val="000000"/>
                <w:szCs w:val="24"/>
                <w:lang w:val="es-ES" w:eastAsia="ru-RU"/>
              </w:rPr>
              <w:t xml:space="preserve">, </w:t>
            </w:r>
            <w:r w:rsidR="0002578F" w:rsidRPr="00B06F57">
              <w:rPr>
                <w:rFonts w:eastAsia="Calibri"/>
                <w:bCs/>
                <w:color w:val="000000"/>
                <w:szCs w:val="24"/>
                <w:lang w:val="es-ES" w:eastAsia="ru-RU"/>
              </w:rPr>
              <w:t>que implica de la supresión de la Resolución</w:t>
            </w:r>
            <w:r w:rsidR="00297E6F">
              <w:rPr>
                <w:rFonts w:eastAsia="Calibri"/>
                <w:bCs/>
                <w:color w:val="000000"/>
                <w:szCs w:val="24"/>
                <w:lang w:val="es-ES" w:eastAsia="ru-RU"/>
              </w:rPr>
              <w:t> </w:t>
            </w:r>
            <w:r w:rsidR="0002578F" w:rsidRPr="009959FA">
              <w:rPr>
                <w:rFonts w:eastAsia="Calibri"/>
                <w:b/>
                <w:color w:val="000000"/>
                <w:szCs w:val="24"/>
                <w:lang w:val="es-ES" w:eastAsia="ru-RU"/>
              </w:rPr>
              <w:t>245</w:t>
            </w:r>
            <w:r w:rsidR="00297E6F">
              <w:rPr>
                <w:rFonts w:eastAsia="Calibri"/>
                <w:bCs/>
                <w:color w:val="000000"/>
                <w:szCs w:val="24"/>
                <w:lang w:val="es-ES" w:eastAsia="ru-RU"/>
              </w:rPr>
              <w:t xml:space="preserve"> </w:t>
            </w:r>
            <w:r w:rsidR="0002578F" w:rsidRPr="009959FA">
              <w:rPr>
                <w:rFonts w:eastAsia="Calibri"/>
                <w:b/>
                <w:color w:val="000000"/>
                <w:szCs w:val="24"/>
                <w:lang w:val="es-ES" w:eastAsia="ru-RU"/>
              </w:rPr>
              <w:t xml:space="preserve">(CMR-19) </w:t>
            </w:r>
            <w:r w:rsidR="0002578F" w:rsidRPr="00B06F57">
              <w:rPr>
                <w:rFonts w:eastAsia="Calibri"/>
                <w:bCs/>
                <w:color w:val="000000"/>
                <w:szCs w:val="24"/>
                <w:lang w:val="es-ES" w:eastAsia="ru-RU"/>
              </w:rPr>
              <w:t xml:space="preserve">sin modificación adicional del Reglamento de Radiocomunicaciones. </w:t>
            </w:r>
            <w:bookmarkEnd w:id="17"/>
          </w:p>
          <w:p w14:paraId="6A1CF388" w14:textId="7E8431EB" w:rsidR="00434FCA" w:rsidRPr="00434FCA" w:rsidRDefault="00434FCA" w:rsidP="00434FCA">
            <w:pPr>
              <w:pBdr>
                <w:top w:val="nil"/>
                <w:left w:val="nil"/>
                <w:bottom w:val="nil"/>
                <w:right w:val="nil"/>
                <w:between w:val="nil"/>
              </w:pBdr>
              <w:tabs>
                <w:tab w:val="clear" w:pos="1134"/>
                <w:tab w:val="clear" w:pos="1871"/>
                <w:tab w:val="clear" w:pos="2268"/>
              </w:tabs>
              <w:overflowPunct/>
              <w:autoSpaceDE/>
              <w:autoSpaceDN/>
              <w:adjustRightInd/>
              <w:spacing w:before="240" w:after="200" w:line="276" w:lineRule="auto"/>
              <w:ind w:left="-2" w:hanging="2"/>
              <w:textAlignment w:val="auto"/>
              <w:rPr>
                <w:rFonts w:eastAsia="Calibri"/>
                <w:i/>
                <w:color w:val="000000"/>
                <w:szCs w:val="24"/>
                <w:u w:val="single"/>
                <w:lang w:val="es-ES" w:eastAsia="ru-RU"/>
              </w:rPr>
            </w:pPr>
            <w:bookmarkStart w:id="18" w:name="lt_pId029"/>
            <w:r w:rsidRPr="00434FCA">
              <w:rPr>
                <w:rFonts w:eastAsia="Calibri"/>
                <w:i/>
                <w:color w:val="000000"/>
                <w:szCs w:val="24"/>
                <w:u w:val="single"/>
                <w:lang w:val="es-ES" w:eastAsia="ru-RU"/>
              </w:rPr>
              <w:t>Band</w:t>
            </w:r>
            <w:r w:rsidR="0002578F" w:rsidRPr="00B06F57">
              <w:rPr>
                <w:rFonts w:eastAsia="Calibri"/>
                <w:i/>
                <w:color w:val="000000"/>
                <w:szCs w:val="24"/>
                <w:u w:val="single"/>
                <w:lang w:val="es-ES" w:eastAsia="ru-RU"/>
              </w:rPr>
              <w:t>a</w:t>
            </w:r>
            <w:r w:rsidRPr="00434FCA">
              <w:rPr>
                <w:rFonts w:eastAsia="Calibri"/>
                <w:i/>
                <w:color w:val="000000"/>
                <w:szCs w:val="24"/>
                <w:u w:val="single"/>
                <w:lang w:val="es-ES" w:eastAsia="ru-RU"/>
              </w:rPr>
              <w:t xml:space="preserve"> 4 − 6425−7025 MHz (Regi</w:t>
            </w:r>
            <w:r w:rsidR="0002578F" w:rsidRPr="00B06F57">
              <w:rPr>
                <w:rFonts w:eastAsia="Calibri"/>
                <w:i/>
                <w:color w:val="000000"/>
                <w:szCs w:val="24"/>
                <w:u w:val="single"/>
                <w:lang w:val="es-ES" w:eastAsia="ru-RU"/>
              </w:rPr>
              <w:t>ó</w:t>
            </w:r>
            <w:r w:rsidRPr="00434FCA">
              <w:rPr>
                <w:rFonts w:eastAsia="Calibri"/>
                <w:i/>
                <w:color w:val="000000"/>
                <w:szCs w:val="24"/>
                <w:u w:val="single"/>
                <w:lang w:val="es-ES" w:eastAsia="ru-RU"/>
              </w:rPr>
              <w:t>n 1)</w:t>
            </w:r>
            <w:r w:rsidRPr="00434FCA">
              <w:rPr>
                <w:rFonts w:eastAsia="Calibri"/>
                <w:iCs/>
                <w:color w:val="000000"/>
                <w:szCs w:val="24"/>
                <w:lang w:val="es-ES" w:eastAsia="ru-RU"/>
              </w:rPr>
              <w:t>:</w:t>
            </w:r>
            <w:bookmarkEnd w:id="18"/>
          </w:p>
          <w:p w14:paraId="73B7A229" w14:textId="004DE7CD" w:rsidR="00434FCA" w:rsidRPr="00434FCA" w:rsidRDefault="002C25CA" w:rsidP="00EB6389">
            <w:pPr>
              <w:pBdr>
                <w:top w:val="nil"/>
                <w:left w:val="nil"/>
                <w:bottom w:val="nil"/>
                <w:right w:val="nil"/>
                <w:between w:val="nil"/>
              </w:pBdr>
              <w:tabs>
                <w:tab w:val="clear" w:pos="1134"/>
                <w:tab w:val="clear" w:pos="1871"/>
                <w:tab w:val="clear" w:pos="2268"/>
              </w:tabs>
              <w:overflowPunct/>
              <w:autoSpaceDE/>
              <w:autoSpaceDN/>
              <w:adjustRightInd/>
              <w:spacing w:before="0" w:after="200" w:line="276" w:lineRule="auto"/>
              <w:textAlignment w:val="auto"/>
              <w:rPr>
                <w:rFonts w:eastAsia="Calibri"/>
                <w:bCs/>
                <w:color w:val="000000"/>
                <w:szCs w:val="24"/>
                <w:lang w:val="es-ES" w:eastAsia="ru-RU"/>
              </w:rPr>
            </w:pPr>
            <w:bookmarkStart w:id="19" w:name="lt_pId030"/>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4D</w:t>
            </w:r>
            <w:r w:rsidR="00434FCA" w:rsidRPr="00434FCA">
              <w:rPr>
                <w:rFonts w:eastAsia="Calibri"/>
                <w:bCs/>
                <w:color w:val="000000"/>
                <w:szCs w:val="24"/>
                <w:lang w:val="es-ES" w:eastAsia="ru-RU"/>
              </w:rPr>
              <w:t xml:space="preserve"> - </w:t>
            </w:r>
            <w:r w:rsidR="0002578F" w:rsidRPr="00B06F57">
              <w:rPr>
                <w:rFonts w:eastAsia="Calibri"/>
                <w:bCs/>
                <w:color w:val="000000"/>
                <w:szCs w:val="24"/>
                <w:lang w:val="es-ES" w:eastAsia="ru-RU"/>
              </w:rPr>
              <w:t>identificar la banda de frecuencias 6</w:t>
            </w:r>
            <w:r w:rsidR="009959FA">
              <w:rPr>
                <w:rFonts w:eastAsia="Calibri"/>
                <w:bCs/>
                <w:color w:val="000000"/>
                <w:szCs w:val="24"/>
                <w:lang w:val="es-ES" w:eastAsia="ru-RU"/>
              </w:rPr>
              <w:t> </w:t>
            </w:r>
            <w:r w:rsidR="0002578F" w:rsidRPr="00B06F57">
              <w:rPr>
                <w:rFonts w:eastAsia="Calibri"/>
                <w:bCs/>
                <w:color w:val="000000"/>
                <w:szCs w:val="24"/>
                <w:lang w:val="es-ES" w:eastAsia="ru-RU"/>
              </w:rPr>
              <w:t>425</w:t>
            </w:r>
            <w:r w:rsidR="00297E6F">
              <w:rPr>
                <w:rFonts w:eastAsia="Calibri"/>
                <w:bCs/>
                <w:color w:val="000000"/>
                <w:szCs w:val="24"/>
                <w:lang w:val="es-ES" w:eastAsia="ru-RU"/>
              </w:rPr>
              <w:noBreakHyphen/>
            </w:r>
            <w:r w:rsidR="0002578F" w:rsidRPr="00B06F57">
              <w:rPr>
                <w:rFonts w:eastAsia="Calibri"/>
                <w:bCs/>
                <w:color w:val="000000"/>
                <w:szCs w:val="24"/>
                <w:lang w:val="es-ES" w:eastAsia="ru-RU"/>
              </w:rPr>
              <w:t>7</w:t>
            </w:r>
            <w:r w:rsidR="00297E6F">
              <w:rPr>
                <w:rFonts w:eastAsia="Calibri"/>
                <w:bCs/>
                <w:color w:val="000000"/>
                <w:szCs w:val="24"/>
                <w:lang w:val="es-ES" w:eastAsia="ru-RU"/>
              </w:rPr>
              <w:t> </w:t>
            </w:r>
            <w:r w:rsidR="0002578F" w:rsidRPr="00B06F57">
              <w:rPr>
                <w:rFonts w:eastAsia="Calibri"/>
                <w:bCs/>
                <w:color w:val="000000"/>
                <w:szCs w:val="24"/>
                <w:lang w:val="es-ES" w:eastAsia="ru-RU"/>
              </w:rPr>
              <w:t xml:space="preserve">025 MHz en la Región 1 </w:t>
            </w:r>
            <w:r w:rsidR="00EB6389" w:rsidRPr="00B06F57">
              <w:rPr>
                <w:rFonts w:eastAsia="Calibri"/>
                <w:bCs/>
                <w:color w:val="000000"/>
                <w:szCs w:val="24"/>
                <w:lang w:val="es-ES" w:eastAsia="ru-RU"/>
              </w:rPr>
              <w:t xml:space="preserve">para las IMT </w:t>
            </w:r>
            <w:r w:rsidR="0002578F" w:rsidRPr="00B06F57">
              <w:rPr>
                <w:rFonts w:eastAsia="Calibri"/>
                <w:bCs/>
                <w:color w:val="000000"/>
                <w:szCs w:val="24"/>
                <w:lang w:val="es-ES" w:eastAsia="ru-RU"/>
              </w:rPr>
              <w:t>creando una nueva nota del RR con las condiciones estipuladas en un nuevo proyecto de Resolución de la CMR, que se aplicarían sólo a la banda de frecuencias 6 425-7 025 MHz.</w:t>
            </w:r>
            <w:bookmarkEnd w:id="19"/>
          </w:p>
        </w:tc>
      </w:tr>
      <w:tr w:rsidR="00434FCA" w:rsidRPr="00434FCA" w14:paraId="41E32379" w14:textId="77777777" w:rsidTr="004A2DC3">
        <w:trPr>
          <w:jc w:val="center"/>
        </w:trPr>
        <w:tc>
          <w:tcPr>
            <w:tcW w:w="3114" w:type="dxa"/>
          </w:tcPr>
          <w:p w14:paraId="61DF31B3" w14:textId="77777777" w:rsidR="00D920FB" w:rsidRPr="00B06F57" w:rsidRDefault="00D920FB" w:rsidP="00D920FB">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Punto 1.16 del orden del día</w:t>
            </w:r>
          </w:p>
          <w:p w14:paraId="416E7536" w14:textId="183E2D7B" w:rsidR="00434FCA" w:rsidRPr="00434FCA" w:rsidRDefault="00D920FB" w:rsidP="00D920FB">
            <w:pPr>
              <w:tabs>
                <w:tab w:val="clear" w:pos="1134"/>
                <w:tab w:val="clear" w:pos="1871"/>
                <w:tab w:val="clear" w:pos="2268"/>
              </w:tabs>
              <w:overflowPunct/>
              <w:autoSpaceDE/>
              <w:autoSpaceDN/>
              <w:adjustRightInd/>
              <w:spacing w:before="0" w:after="200" w:line="276" w:lineRule="auto"/>
              <w:textAlignment w:val="auto"/>
              <w:rPr>
                <w:rFonts w:eastAsia="Calibri"/>
                <w:szCs w:val="24"/>
                <w:lang w:val="es-ES" w:eastAsia="ru-RU"/>
              </w:rPr>
            </w:pPr>
            <w:r w:rsidRPr="00B06F57">
              <w:rPr>
                <w:rFonts w:eastAsia="Calibri"/>
                <w:szCs w:val="24"/>
                <w:lang w:val="es-ES" w:eastAsia="ru-RU"/>
              </w:rPr>
              <w:t>utilización de las bandas de frecuencias 17,7-18,6 GHz, 18,8-19,3 GHz, 19,7-20,2 GHz (espacio-Tierra), 27</w:t>
            </w:r>
            <w:r w:rsidR="009959FA">
              <w:rPr>
                <w:rFonts w:eastAsia="Calibri"/>
                <w:szCs w:val="24"/>
                <w:lang w:val="es-ES" w:eastAsia="ru-RU"/>
              </w:rPr>
              <w:t>,</w:t>
            </w:r>
            <w:r w:rsidRPr="00B06F57">
              <w:rPr>
                <w:rFonts w:eastAsia="Calibri"/>
                <w:szCs w:val="24"/>
                <w:lang w:val="es-ES" w:eastAsia="ru-RU"/>
              </w:rPr>
              <w:t>5</w:t>
            </w:r>
            <w:r w:rsidR="009959FA">
              <w:rPr>
                <w:rFonts w:eastAsia="Calibri"/>
                <w:szCs w:val="24"/>
                <w:lang w:val="es-ES" w:eastAsia="ru-RU"/>
              </w:rPr>
              <w:noBreakHyphen/>
            </w:r>
            <w:r w:rsidRPr="00B06F57">
              <w:rPr>
                <w:rFonts w:eastAsia="Calibri"/>
                <w:szCs w:val="24"/>
                <w:lang w:val="es-ES" w:eastAsia="ru-RU"/>
              </w:rPr>
              <w:t>29,1 GHz y 29,5-30 GHz (Tierra-espacio) por estaciones terrenas en movimiento que comunican con estaciones espaciales (no OSG) del servicio fijo por satélite.</w:t>
            </w:r>
          </w:p>
        </w:tc>
        <w:tc>
          <w:tcPr>
            <w:tcW w:w="6662" w:type="dxa"/>
          </w:tcPr>
          <w:p w14:paraId="45936053" w14:textId="5AF41ED2" w:rsidR="00434FCA" w:rsidRPr="00434FCA" w:rsidRDefault="002C25CA" w:rsidP="00EB6389">
            <w:pPr>
              <w:tabs>
                <w:tab w:val="clear" w:pos="1134"/>
                <w:tab w:val="clear" w:pos="1871"/>
                <w:tab w:val="clear" w:pos="2268"/>
              </w:tabs>
              <w:overflowPunct/>
              <w:autoSpaceDE/>
              <w:autoSpaceDN/>
              <w:adjustRightInd/>
              <w:spacing w:before="0" w:after="200" w:line="276" w:lineRule="auto"/>
              <w:textAlignment w:val="auto"/>
              <w:rPr>
                <w:rFonts w:eastAsia="Calibri"/>
                <w:b/>
                <w:iCs/>
                <w:szCs w:val="24"/>
                <w:lang w:val="es-ES" w:eastAsia="ru-RU"/>
              </w:rPr>
            </w:pPr>
            <w:bookmarkStart w:id="20" w:name="lt_pId033"/>
            <w:r w:rsidRPr="00B06F57">
              <w:rPr>
                <w:rFonts w:eastAsia="Calibri"/>
                <w:b/>
                <w:iCs/>
                <w:szCs w:val="24"/>
                <w:lang w:val="es-ES" w:eastAsia="ru-RU"/>
              </w:rPr>
              <w:t>Apoya el Método</w:t>
            </w:r>
            <w:r w:rsidR="00434FCA" w:rsidRPr="00434FCA">
              <w:rPr>
                <w:rFonts w:eastAsia="Calibri"/>
                <w:b/>
                <w:iCs/>
                <w:szCs w:val="24"/>
                <w:lang w:val="es-ES" w:eastAsia="ru-RU"/>
              </w:rPr>
              <w:t xml:space="preserve"> B</w:t>
            </w:r>
            <w:r w:rsidR="00434FCA" w:rsidRPr="00434FCA">
              <w:rPr>
                <w:rFonts w:eastAsia="Calibri"/>
                <w:bCs/>
                <w:iCs/>
                <w:szCs w:val="24"/>
                <w:lang w:val="es-ES" w:eastAsia="ru-RU"/>
              </w:rPr>
              <w:t xml:space="preserve"> </w:t>
            </w:r>
            <w:r w:rsidR="0002578F" w:rsidRPr="00B06F57">
              <w:rPr>
                <w:rFonts w:eastAsia="Calibri"/>
                <w:bCs/>
                <w:iCs/>
                <w:szCs w:val="24"/>
                <w:lang w:val="es-ES" w:eastAsia="ru-RU"/>
              </w:rPr>
              <w:t>–</w:t>
            </w:r>
            <w:r w:rsidR="00434FCA" w:rsidRPr="00434FCA">
              <w:rPr>
                <w:rFonts w:eastAsia="Calibri"/>
                <w:bCs/>
                <w:iCs/>
                <w:szCs w:val="24"/>
                <w:lang w:val="es-ES" w:eastAsia="ru-RU"/>
              </w:rPr>
              <w:t xml:space="preserve"> </w:t>
            </w:r>
            <w:r w:rsidR="0002578F" w:rsidRPr="00B06F57">
              <w:rPr>
                <w:rFonts w:eastAsia="Calibri"/>
                <w:bCs/>
                <w:iCs/>
                <w:szCs w:val="24"/>
                <w:lang w:val="es-ES" w:eastAsia="ru-RU"/>
              </w:rPr>
              <w:t xml:space="preserve">añadir </w:t>
            </w:r>
            <w:r w:rsidR="00EB6389">
              <w:rPr>
                <w:rFonts w:eastAsia="Calibri"/>
                <w:bCs/>
                <w:iCs/>
                <w:szCs w:val="24"/>
                <w:lang w:val="es-ES" w:eastAsia="ru-RU"/>
              </w:rPr>
              <w:t>una nueva nota</w:t>
            </w:r>
            <w:r w:rsidR="0002578F" w:rsidRPr="00B06F57">
              <w:rPr>
                <w:rFonts w:eastAsia="Calibri"/>
                <w:bCs/>
                <w:iCs/>
                <w:szCs w:val="24"/>
                <w:lang w:val="es-ES" w:eastAsia="ru-RU"/>
              </w:rPr>
              <w:t xml:space="preserve"> en el Artículo 5 del RR que haga referencia a una nueva Resolución de la CMR en la que se estipulen las condiciones técnicas, operativas y reglamentarias para el funcionamiento de las ETEM no OSG marítimas y aeronáuticas, garantizando al mismo tiempo la protección de los servicios con atribuciones, y supresión consecuente de la Resolución </w:t>
            </w:r>
            <w:r w:rsidR="0002578F" w:rsidRPr="009959FA">
              <w:rPr>
                <w:rFonts w:eastAsia="Calibri"/>
                <w:b/>
                <w:iCs/>
                <w:szCs w:val="24"/>
                <w:lang w:val="es-ES" w:eastAsia="ru-RU"/>
              </w:rPr>
              <w:t>173 (CMR-19)</w:t>
            </w:r>
            <w:bookmarkEnd w:id="20"/>
            <w:r w:rsidR="0002578F" w:rsidRPr="009959FA">
              <w:rPr>
                <w:rFonts w:eastAsia="Calibri"/>
                <w:b/>
                <w:iCs/>
                <w:szCs w:val="24"/>
                <w:lang w:val="es-ES" w:eastAsia="ru-RU"/>
              </w:rPr>
              <w:t>.</w:t>
            </w:r>
          </w:p>
        </w:tc>
      </w:tr>
      <w:tr w:rsidR="00434FCA" w:rsidRPr="00434FCA" w14:paraId="1EC597F7" w14:textId="77777777" w:rsidTr="004A2DC3">
        <w:trPr>
          <w:jc w:val="center"/>
        </w:trPr>
        <w:tc>
          <w:tcPr>
            <w:tcW w:w="3114" w:type="dxa"/>
          </w:tcPr>
          <w:p w14:paraId="41D4B232" w14:textId="01F6B2B3" w:rsidR="00434FCA" w:rsidRPr="00434FCA" w:rsidRDefault="00D920FB" w:rsidP="00434F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Punto 1.17 del orden del día</w:t>
            </w:r>
          </w:p>
          <w:p w14:paraId="17C50ED2" w14:textId="30187FB2" w:rsidR="00434FCA" w:rsidRPr="00434FCA" w:rsidRDefault="002C25CA" w:rsidP="00434FCA">
            <w:pPr>
              <w:tabs>
                <w:tab w:val="clear" w:pos="1134"/>
                <w:tab w:val="clear" w:pos="1871"/>
                <w:tab w:val="clear" w:pos="2268"/>
              </w:tabs>
              <w:overflowPunct/>
              <w:autoSpaceDE/>
              <w:autoSpaceDN/>
              <w:adjustRightInd/>
              <w:spacing w:before="0" w:after="200" w:line="276" w:lineRule="auto"/>
              <w:textAlignment w:val="auto"/>
              <w:rPr>
                <w:rFonts w:eastAsia="Calibri"/>
                <w:bCs/>
                <w:iCs/>
                <w:szCs w:val="24"/>
                <w:lang w:val="es-ES" w:eastAsia="ru-RU"/>
              </w:rPr>
            </w:pPr>
            <w:bookmarkStart w:id="21" w:name="lt_pId035"/>
            <w:r w:rsidRPr="00B06F57">
              <w:rPr>
                <w:rFonts w:eastAsia="Calibri"/>
                <w:bCs/>
                <w:iCs/>
                <w:szCs w:val="24"/>
                <w:lang w:val="es-ES" w:eastAsia="ru-RU"/>
              </w:rPr>
              <w:t xml:space="preserve">determinar y tomar, basándose en los estudios del UIT-R de acuerdo con la Resolución </w:t>
            </w:r>
            <w:r w:rsidRPr="009959FA">
              <w:rPr>
                <w:rFonts w:eastAsia="Calibri"/>
                <w:b/>
                <w:iCs/>
                <w:szCs w:val="24"/>
                <w:lang w:val="es-ES" w:eastAsia="ru-RU"/>
              </w:rPr>
              <w:t>773 (CMR-19)</w:t>
            </w:r>
            <w:r w:rsidRPr="00B06F57">
              <w:rPr>
                <w:rFonts w:eastAsia="Calibri"/>
                <w:bCs/>
                <w:iCs/>
                <w:szCs w:val="24"/>
                <w:lang w:val="es-ES" w:eastAsia="ru-RU"/>
              </w:rPr>
              <w:t xml:space="preserve">, las medidas reglamentarias apropiadas para el establecimiento de enlaces entre satélites en bandas de frecuencias específicas o partes de las mismas, mediante una nueva </w:t>
            </w:r>
            <w:r w:rsidRPr="00B06F57">
              <w:rPr>
                <w:rFonts w:eastAsia="Calibri"/>
                <w:bCs/>
                <w:iCs/>
                <w:szCs w:val="24"/>
                <w:lang w:val="es-ES" w:eastAsia="ru-RU"/>
              </w:rPr>
              <w:lastRenderedPageBreak/>
              <w:t>atribución al servicio entre satélites donde corresponda</w:t>
            </w:r>
            <w:bookmarkEnd w:id="21"/>
            <w:r w:rsidRPr="00B06F57">
              <w:rPr>
                <w:rFonts w:eastAsia="Calibri"/>
                <w:bCs/>
                <w:iCs/>
                <w:szCs w:val="24"/>
                <w:lang w:val="es-ES" w:eastAsia="ru-RU"/>
              </w:rPr>
              <w:t>.</w:t>
            </w:r>
          </w:p>
        </w:tc>
        <w:tc>
          <w:tcPr>
            <w:tcW w:w="6662" w:type="dxa"/>
          </w:tcPr>
          <w:p w14:paraId="7DD63BEB" w14:textId="688D545C" w:rsidR="00434FCA" w:rsidRPr="00434FCA" w:rsidRDefault="002C25CA" w:rsidP="00EB6389">
            <w:pPr>
              <w:tabs>
                <w:tab w:val="clear" w:pos="1134"/>
                <w:tab w:val="clear" w:pos="1871"/>
                <w:tab w:val="clear" w:pos="2268"/>
              </w:tabs>
              <w:overflowPunct/>
              <w:autoSpaceDE/>
              <w:autoSpaceDN/>
              <w:adjustRightInd/>
              <w:spacing w:before="0" w:after="200" w:line="276" w:lineRule="auto"/>
              <w:textAlignment w:val="auto"/>
              <w:rPr>
                <w:rFonts w:eastAsia="Calibri"/>
                <w:bCs/>
                <w:color w:val="000000"/>
                <w:szCs w:val="24"/>
                <w:lang w:val="es-ES" w:eastAsia="ru-RU"/>
              </w:rPr>
            </w:pPr>
            <w:bookmarkStart w:id="22" w:name="lt_pId036"/>
            <w:r w:rsidRPr="00B06F57">
              <w:rPr>
                <w:rFonts w:eastAsia="Calibri"/>
                <w:b/>
                <w:color w:val="000000"/>
                <w:szCs w:val="24"/>
                <w:lang w:val="es-ES" w:eastAsia="ru-RU"/>
              </w:rPr>
              <w:lastRenderedPageBreak/>
              <w:t>Apoya el Método</w:t>
            </w:r>
            <w:r w:rsidR="00434FCA" w:rsidRPr="00434FCA">
              <w:rPr>
                <w:rFonts w:eastAsia="Calibri"/>
                <w:b/>
                <w:color w:val="000000"/>
                <w:szCs w:val="24"/>
                <w:lang w:val="es-ES" w:eastAsia="ru-RU"/>
              </w:rPr>
              <w:t xml:space="preserve"> B5</w:t>
            </w:r>
            <w:r w:rsidR="00434FCA" w:rsidRPr="00434FCA">
              <w:rPr>
                <w:rFonts w:eastAsia="Calibri"/>
                <w:bCs/>
                <w:color w:val="000000"/>
                <w:szCs w:val="24"/>
                <w:lang w:val="es-ES" w:eastAsia="ru-RU"/>
              </w:rPr>
              <w:t xml:space="preserve"> - </w:t>
            </w:r>
            <w:r w:rsidR="0002578F" w:rsidRPr="00B06F57">
              <w:rPr>
                <w:rFonts w:eastAsia="Calibri"/>
                <w:bCs/>
                <w:color w:val="000000"/>
                <w:szCs w:val="24"/>
                <w:lang w:val="es-ES" w:eastAsia="ru-RU"/>
              </w:rPr>
              <w:t>este Método es idéntico a cualquiera de los Métodos B1 a B4 excluyendo la banda de frecuencias 11,7-12,7 GHz</w:t>
            </w:r>
            <w:r w:rsidR="00EB6389">
              <w:rPr>
                <w:rFonts w:eastAsia="Calibri"/>
                <w:bCs/>
                <w:color w:val="000000"/>
                <w:szCs w:val="24"/>
                <w:lang w:val="es-ES" w:eastAsia="ru-RU"/>
              </w:rPr>
              <w:t>, para la cual el</w:t>
            </w:r>
            <w:r w:rsidR="0002578F" w:rsidRPr="00B06F57">
              <w:rPr>
                <w:rFonts w:eastAsia="Calibri"/>
                <w:bCs/>
                <w:color w:val="000000"/>
                <w:szCs w:val="24"/>
                <w:lang w:val="es-ES" w:eastAsia="ru-RU"/>
              </w:rPr>
              <w:t xml:space="preserve"> Método B1 se utiliza por defecto.</w:t>
            </w:r>
            <w:bookmarkEnd w:id="22"/>
          </w:p>
        </w:tc>
      </w:tr>
      <w:tr w:rsidR="00434FCA" w:rsidRPr="00434FCA" w14:paraId="1D1264C2" w14:textId="77777777" w:rsidTr="004A2DC3">
        <w:trPr>
          <w:jc w:val="center"/>
        </w:trPr>
        <w:tc>
          <w:tcPr>
            <w:tcW w:w="3114" w:type="dxa"/>
          </w:tcPr>
          <w:p w14:paraId="1D63A04C" w14:textId="2C1401AB" w:rsidR="00434FCA" w:rsidRPr="00434FCA" w:rsidRDefault="00D920FB" w:rsidP="00434F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 xml:space="preserve">Punto </w:t>
            </w:r>
            <w:r w:rsidRPr="00434FCA">
              <w:rPr>
                <w:rFonts w:eastAsia="Calibri"/>
                <w:b/>
                <w:i/>
                <w:szCs w:val="24"/>
                <w:lang w:val="es-ES" w:eastAsia="ru-RU"/>
              </w:rPr>
              <w:t>1.</w:t>
            </w:r>
            <w:r w:rsidRPr="00B06F57">
              <w:rPr>
                <w:rFonts w:eastAsia="Calibri"/>
                <w:b/>
                <w:i/>
                <w:szCs w:val="24"/>
                <w:lang w:val="es-ES" w:eastAsia="ru-RU"/>
              </w:rPr>
              <w:t xml:space="preserve">19 del orden del día </w:t>
            </w:r>
          </w:p>
          <w:p w14:paraId="1209349E" w14:textId="384809DD" w:rsidR="00434FCA" w:rsidRPr="00434FCA" w:rsidRDefault="002C25CA" w:rsidP="002C25CA">
            <w:pPr>
              <w:tabs>
                <w:tab w:val="clear" w:pos="1134"/>
                <w:tab w:val="clear" w:pos="1871"/>
                <w:tab w:val="clear" w:pos="2268"/>
              </w:tabs>
              <w:overflowPunct/>
              <w:autoSpaceDE/>
              <w:autoSpaceDN/>
              <w:adjustRightInd/>
              <w:spacing w:before="0" w:after="200" w:line="276" w:lineRule="auto"/>
              <w:textAlignment w:val="auto"/>
              <w:rPr>
                <w:rFonts w:eastAsia="Calibri"/>
                <w:bCs/>
                <w:iCs/>
                <w:szCs w:val="24"/>
                <w:lang w:val="es-ES" w:eastAsia="ru-RU"/>
              </w:rPr>
            </w:pPr>
            <w:bookmarkStart w:id="23" w:name="lt_pId038"/>
            <w:r w:rsidRPr="00B06F57">
              <w:rPr>
                <w:rFonts w:eastAsia="Calibri"/>
                <w:bCs/>
                <w:iCs/>
                <w:szCs w:val="24"/>
                <w:lang w:val="es-ES" w:eastAsia="ru-RU"/>
              </w:rPr>
              <w:t xml:space="preserve">nueva atribución a título primario al servicio fijo por satélite (SFS) en el sentido espacio-Tierra de conformidad con la Resolución </w:t>
            </w:r>
            <w:r w:rsidRPr="009959FA">
              <w:rPr>
                <w:rFonts w:eastAsia="Calibri"/>
                <w:b/>
                <w:iCs/>
                <w:szCs w:val="24"/>
                <w:lang w:val="es-ES" w:eastAsia="ru-RU"/>
              </w:rPr>
              <w:t>174 (CMR-19)</w:t>
            </w:r>
            <w:r w:rsidRPr="00B06F57">
              <w:rPr>
                <w:rFonts w:eastAsia="Calibri"/>
                <w:bCs/>
                <w:iCs/>
                <w:szCs w:val="24"/>
                <w:lang w:val="es-ES" w:eastAsia="ru-RU"/>
              </w:rPr>
              <w:t>.</w:t>
            </w:r>
            <w:bookmarkEnd w:id="23"/>
          </w:p>
        </w:tc>
        <w:tc>
          <w:tcPr>
            <w:tcW w:w="6662" w:type="dxa"/>
          </w:tcPr>
          <w:p w14:paraId="06343CF0" w14:textId="53B34A7F" w:rsidR="00434FCA" w:rsidRPr="00434FCA" w:rsidRDefault="002C25CA" w:rsidP="00434FCA">
            <w:pPr>
              <w:tabs>
                <w:tab w:val="clear" w:pos="1134"/>
                <w:tab w:val="clear" w:pos="1871"/>
                <w:tab w:val="clear" w:pos="2268"/>
              </w:tabs>
              <w:overflowPunct/>
              <w:autoSpaceDE/>
              <w:autoSpaceDN/>
              <w:adjustRightInd/>
              <w:spacing w:before="0" w:after="200" w:line="276" w:lineRule="auto"/>
              <w:textAlignment w:val="auto"/>
              <w:rPr>
                <w:rFonts w:eastAsia="Calibri"/>
                <w:bCs/>
                <w:color w:val="000000"/>
                <w:szCs w:val="24"/>
                <w:lang w:val="es-ES" w:eastAsia="ru-RU"/>
              </w:rPr>
            </w:pPr>
            <w:bookmarkStart w:id="24" w:name="lt_pId039"/>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B</w:t>
            </w:r>
            <w:r w:rsidR="00434FCA" w:rsidRPr="00434FCA">
              <w:rPr>
                <w:rFonts w:eastAsia="Calibri"/>
                <w:bCs/>
                <w:color w:val="000000"/>
                <w:szCs w:val="24"/>
                <w:lang w:val="es-ES" w:eastAsia="ru-RU"/>
              </w:rPr>
              <w:t xml:space="preserve"> - </w:t>
            </w:r>
            <w:r w:rsidR="0002578F" w:rsidRPr="00B06F57">
              <w:rPr>
                <w:rFonts w:eastAsia="Calibri"/>
                <w:bCs/>
                <w:color w:val="000000"/>
                <w:szCs w:val="24"/>
                <w:lang w:val="es-ES" w:eastAsia="ru-RU"/>
              </w:rPr>
              <w:t xml:space="preserve">modificar </w:t>
            </w:r>
            <w:r w:rsidR="00EB6389">
              <w:rPr>
                <w:rFonts w:eastAsia="Calibri"/>
                <w:bCs/>
                <w:color w:val="000000"/>
                <w:szCs w:val="24"/>
                <w:lang w:val="es-ES" w:eastAsia="ru-RU"/>
              </w:rPr>
              <w:t xml:space="preserve">las </w:t>
            </w:r>
            <w:r w:rsidR="0002578F" w:rsidRPr="00B06F57">
              <w:rPr>
                <w:rFonts w:eastAsia="Calibri"/>
                <w:bCs/>
                <w:color w:val="000000"/>
                <w:szCs w:val="24"/>
                <w:lang w:val="es-ES" w:eastAsia="ru-RU"/>
              </w:rPr>
              <w:t>notas del Artículo</w:t>
            </w:r>
            <w:r w:rsidR="0002578F" w:rsidRPr="009959FA">
              <w:rPr>
                <w:rFonts w:eastAsia="Calibri"/>
                <w:b/>
                <w:color w:val="000000"/>
                <w:szCs w:val="24"/>
                <w:lang w:val="es-ES" w:eastAsia="ru-RU"/>
              </w:rPr>
              <w:t xml:space="preserve"> 5</w:t>
            </w:r>
            <w:r w:rsidR="0002578F" w:rsidRPr="00B06F57">
              <w:rPr>
                <w:rFonts w:eastAsia="Calibri"/>
                <w:bCs/>
                <w:color w:val="000000"/>
                <w:szCs w:val="24"/>
                <w:lang w:val="es-ES" w:eastAsia="ru-RU"/>
              </w:rPr>
              <w:t xml:space="preserve"> del RR que se refieren a la atribución de la banda de frecuencias 17,3-17,7 GHz al SFS en la Región 2 en el sentido espacio-Tierra</w:t>
            </w:r>
            <w:bookmarkEnd w:id="24"/>
            <w:r w:rsidR="0002578F" w:rsidRPr="00B06F57">
              <w:rPr>
                <w:rFonts w:eastAsia="Calibri"/>
                <w:bCs/>
                <w:color w:val="000000"/>
                <w:szCs w:val="24"/>
                <w:lang w:val="es-ES" w:eastAsia="ru-RU"/>
              </w:rPr>
              <w:t>.</w:t>
            </w:r>
          </w:p>
        </w:tc>
      </w:tr>
      <w:tr w:rsidR="00434FCA" w:rsidRPr="00434FCA" w14:paraId="343C844C" w14:textId="77777777" w:rsidTr="004A2DC3">
        <w:trPr>
          <w:jc w:val="center"/>
        </w:trPr>
        <w:tc>
          <w:tcPr>
            <w:tcW w:w="3114" w:type="dxa"/>
          </w:tcPr>
          <w:p w14:paraId="1D4781D5" w14:textId="399B6077" w:rsidR="00D920FB" w:rsidRPr="00B06F57" w:rsidRDefault="00D920FB" w:rsidP="00D920FB">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Punto 7 Tema A del orden del día</w:t>
            </w:r>
          </w:p>
          <w:p w14:paraId="32085E7C" w14:textId="0A907E8B" w:rsidR="00434FCA" w:rsidRPr="00434FCA" w:rsidRDefault="002C25CA" w:rsidP="00D920FB">
            <w:pPr>
              <w:tabs>
                <w:tab w:val="clear" w:pos="1134"/>
                <w:tab w:val="clear" w:pos="1871"/>
                <w:tab w:val="clear" w:pos="2268"/>
              </w:tabs>
              <w:overflowPunct/>
              <w:autoSpaceDE/>
              <w:autoSpaceDN/>
              <w:adjustRightInd/>
              <w:spacing w:before="0" w:after="200" w:line="276" w:lineRule="auto"/>
              <w:textAlignment w:val="auto"/>
              <w:rPr>
                <w:rFonts w:eastAsia="Calibri"/>
                <w:bCs/>
                <w:iCs/>
                <w:szCs w:val="24"/>
                <w:lang w:val="es-ES" w:eastAsia="ru-RU"/>
              </w:rPr>
            </w:pPr>
            <w:r w:rsidRPr="00B06F57">
              <w:rPr>
                <w:rFonts w:eastAsia="Calibri"/>
                <w:szCs w:val="24"/>
                <w:lang w:val="es-ES" w:eastAsia="ru-RU"/>
              </w:rPr>
              <w:t>Tolerancias de determinadas características orbitales de estaciones espaciales no OSG del SFS, el SRS o el SMS</w:t>
            </w:r>
            <w:r w:rsidRPr="00B06F57">
              <w:rPr>
                <w:rFonts w:ascii="Calibri" w:eastAsia="Calibri" w:hAnsi="Calibri" w:cs="Calibri"/>
                <w:iCs/>
                <w:color w:val="800000"/>
                <w:szCs w:val="24"/>
                <w:lang w:val="es-ES" w:eastAsia="ru-RU"/>
              </w:rPr>
              <w:t>.</w:t>
            </w:r>
          </w:p>
        </w:tc>
        <w:tc>
          <w:tcPr>
            <w:tcW w:w="6662" w:type="dxa"/>
          </w:tcPr>
          <w:p w14:paraId="061D7C77" w14:textId="424AF174" w:rsidR="00434FCA" w:rsidRPr="00434FCA" w:rsidRDefault="002C25CA" w:rsidP="00434FCA">
            <w:pPr>
              <w:tabs>
                <w:tab w:val="clear" w:pos="1134"/>
                <w:tab w:val="clear" w:pos="1871"/>
                <w:tab w:val="clear" w:pos="2268"/>
              </w:tabs>
              <w:overflowPunct/>
              <w:autoSpaceDE/>
              <w:autoSpaceDN/>
              <w:adjustRightInd/>
              <w:spacing w:before="0" w:after="200" w:line="276" w:lineRule="auto"/>
              <w:textAlignment w:val="auto"/>
              <w:rPr>
                <w:rFonts w:eastAsia="Calibri"/>
                <w:bCs/>
                <w:color w:val="000000"/>
                <w:szCs w:val="24"/>
                <w:lang w:val="es-ES" w:eastAsia="ru-RU"/>
              </w:rPr>
            </w:pPr>
            <w:bookmarkStart w:id="25" w:name="lt_pId042"/>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A2</w:t>
            </w:r>
            <w:r w:rsidR="00434FCA" w:rsidRPr="00434FCA">
              <w:rPr>
                <w:rFonts w:eastAsia="Calibri"/>
                <w:bCs/>
                <w:color w:val="000000"/>
                <w:szCs w:val="24"/>
                <w:lang w:val="es-ES" w:eastAsia="ru-RU"/>
              </w:rPr>
              <w:t xml:space="preserve"> - </w:t>
            </w:r>
            <w:r w:rsidR="00484752" w:rsidRPr="00B06F57">
              <w:rPr>
                <w:rFonts w:eastAsia="Calibri"/>
                <w:bCs/>
                <w:color w:val="000000"/>
                <w:szCs w:val="24"/>
                <w:lang w:val="es-ES" w:eastAsia="ru-RU"/>
              </w:rPr>
              <w:t xml:space="preserve">una nueva Resolución de la CMR en la que se proponen medidas reglamentarias específicas para permitir la variación de las características del plano orbital notificadas o inscritas, al incluir las desviaciones temporales, por ejemplo, durante una reorganización de satélites de un plano orbital tras el lanzamiento de nuevas estaciones espaciales no OSG. Este método también propone considerar las estaciones espaciales que no cumplen las tolerancias, incluidas las que se definen para unas desviaciones temporales, como no conformes con los parámetros orbitales notificados y/o inscritos del sistema no OSG correspondiente y, por consiguiente, no deben consideradas sujetas a los números </w:t>
            </w:r>
            <w:r w:rsidR="00484752" w:rsidRPr="0024609D">
              <w:rPr>
                <w:rFonts w:eastAsia="Calibri"/>
                <w:b/>
                <w:color w:val="000000"/>
                <w:szCs w:val="24"/>
                <w:lang w:val="es-ES" w:eastAsia="ru-RU"/>
              </w:rPr>
              <w:t>11.44C</w:t>
            </w:r>
            <w:r w:rsidR="00484752" w:rsidRPr="00B06F57">
              <w:rPr>
                <w:rFonts w:eastAsia="Calibri"/>
                <w:bCs/>
                <w:color w:val="000000"/>
                <w:szCs w:val="24"/>
                <w:lang w:val="es-ES" w:eastAsia="ru-RU"/>
              </w:rPr>
              <w:t xml:space="preserve">, </w:t>
            </w:r>
            <w:r w:rsidR="00484752" w:rsidRPr="0024609D">
              <w:rPr>
                <w:rFonts w:eastAsia="Calibri"/>
                <w:b/>
                <w:color w:val="000000"/>
                <w:szCs w:val="24"/>
                <w:lang w:val="es-ES" w:eastAsia="ru-RU"/>
              </w:rPr>
              <w:t>11.49.2</w:t>
            </w:r>
            <w:r w:rsidR="00484752" w:rsidRPr="00B06F57">
              <w:rPr>
                <w:rFonts w:eastAsia="Calibri"/>
                <w:bCs/>
                <w:color w:val="000000"/>
                <w:szCs w:val="24"/>
                <w:lang w:val="es-ES" w:eastAsia="ru-RU"/>
              </w:rPr>
              <w:t xml:space="preserve"> y </w:t>
            </w:r>
            <w:r w:rsidR="00484752" w:rsidRPr="0024609D">
              <w:rPr>
                <w:rFonts w:eastAsia="Calibri"/>
                <w:b/>
                <w:color w:val="000000"/>
                <w:szCs w:val="24"/>
                <w:lang w:val="es-ES" w:eastAsia="ru-RU"/>
              </w:rPr>
              <w:t xml:space="preserve">11.51 </w:t>
            </w:r>
            <w:r w:rsidR="00484752" w:rsidRPr="00B06F57">
              <w:rPr>
                <w:rFonts w:eastAsia="Calibri"/>
                <w:bCs/>
                <w:color w:val="000000"/>
                <w:szCs w:val="24"/>
                <w:lang w:val="es-ES" w:eastAsia="ru-RU"/>
              </w:rPr>
              <w:t>del RR según proceda.</w:t>
            </w:r>
            <w:bookmarkEnd w:id="25"/>
          </w:p>
        </w:tc>
      </w:tr>
      <w:tr w:rsidR="00434FCA" w:rsidRPr="00434FCA" w14:paraId="63264BA8" w14:textId="77777777" w:rsidTr="004A2DC3">
        <w:trPr>
          <w:jc w:val="center"/>
        </w:trPr>
        <w:tc>
          <w:tcPr>
            <w:tcW w:w="3114" w:type="dxa"/>
          </w:tcPr>
          <w:p w14:paraId="10AC31C0" w14:textId="29D670D5" w:rsidR="00434FCA" w:rsidRPr="00434FCA" w:rsidRDefault="00D920FB" w:rsidP="00434F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Punto 7 Tema B del orden del día</w:t>
            </w:r>
          </w:p>
          <w:p w14:paraId="38FD59EF" w14:textId="561045A6" w:rsidR="00434FCA" w:rsidRPr="00434FCA" w:rsidRDefault="002C25CA" w:rsidP="002C25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Cs/>
                <w:iCs/>
                <w:szCs w:val="24"/>
                <w:lang w:val="es-ES" w:eastAsia="ru-RU"/>
              </w:rPr>
              <w:t>Procedimiento posterior a cada objetivo intermedio para la puesta en servicio no OSG.</w:t>
            </w:r>
          </w:p>
        </w:tc>
        <w:tc>
          <w:tcPr>
            <w:tcW w:w="6662" w:type="dxa"/>
          </w:tcPr>
          <w:p w14:paraId="6A6FEEBA" w14:textId="15ED8A95" w:rsidR="00434FCA" w:rsidRPr="00434FCA" w:rsidRDefault="002C25CA" w:rsidP="00434FCA">
            <w:pPr>
              <w:tabs>
                <w:tab w:val="clear" w:pos="1134"/>
                <w:tab w:val="clear" w:pos="1871"/>
                <w:tab w:val="clear" w:pos="2268"/>
              </w:tabs>
              <w:overflowPunct/>
              <w:autoSpaceDE/>
              <w:autoSpaceDN/>
              <w:adjustRightInd/>
              <w:spacing w:before="0" w:after="200" w:line="276" w:lineRule="auto"/>
              <w:textAlignment w:val="auto"/>
              <w:rPr>
                <w:rFonts w:eastAsia="Calibri"/>
                <w:bCs/>
                <w:color w:val="000000"/>
                <w:szCs w:val="24"/>
                <w:lang w:val="es-ES" w:eastAsia="ru-RU"/>
              </w:rPr>
            </w:pPr>
            <w:bookmarkStart w:id="26" w:name="lt_pId047"/>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B2</w:t>
            </w:r>
            <w:r w:rsidR="00434FCA" w:rsidRPr="00434FCA">
              <w:rPr>
                <w:rFonts w:eastAsia="Calibri"/>
                <w:bCs/>
                <w:color w:val="000000"/>
                <w:szCs w:val="24"/>
                <w:lang w:val="es-ES" w:eastAsia="ru-RU"/>
              </w:rPr>
              <w:t xml:space="preserve"> - </w:t>
            </w:r>
            <w:r w:rsidR="00484752" w:rsidRPr="00B06F57">
              <w:rPr>
                <w:rFonts w:eastAsia="Calibri"/>
                <w:bCs/>
                <w:color w:val="000000"/>
                <w:szCs w:val="24"/>
                <w:lang w:val="es-ES" w:eastAsia="ru-RU"/>
              </w:rPr>
              <w:t>eliminar el</w:t>
            </w:r>
            <w:r w:rsidR="00B947AB" w:rsidRPr="00B06F57">
              <w:rPr>
                <w:rFonts w:eastAsia="Calibri"/>
                <w:bCs/>
                <w:color w:val="000000"/>
                <w:szCs w:val="24"/>
                <w:lang w:val="es-ES" w:eastAsia="ru-RU"/>
              </w:rPr>
              <w:t xml:space="preserve"> párrafo del</w:t>
            </w:r>
            <w:r w:rsidR="00484752" w:rsidRPr="00B06F57">
              <w:rPr>
                <w:rFonts w:eastAsia="Calibri"/>
                <w:bCs/>
                <w:color w:val="000000"/>
                <w:szCs w:val="24"/>
                <w:lang w:val="es-ES" w:eastAsia="ru-RU"/>
              </w:rPr>
              <w:t xml:space="preserve"> </w:t>
            </w:r>
            <w:r w:rsidR="00484752" w:rsidRPr="00B06F57">
              <w:rPr>
                <w:rFonts w:eastAsia="Calibri"/>
                <w:bCs/>
                <w:i/>
                <w:color w:val="000000"/>
                <w:szCs w:val="24"/>
                <w:lang w:val="es-ES" w:eastAsia="ru-RU"/>
              </w:rPr>
              <w:t>resuelve</w:t>
            </w:r>
            <w:r w:rsidR="00484752" w:rsidRPr="00B06F57">
              <w:rPr>
                <w:rFonts w:eastAsia="Calibri"/>
                <w:bCs/>
                <w:color w:val="000000"/>
                <w:szCs w:val="24"/>
                <w:lang w:val="es-ES" w:eastAsia="ru-RU"/>
              </w:rPr>
              <w:t xml:space="preserve"> 19 de la Resolución </w:t>
            </w:r>
            <w:r w:rsidR="00484752" w:rsidRPr="0024609D">
              <w:rPr>
                <w:rFonts w:eastAsia="Calibri"/>
                <w:b/>
                <w:color w:val="000000"/>
                <w:szCs w:val="24"/>
                <w:lang w:val="es-ES" w:eastAsia="ru-RU"/>
              </w:rPr>
              <w:t>35</w:t>
            </w:r>
            <w:r w:rsidR="00484752" w:rsidRPr="00B06F57">
              <w:rPr>
                <w:rFonts w:eastAsia="Calibri"/>
                <w:bCs/>
                <w:color w:val="000000"/>
                <w:szCs w:val="24"/>
                <w:lang w:val="es-ES" w:eastAsia="ru-RU"/>
              </w:rPr>
              <w:t xml:space="preserve"> </w:t>
            </w:r>
            <w:r w:rsidR="00484752" w:rsidRPr="0024609D">
              <w:rPr>
                <w:rFonts w:eastAsia="Calibri"/>
                <w:b/>
                <w:color w:val="000000"/>
                <w:szCs w:val="24"/>
                <w:lang w:val="es-ES" w:eastAsia="ru-RU"/>
              </w:rPr>
              <w:t xml:space="preserve">(CMR-19) </w:t>
            </w:r>
            <w:r w:rsidR="00B947AB" w:rsidRPr="00B06F57">
              <w:rPr>
                <w:rFonts w:eastAsia="Calibri"/>
                <w:bCs/>
                <w:color w:val="000000"/>
                <w:szCs w:val="24"/>
                <w:lang w:val="es-ES" w:eastAsia="ru-RU"/>
              </w:rPr>
              <w:t xml:space="preserve">que ya no es necesario. Elaborar un proyecto de nueva Resolución que introduce un umbral para reducir el número de satélites desplegados capaces de transmitir o recibir en asignaciones de frecuencias inscritas a partir del cual se aplica la Resolución. </w:t>
            </w:r>
            <w:bookmarkEnd w:id="26"/>
          </w:p>
        </w:tc>
      </w:tr>
      <w:tr w:rsidR="00434FCA" w:rsidRPr="00434FCA" w14:paraId="2C116C89" w14:textId="77777777" w:rsidTr="004A2DC3">
        <w:trPr>
          <w:jc w:val="center"/>
        </w:trPr>
        <w:tc>
          <w:tcPr>
            <w:tcW w:w="3114" w:type="dxa"/>
          </w:tcPr>
          <w:p w14:paraId="4F31500F" w14:textId="4E00047C" w:rsidR="00434FCA" w:rsidRPr="00434FCA" w:rsidRDefault="00D920FB"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lastRenderedPageBreak/>
              <w:t>Punto 7 Tema C del orden del día</w:t>
            </w:r>
          </w:p>
          <w:p w14:paraId="31D93C19" w14:textId="7307DDF1" w:rsidR="00434FCA" w:rsidRPr="00434FCA" w:rsidRDefault="002C25CA"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Cs/>
                <w:iCs/>
                <w:szCs w:val="24"/>
                <w:lang w:val="es-ES" w:eastAsia="ru-RU"/>
              </w:rPr>
              <w:t>Protección de las redes de satélites geoestacionarios del SMS que funcionan en las bandas 7/8 y 20/30 GHz contra las emisiones de los sistemas de satélites no geoestacionarios que funcionan en las mismas bandas de frecuencias y en los mismos sentidos.</w:t>
            </w:r>
          </w:p>
        </w:tc>
        <w:tc>
          <w:tcPr>
            <w:tcW w:w="6662" w:type="dxa"/>
          </w:tcPr>
          <w:p w14:paraId="75E34D17" w14:textId="46C91FBA" w:rsidR="00434FCA" w:rsidRPr="00434FCA" w:rsidRDefault="002C25CA" w:rsidP="00EB6389">
            <w:pPr>
              <w:keepNext/>
              <w:keepLines/>
              <w:tabs>
                <w:tab w:val="clear" w:pos="1134"/>
                <w:tab w:val="clear" w:pos="1871"/>
                <w:tab w:val="clear" w:pos="2268"/>
              </w:tabs>
              <w:overflowPunct/>
              <w:autoSpaceDE/>
              <w:autoSpaceDN/>
              <w:adjustRightInd/>
              <w:spacing w:before="0" w:after="200" w:line="276" w:lineRule="auto"/>
              <w:textAlignment w:val="auto"/>
              <w:rPr>
                <w:rFonts w:eastAsia="Calibri"/>
                <w:bCs/>
                <w:color w:val="000000"/>
                <w:szCs w:val="24"/>
                <w:lang w:val="es-ES" w:eastAsia="ru-RU"/>
              </w:rPr>
            </w:pPr>
            <w:bookmarkStart w:id="27" w:name="lt_pId051"/>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C2</w:t>
            </w:r>
            <w:r w:rsidR="00434FCA" w:rsidRPr="00434FCA">
              <w:rPr>
                <w:rFonts w:eastAsia="Calibri"/>
                <w:bCs/>
                <w:color w:val="000000"/>
                <w:szCs w:val="24"/>
                <w:lang w:val="es-ES" w:eastAsia="ru-RU"/>
              </w:rPr>
              <w:t xml:space="preserve">, </w:t>
            </w:r>
            <w:r w:rsidR="00EB6389">
              <w:rPr>
                <w:rFonts w:eastAsia="Calibri"/>
                <w:bCs/>
                <w:color w:val="000000"/>
                <w:szCs w:val="24"/>
                <w:lang w:val="es-ES" w:eastAsia="ru-RU"/>
              </w:rPr>
              <w:t>en el que se amplía</w:t>
            </w:r>
            <w:r w:rsidR="00B947AB" w:rsidRPr="00B06F57">
              <w:rPr>
                <w:rFonts w:eastAsia="Calibri"/>
                <w:bCs/>
                <w:color w:val="000000"/>
                <w:szCs w:val="24"/>
                <w:lang w:val="es-ES" w:eastAsia="ru-RU"/>
              </w:rPr>
              <w:t xml:space="preserve"> el concepto del número </w:t>
            </w:r>
            <w:r w:rsidR="00B947AB" w:rsidRPr="0024609D">
              <w:rPr>
                <w:rFonts w:eastAsia="Calibri"/>
                <w:b/>
                <w:color w:val="000000"/>
                <w:szCs w:val="24"/>
                <w:lang w:val="es-ES" w:eastAsia="ru-RU"/>
              </w:rPr>
              <w:t>22.2</w:t>
            </w:r>
            <w:r w:rsidR="00B947AB" w:rsidRPr="00B06F57">
              <w:rPr>
                <w:rFonts w:eastAsia="Calibri"/>
                <w:bCs/>
                <w:color w:val="000000"/>
                <w:szCs w:val="24"/>
                <w:lang w:val="es-ES" w:eastAsia="ru-RU"/>
              </w:rPr>
              <w:t xml:space="preserve"> del RR a las redes del SMS OSG en las bandas de frecuencias 7 250-7 750 MHz (espacio-Tierra), 7 900-8 025 MHz (Tierra</w:t>
            </w:r>
            <w:r w:rsidR="0024609D">
              <w:rPr>
                <w:rFonts w:eastAsia="Calibri"/>
                <w:bCs/>
                <w:color w:val="000000"/>
                <w:szCs w:val="24"/>
                <w:lang w:val="es-ES" w:eastAsia="ru-RU"/>
              </w:rPr>
              <w:noBreakHyphen/>
            </w:r>
            <w:r w:rsidR="00B947AB" w:rsidRPr="00B06F57">
              <w:rPr>
                <w:rFonts w:eastAsia="Calibri"/>
                <w:bCs/>
                <w:color w:val="000000"/>
                <w:szCs w:val="24"/>
                <w:lang w:val="es-ES" w:eastAsia="ru-RU"/>
              </w:rPr>
              <w:t xml:space="preserve">espacio), 20,2-21,2 GHz (espacio Tierra) y 30-31 GHz (Tierra-espacio), </w:t>
            </w:r>
            <w:r w:rsidR="00D353D9" w:rsidRPr="00B06F57">
              <w:rPr>
                <w:rFonts w:eastAsia="Calibri"/>
                <w:bCs/>
                <w:color w:val="000000"/>
                <w:szCs w:val="24"/>
                <w:lang w:val="es-ES" w:eastAsia="ru-RU"/>
              </w:rPr>
              <w:t>agregando</w:t>
            </w:r>
            <w:r w:rsidR="00B947AB" w:rsidRPr="00B06F57">
              <w:rPr>
                <w:rFonts w:eastAsia="Calibri"/>
                <w:bCs/>
                <w:color w:val="000000"/>
                <w:szCs w:val="24"/>
                <w:lang w:val="es-ES" w:eastAsia="ru-RU"/>
              </w:rPr>
              <w:t xml:space="preserve"> una nueva disposición con el número </w:t>
            </w:r>
            <w:r w:rsidR="00B947AB" w:rsidRPr="0024609D">
              <w:rPr>
                <w:rFonts w:eastAsia="Calibri"/>
                <w:b/>
                <w:color w:val="000000"/>
                <w:szCs w:val="24"/>
                <w:lang w:val="es-ES" w:eastAsia="ru-RU"/>
              </w:rPr>
              <w:t>22.2</w:t>
            </w:r>
            <w:r w:rsidR="00B947AB" w:rsidRPr="0024609D">
              <w:rPr>
                <w:rFonts w:eastAsia="Calibri"/>
                <w:b/>
                <w:i/>
                <w:iCs/>
                <w:color w:val="000000"/>
                <w:szCs w:val="24"/>
                <w:lang w:val="es-ES" w:eastAsia="ru-RU"/>
              </w:rPr>
              <w:t>bis</w:t>
            </w:r>
            <w:r w:rsidR="00B947AB" w:rsidRPr="00B06F57">
              <w:rPr>
                <w:rFonts w:eastAsia="Calibri"/>
                <w:bCs/>
                <w:color w:val="000000"/>
                <w:szCs w:val="24"/>
                <w:lang w:val="es-ES" w:eastAsia="ru-RU"/>
              </w:rPr>
              <w:t xml:space="preserve"> del RR. </w:t>
            </w:r>
            <w:bookmarkEnd w:id="27"/>
          </w:p>
        </w:tc>
      </w:tr>
      <w:tr w:rsidR="00434FCA" w:rsidRPr="00434FCA" w14:paraId="145E9752" w14:textId="77777777" w:rsidTr="004A2DC3">
        <w:trPr>
          <w:jc w:val="center"/>
        </w:trPr>
        <w:tc>
          <w:tcPr>
            <w:tcW w:w="3114" w:type="dxa"/>
          </w:tcPr>
          <w:p w14:paraId="337D7CF1" w14:textId="3FBC76AF" w:rsidR="00434FCA" w:rsidRPr="00434FCA" w:rsidRDefault="00D920FB"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Punto 7 Tema E del orden del día</w:t>
            </w:r>
          </w:p>
          <w:p w14:paraId="702EF3BA" w14:textId="7A65EB5B" w:rsidR="00434FCA" w:rsidRPr="00434FCA" w:rsidRDefault="002C25CA"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Cs/>
                <w:iCs/>
                <w:szCs w:val="24"/>
                <w:lang w:val="es-ES" w:eastAsia="ru-RU"/>
              </w:rPr>
              <w:t>Mejora de los procedimientos del Apéndice 30B del RR para nuevos Estados Miembros</w:t>
            </w:r>
          </w:p>
        </w:tc>
        <w:tc>
          <w:tcPr>
            <w:tcW w:w="6662" w:type="dxa"/>
          </w:tcPr>
          <w:p w14:paraId="54492007" w14:textId="5854A4CD" w:rsidR="00434FCA" w:rsidRPr="00434FCA" w:rsidRDefault="002C25CA"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
                <w:color w:val="000000"/>
                <w:szCs w:val="24"/>
                <w:lang w:val="es-ES" w:eastAsia="ru-RU"/>
              </w:rPr>
            </w:pPr>
            <w:bookmarkStart w:id="28" w:name="lt_pId054"/>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E2</w:t>
            </w:r>
            <w:r w:rsidR="00434FCA" w:rsidRPr="00434FCA">
              <w:rPr>
                <w:rFonts w:eastAsia="Calibri"/>
                <w:bCs/>
                <w:color w:val="000000"/>
                <w:szCs w:val="24"/>
                <w:lang w:val="es-ES" w:eastAsia="ru-RU"/>
              </w:rPr>
              <w:t xml:space="preserve"> - </w:t>
            </w:r>
            <w:r w:rsidR="00D353D9" w:rsidRPr="00B06F57">
              <w:rPr>
                <w:rFonts w:eastAsia="Calibri"/>
                <w:bCs/>
                <w:color w:val="000000"/>
                <w:szCs w:val="24"/>
                <w:lang w:val="es-ES" w:eastAsia="ru-RU"/>
              </w:rPr>
              <w:t xml:space="preserve">conceder a los nuevos Estados Miembros de la UIT los mismos privilegios que otorga la CMR-19 a las administraciones sin asignaciones en la Lista del Apéndice </w:t>
            </w:r>
            <w:r w:rsidR="00D353D9" w:rsidRPr="0024609D">
              <w:rPr>
                <w:rFonts w:eastAsia="Calibri"/>
                <w:b/>
                <w:color w:val="000000"/>
                <w:szCs w:val="24"/>
                <w:lang w:val="es-ES" w:eastAsia="ru-RU"/>
              </w:rPr>
              <w:t>30B</w:t>
            </w:r>
            <w:r w:rsidR="00D353D9" w:rsidRPr="00B06F57">
              <w:rPr>
                <w:rFonts w:eastAsia="Calibri"/>
                <w:bCs/>
                <w:color w:val="000000"/>
                <w:szCs w:val="24"/>
                <w:lang w:val="es-ES" w:eastAsia="ru-RU"/>
              </w:rPr>
              <w:t xml:space="preserve"> del RR o en proceso de coordinación</w:t>
            </w:r>
            <w:r w:rsidR="00434FCA" w:rsidRPr="00434FCA">
              <w:rPr>
                <w:rFonts w:eastAsia="Calibri"/>
                <w:bCs/>
                <w:color w:val="000000"/>
                <w:szCs w:val="24"/>
                <w:lang w:val="es-ES" w:eastAsia="ru-RU"/>
              </w:rPr>
              <w:t>.</w:t>
            </w:r>
            <w:bookmarkEnd w:id="28"/>
          </w:p>
        </w:tc>
      </w:tr>
      <w:tr w:rsidR="00434FCA" w:rsidRPr="00434FCA" w14:paraId="50CF9419" w14:textId="77777777" w:rsidTr="004A2DC3">
        <w:trPr>
          <w:jc w:val="center"/>
        </w:trPr>
        <w:tc>
          <w:tcPr>
            <w:tcW w:w="3114" w:type="dxa"/>
          </w:tcPr>
          <w:p w14:paraId="0BDFD20D" w14:textId="0C74DAEC" w:rsidR="00434FCA" w:rsidRPr="00434FCA" w:rsidRDefault="00D920FB" w:rsidP="00434F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Punto 7 Tema G del orden del día</w:t>
            </w:r>
          </w:p>
          <w:p w14:paraId="2489E51C" w14:textId="1D0BCEEF" w:rsidR="00434FCA" w:rsidRPr="00434FCA" w:rsidRDefault="002C25CA" w:rsidP="002C25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Cs/>
                <w:iCs/>
                <w:szCs w:val="24"/>
                <w:lang w:val="es-ES" w:eastAsia="ru-RU"/>
              </w:rPr>
              <w:t xml:space="preserve">Revisión de la Resolución </w:t>
            </w:r>
            <w:r w:rsidRPr="0024609D">
              <w:rPr>
                <w:rFonts w:eastAsia="Calibri"/>
                <w:b/>
                <w:iCs/>
                <w:szCs w:val="24"/>
                <w:lang w:val="es-ES" w:eastAsia="ru-RU"/>
              </w:rPr>
              <w:t>770</w:t>
            </w:r>
            <w:r w:rsidRPr="0024609D">
              <w:rPr>
                <w:rFonts w:eastAsia="Calibri"/>
                <w:bCs/>
                <w:iCs/>
                <w:szCs w:val="24"/>
                <w:lang w:val="es-ES" w:eastAsia="ru-RU"/>
              </w:rPr>
              <w:t xml:space="preserve"> </w:t>
            </w:r>
            <w:r w:rsidRPr="0024609D">
              <w:rPr>
                <w:rFonts w:eastAsia="Calibri"/>
                <w:b/>
                <w:iCs/>
                <w:szCs w:val="24"/>
                <w:lang w:val="es-ES" w:eastAsia="ru-RU"/>
              </w:rPr>
              <w:t>(CMR-19)</w:t>
            </w:r>
            <w:r w:rsidRPr="00B06F57">
              <w:rPr>
                <w:rFonts w:eastAsia="Calibri"/>
                <w:bCs/>
                <w:iCs/>
                <w:szCs w:val="24"/>
                <w:lang w:val="es-ES" w:eastAsia="ru-RU"/>
              </w:rPr>
              <w:t xml:space="preserve"> para permitir su aplicación.</w:t>
            </w:r>
          </w:p>
        </w:tc>
        <w:tc>
          <w:tcPr>
            <w:tcW w:w="6662" w:type="dxa"/>
          </w:tcPr>
          <w:p w14:paraId="59273957" w14:textId="34BCDEBB" w:rsidR="00434FCA" w:rsidRPr="00434FCA" w:rsidRDefault="002C25CA" w:rsidP="00EB6389">
            <w:pPr>
              <w:tabs>
                <w:tab w:val="clear" w:pos="1134"/>
                <w:tab w:val="clear" w:pos="1871"/>
                <w:tab w:val="clear" w:pos="2268"/>
              </w:tabs>
              <w:overflowPunct/>
              <w:autoSpaceDE/>
              <w:autoSpaceDN/>
              <w:adjustRightInd/>
              <w:spacing w:before="0" w:after="200" w:line="276" w:lineRule="auto"/>
              <w:textAlignment w:val="auto"/>
              <w:rPr>
                <w:rFonts w:eastAsia="Calibri"/>
                <w:b/>
                <w:color w:val="000000"/>
                <w:szCs w:val="24"/>
                <w:lang w:val="es-ES" w:eastAsia="ru-RU"/>
              </w:rPr>
            </w:pPr>
            <w:bookmarkStart w:id="29" w:name="lt_pId057"/>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G2</w:t>
            </w:r>
            <w:r w:rsidR="00434FCA" w:rsidRPr="00434FCA">
              <w:rPr>
                <w:rFonts w:eastAsia="Calibri"/>
                <w:bCs/>
                <w:color w:val="000000"/>
                <w:szCs w:val="24"/>
                <w:lang w:val="es-ES" w:eastAsia="ru-RU"/>
              </w:rPr>
              <w:t xml:space="preserve"> - </w:t>
            </w:r>
            <w:r w:rsidR="00EB6389">
              <w:rPr>
                <w:rFonts w:eastAsia="Calibri"/>
                <w:bCs/>
                <w:color w:val="000000"/>
                <w:szCs w:val="24"/>
                <w:lang w:val="es-ES" w:eastAsia="ru-RU"/>
              </w:rPr>
              <w:t>m</w:t>
            </w:r>
            <w:r w:rsidR="00D353D9" w:rsidRPr="00B06F57">
              <w:rPr>
                <w:rFonts w:eastAsia="Calibri"/>
                <w:bCs/>
                <w:color w:val="000000"/>
                <w:szCs w:val="24"/>
                <w:lang w:val="es-ES" w:eastAsia="ru-RU"/>
              </w:rPr>
              <w:t xml:space="preserve">odificación de la Resolución </w:t>
            </w:r>
            <w:r w:rsidR="00D353D9" w:rsidRPr="0024609D">
              <w:rPr>
                <w:rFonts w:eastAsia="Calibri"/>
                <w:b/>
                <w:color w:val="000000"/>
                <w:szCs w:val="24"/>
                <w:lang w:val="es-ES" w:eastAsia="ru-RU"/>
              </w:rPr>
              <w:t>770</w:t>
            </w:r>
            <w:r w:rsidR="00D353D9" w:rsidRPr="0024609D">
              <w:rPr>
                <w:rFonts w:eastAsia="Calibri"/>
                <w:bCs/>
                <w:color w:val="000000"/>
                <w:szCs w:val="24"/>
                <w:lang w:val="es-ES" w:eastAsia="ru-RU"/>
              </w:rPr>
              <w:t xml:space="preserve"> </w:t>
            </w:r>
            <w:r w:rsidR="00D353D9" w:rsidRPr="0024609D">
              <w:rPr>
                <w:rFonts w:eastAsia="Calibri"/>
                <w:b/>
                <w:color w:val="000000"/>
                <w:szCs w:val="24"/>
                <w:lang w:val="es-ES" w:eastAsia="ru-RU"/>
              </w:rPr>
              <w:t>(CMR</w:t>
            </w:r>
            <w:r w:rsidR="0024609D" w:rsidRPr="0024609D">
              <w:rPr>
                <w:rFonts w:eastAsia="Calibri"/>
                <w:b/>
                <w:color w:val="000000"/>
                <w:szCs w:val="24"/>
                <w:lang w:val="es-ES" w:eastAsia="ru-RU"/>
              </w:rPr>
              <w:noBreakHyphen/>
            </w:r>
            <w:r w:rsidR="00D353D9" w:rsidRPr="0024609D">
              <w:rPr>
                <w:rFonts w:eastAsia="Calibri"/>
                <w:b/>
                <w:color w:val="000000"/>
                <w:szCs w:val="24"/>
                <w:lang w:val="es-ES" w:eastAsia="ru-RU"/>
              </w:rPr>
              <w:t>19)</w:t>
            </w:r>
            <w:r w:rsidR="00D353D9" w:rsidRPr="00B06F57">
              <w:rPr>
                <w:rFonts w:eastAsia="Calibri"/>
                <w:bCs/>
                <w:color w:val="000000"/>
                <w:szCs w:val="24"/>
                <w:lang w:val="es-ES" w:eastAsia="ru-RU"/>
              </w:rPr>
              <w:t xml:space="preserve"> para permitir su aplicación</w:t>
            </w:r>
            <w:r w:rsidR="00434FCA" w:rsidRPr="00434FCA">
              <w:rPr>
                <w:rFonts w:eastAsia="Calibri"/>
                <w:bCs/>
                <w:color w:val="000000"/>
                <w:szCs w:val="24"/>
                <w:lang w:val="es-ES" w:eastAsia="ru-RU"/>
              </w:rPr>
              <w:t>.</w:t>
            </w:r>
            <w:bookmarkEnd w:id="29"/>
          </w:p>
        </w:tc>
      </w:tr>
      <w:tr w:rsidR="00434FCA" w:rsidRPr="00434FCA" w14:paraId="16F4D65F" w14:textId="77777777" w:rsidTr="004A2DC3">
        <w:trPr>
          <w:jc w:val="center"/>
        </w:trPr>
        <w:tc>
          <w:tcPr>
            <w:tcW w:w="3114" w:type="dxa"/>
          </w:tcPr>
          <w:p w14:paraId="46716696" w14:textId="03168ECF" w:rsidR="00434FCA" w:rsidRPr="00434FCA" w:rsidRDefault="00D920FB" w:rsidP="00434F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t>Punto 7 Tema H del orden del día</w:t>
            </w:r>
          </w:p>
          <w:p w14:paraId="07796ABA" w14:textId="5ED7910C" w:rsidR="00434FCA" w:rsidRPr="00434FCA" w:rsidRDefault="002C25CA" w:rsidP="00434FCA">
            <w:pPr>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Cs/>
                <w:iCs/>
                <w:szCs w:val="24"/>
                <w:lang w:val="es-ES" w:eastAsia="ru-RU"/>
              </w:rPr>
              <w:t xml:space="preserve">Mejora de la protección en los Apéndices </w:t>
            </w:r>
            <w:r w:rsidRPr="0024609D">
              <w:rPr>
                <w:rFonts w:eastAsia="Calibri"/>
                <w:b/>
                <w:iCs/>
                <w:szCs w:val="24"/>
                <w:lang w:val="es-ES" w:eastAsia="ru-RU"/>
              </w:rPr>
              <w:t>30/30A</w:t>
            </w:r>
            <w:r w:rsidRPr="00B06F57">
              <w:rPr>
                <w:rFonts w:eastAsia="Calibri"/>
                <w:bCs/>
                <w:iCs/>
                <w:szCs w:val="24"/>
                <w:lang w:val="es-ES" w:eastAsia="ru-RU"/>
              </w:rPr>
              <w:t xml:space="preserve"> del RR para las Regiones 1 y 3 y en el Apéndice </w:t>
            </w:r>
            <w:r w:rsidRPr="0024609D">
              <w:rPr>
                <w:rFonts w:eastAsia="Calibri"/>
                <w:b/>
                <w:iCs/>
                <w:szCs w:val="24"/>
                <w:lang w:val="es-ES" w:eastAsia="ru-RU"/>
              </w:rPr>
              <w:t>30B</w:t>
            </w:r>
            <w:r w:rsidRPr="00B06F57">
              <w:rPr>
                <w:rFonts w:eastAsia="Calibri"/>
                <w:bCs/>
                <w:iCs/>
                <w:szCs w:val="24"/>
                <w:lang w:val="es-ES" w:eastAsia="ru-RU"/>
              </w:rPr>
              <w:t xml:space="preserve"> del RR.</w:t>
            </w:r>
          </w:p>
        </w:tc>
        <w:tc>
          <w:tcPr>
            <w:tcW w:w="6662" w:type="dxa"/>
          </w:tcPr>
          <w:p w14:paraId="58001A11" w14:textId="233D85E3" w:rsidR="00434FCA" w:rsidRPr="00434FCA" w:rsidRDefault="002C25CA" w:rsidP="00434FCA">
            <w:pPr>
              <w:tabs>
                <w:tab w:val="clear" w:pos="1134"/>
                <w:tab w:val="clear" w:pos="1871"/>
                <w:tab w:val="clear" w:pos="2268"/>
              </w:tabs>
              <w:overflowPunct/>
              <w:autoSpaceDE/>
              <w:autoSpaceDN/>
              <w:adjustRightInd/>
              <w:spacing w:before="0" w:after="200" w:line="276" w:lineRule="auto"/>
              <w:textAlignment w:val="auto"/>
              <w:rPr>
                <w:rFonts w:eastAsia="Calibri"/>
                <w:b/>
                <w:color w:val="000000"/>
                <w:szCs w:val="24"/>
                <w:lang w:val="es-ES" w:eastAsia="ru-RU"/>
              </w:rPr>
            </w:pPr>
            <w:bookmarkStart w:id="30" w:name="lt_pId060"/>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H2A</w:t>
            </w:r>
            <w:r w:rsidR="00434FCA" w:rsidRPr="00434FCA">
              <w:rPr>
                <w:rFonts w:eastAsia="Calibri"/>
                <w:bCs/>
                <w:color w:val="000000"/>
                <w:szCs w:val="24"/>
                <w:lang w:val="es-ES" w:eastAsia="ru-RU"/>
              </w:rPr>
              <w:t xml:space="preserve"> - </w:t>
            </w:r>
            <w:r w:rsidR="00B06F57" w:rsidRPr="00B06F57">
              <w:rPr>
                <w:rFonts w:eastAsia="Calibri"/>
                <w:bCs/>
                <w:color w:val="000000"/>
                <w:szCs w:val="24"/>
                <w:lang w:val="es-ES" w:eastAsia="ru-RU"/>
              </w:rPr>
              <w:t>ninguna modificación del Reglamento de Radiocomunicaciones</w:t>
            </w:r>
            <w:r w:rsidR="00434FCA" w:rsidRPr="00434FCA">
              <w:rPr>
                <w:rFonts w:eastAsia="Calibri"/>
                <w:bCs/>
                <w:color w:val="000000"/>
                <w:szCs w:val="24"/>
                <w:lang w:val="es-ES" w:eastAsia="ru-RU"/>
              </w:rPr>
              <w:t>.</w:t>
            </w:r>
            <w:bookmarkEnd w:id="30"/>
          </w:p>
        </w:tc>
      </w:tr>
      <w:tr w:rsidR="00434FCA" w:rsidRPr="00434FCA" w14:paraId="7014EA49" w14:textId="77777777" w:rsidTr="004A2DC3">
        <w:trPr>
          <w:jc w:val="center"/>
        </w:trPr>
        <w:tc>
          <w:tcPr>
            <w:tcW w:w="3114" w:type="dxa"/>
          </w:tcPr>
          <w:p w14:paraId="49D0A5F8" w14:textId="43A01508" w:rsidR="00434FCA" w:rsidRPr="00434FCA" w:rsidRDefault="00D920FB"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
                <w:i/>
                <w:szCs w:val="24"/>
                <w:lang w:val="es-ES" w:eastAsia="ru-RU"/>
              </w:rPr>
              <w:lastRenderedPageBreak/>
              <w:t>Punto 7 Tema I del orden del día</w:t>
            </w:r>
          </w:p>
          <w:p w14:paraId="647C026B" w14:textId="357AB445" w:rsidR="00434FCA" w:rsidRPr="00434FCA" w:rsidRDefault="002C25CA"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
                <w:i/>
                <w:szCs w:val="24"/>
                <w:lang w:val="es-ES" w:eastAsia="ru-RU"/>
              </w:rPr>
            </w:pPr>
            <w:r w:rsidRPr="00B06F57">
              <w:rPr>
                <w:rFonts w:eastAsia="Calibri"/>
                <w:bCs/>
                <w:iCs/>
                <w:szCs w:val="24"/>
                <w:lang w:val="es-ES" w:eastAsia="ru-RU"/>
              </w:rPr>
              <w:t xml:space="preserve">Acuerdos especiales en virtud del Apéndice </w:t>
            </w:r>
            <w:r w:rsidRPr="003B390E">
              <w:rPr>
                <w:rFonts w:eastAsia="Calibri"/>
                <w:b/>
                <w:iCs/>
                <w:szCs w:val="24"/>
                <w:lang w:val="es-ES" w:eastAsia="ru-RU"/>
              </w:rPr>
              <w:t>30B</w:t>
            </w:r>
            <w:r w:rsidRPr="00B06F57">
              <w:rPr>
                <w:rFonts w:eastAsia="Calibri"/>
                <w:bCs/>
                <w:iCs/>
                <w:szCs w:val="24"/>
                <w:lang w:val="es-ES" w:eastAsia="ru-RU"/>
              </w:rPr>
              <w:t xml:space="preserve"> del RR.</w:t>
            </w:r>
          </w:p>
        </w:tc>
        <w:tc>
          <w:tcPr>
            <w:tcW w:w="6662" w:type="dxa"/>
          </w:tcPr>
          <w:p w14:paraId="31CFC3D9" w14:textId="37B12716" w:rsidR="00434FCA" w:rsidRPr="00434FCA" w:rsidRDefault="002C25CA" w:rsidP="00434FCA">
            <w:pPr>
              <w:keepNext/>
              <w:keepLines/>
              <w:tabs>
                <w:tab w:val="clear" w:pos="1134"/>
                <w:tab w:val="clear" w:pos="1871"/>
                <w:tab w:val="clear" w:pos="2268"/>
              </w:tabs>
              <w:overflowPunct/>
              <w:autoSpaceDE/>
              <w:autoSpaceDN/>
              <w:adjustRightInd/>
              <w:spacing w:before="0" w:after="200" w:line="276" w:lineRule="auto"/>
              <w:textAlignment w:val="auto"/>
              <w:rPr>
                <w:rFonts w:eastAsia="Calibri"/>
                <w:bCs/>
                <w:color w:val="000000"/>
                <w:szCs w:val="24"/>
                <w:lang w:val="es-ES" w:eastAsia="ru-RU"/>
              </w:rPr>
            </w:pPr>
            <w:bookmarkStart w:id="31" w:name="lt_pId063"/>
            <w:r w:rsidRPr="00B06F57">
              <w:rPr>
                <w:rFonts w:eastAsia="Calibri"/>
                <w:b/>
                <w:color w:val="000000"/>
                <w:szCs w:val="24"/>
                <w:lang w:val="es-ES" w:eastAsia="ru-RU"/>
              </w:rPr>
              <w:t>Apoya el Método</w:t>
            </w:r>
            <w:r w:rsidR="00434FCA" w:rsidRPr="00434FCA">
              <w:rPr>
                <w:rFonts w:eastAsia="Calibri"/>
                <w:b/>
                <w:color w:val="000000"/>
                <w:szCs w:val="24"/>
                <w:lang w:val="es-ES" w:eastAsia="ru-RU"/>
              </w:rPr>
              <w:t xml:space="preserve"> I2</w:t>
            </w:r>
            <w:r w:rsidR="00434FCA" w:rsidRPr="00434FCA">
              <w:rPr>
                <w:rFonts w:eastAsia="Calibri"/>
                <w:bCs/>
                <w:color w:val="000000"/>
                <w:szCs w:val="24"/>
                <w:lang w:val="es-ES" w:eastAsia="ru-RU"/>
              </w:rPr>
              <w:t xml:space="preserve">, </w:t>
            </w:r>
            <w:r w:rsidR="00B06F57" w:rsidRPr="00B06F57">
              <w:rPr>
                <w:rFonts w:eastAsia="Calibri"/>
                <w:bCs/>
                <w:color w:val="000000"/>
                <w:szCs w:val="24"/>
                <w:lang w:val="es-ES" w:eastAsia="ru-RU"/>
              </w:rPr>
              <w:t>que propone que</w:t>
            </w:r>
            <w:r w:rsidR="00434FCA" w:rsidRPr="00434FCA">
              <w:rPr>
                <w:rFonts w:eastAsia="Calibri"/>
                <w:bCs/>
                <w:color w:val="000000"/>
                <w:szCs w:val="24"/>
                <w:lang w:val="es-ES" w:eastAsia="ru-RU"/>
              </w:rPr>
              <w:t>:</w:t>
            </w:r>
            <w:bookmarkEnd w:id="31"/>
          </w:p>
          <w:p w14:paraId="0A9920C5" w14:textId="69295B06" w:rsidR="00434FCA" w:rsidRPr="00434FCA" w:rsidRDefault="0005394E" w:rsidP="0005394E">
            <w:pPr>
              <w:pStyle w:val="enumlev1"/>
              <w:rPr>
                <w:rFonts w:eastAsia="Calibri"/>
                <w:lang w:val="es-ES" w:eastAsia="ru-RU"/>
              </w:rPr>
            </w:pPr>
            <w:bookmarkStart w:id="32" w:name="lt_pId064"/>
            <w:r w:rsidRPr="002674DC">
              <w:rPr>
                <w:rFonts w:eastAsia="Calibri"/>
                <w:lang w:eastAsia="ru-RU"/>
              </w:rPr>
              <w:t>–</w:t>
            </w:r>
            <w:r w:rsidRPr="002674DC">
              <w:rPr>
                <w:rFonts w:eastAsia="Calibri"/>
                <w:lang w:eastAsia="ru-RU"/>
              </w:rPr>
              <w:tab/>
            </w:r>
            <w:bookmarkEnd w:id="32"/>
            <w:r w:rsidR="00EB6389">
              <w:rPr>
                <w:rFonts w:eastAsia="Calibri"/>
                <w:lang w:val="es-ES" w:eastAsia="ru-RU"/>
              </w:rPr>
              <w:t>d</w:t>
            </w:r>
            <w:r w:rsidR="00B06F57" w:rsidRPr="00B06F57">
              <w:rPr>
                <w:rFonts w:eastAsia="Calibri"/>
                <w:lang w:val="es-ES" w:eastAsia="ru-RU"/>
              </w:rPr>
              <w:t>efinir un nuevo tipo de acuerdo entre las administraciones notificantes de una adjudicación nacional y de una asignación, respectivamente. En virtud de dicho acuerdo, la administración de la adjudicación nacional permite que la asignación funcione hasta la puesta en funcionamiento de su adjudicación nacional. En ese momento, la administración de la asignación se compromete a respetar los niveles de dfp de la sección 2.2 del Anexo 4 en el territorio de la asignación nacional. Como la adjudicación nacional y la asignación no funcionarán simultáneamente en la misma frecuencia en la misma zona, no se considera la inter</w:t>
            </w:r>
            <w:bookmarkStart w:id="33" w:name="lt_pId067"/>
            <w:r w:rsidR="00B06F57" w:rsidRPr="00B06F57">
              <w:rPr>
                <w:rFonts w:eastAsia="Calibri"/>
                <w:lang w:val="es-ES" w:eastAsia="ru-RU"/>
              </w:rPr>
              <w:t>ferencia mutua</w:t>
            </w:r>
            <w:r w:rsidR="00434FCA" w:rsidRPr="00434FCA">
              <w:rPr>
                <w:rFonts w:eastAsia="Calibri"/>
                <w:lang w:val="es-ES" w:eastAsia="ru-RU"/>
              </w:rPr>
              <w:t>;</w:t>
            </w:r>
            <w:bookmarkEnd w:id="33"/>
          </w:p>
          <w:p w14:paraId="2F8ADD3D" w14:textId="4B424E52" w:rsidR="00434FCA" w:rsidRPr="00434FCA" w:rsidRDefault="0005394E" w:rsidP="0005394E">
            <w:pPr>
              <w:pStyle w:val="enumlev1"/>
              <w:rPr>
                <w:rFonts w:eastAsia="Calibri"/>
                <w:bCs/>
                <w:color w:val="000000"/>
                <w:szCs w:val="24"/>
                <w:lang w:val="es-ES" w:eastAsia="ru-RU"/>
              </w:rPr>
            </w:pPr>
            <w:bookmarkStart w:id="34" w:name="lt_pId068"/>
            <w:r w:rsidRPr="002674DC">
              <w:rPr>
                <w:rFonts w:eastAsia="Calibri"/>
                <w:lang w:eastAsia="ru-RU"/>
              </w:rPr>
              <w:t>–</w:t>
            </w:r>
            <w:r w:rsidRPr="002674DC">
              <w:rPr>
                <w:rFonts w:eastAsia="Calibri"/>
                <w:lang w:eastAsia="ru-RU"/>
              </w:rPr>
              <w:tab/>
            </w:r>
            <w:r w:rsidR="00EB6389">
              <w:rPr>
                <w:rFonts w:eastAsia="Calibri"/>
                <w:bCs/>
                <w:color w:val="000000"/>
                <w:szCs w:val="24"/>
                <w:lang w:val="es-ES" w:eastAsia="ru-RU"/>
              </w:rPr>
              <w:t>e</w:t>
            </w:r>
            <w:r w:rsidR="00B06F57" w:rsidRPr="00B06F57">
              <w:rPr>
                <w:rFonts w:eastAsia="Calibri"/>
                <w:bCs/>
                <w:color w:val="000000"/>
                <w:szCs w:val="24"/>
                <w:lang w:val="es-ES" w:eastAsia="ru-RU"/>
              </w:rPr>
              <w:t xml:space="preserve">laborar una nueva Resolución que permita a la administración notificante de una adjudicación nacional, sujeta a acuerdos en virtud del § 6.15 del Apéndice </w:t>
            </w:r>
            <w:r w:rsidR="00B06F57" w:rsidRPr="0005394E">
              <w:rPr>
                <w:rFonts w:eastAsia="Calibri"/>
                <w:b/>
                <w:color w:val="000000"/>
                <w:szCs w:val="24"/>
                <w:lang w:val="es-ES" w:eastAsia="ru-RU"/>
              </w:rPr>
              <w:t>30B</w:t>
            </w:r>
            <w:r w:rsidR="00B06F57" w:rsidRPr="00B06F57">
              <w:rPr>
                <w:rFonts w:eastAsia="Calibri"/>
                <w:bCs/>
                <w:color w:val="000000"/>
                <w:szCs w:val="24"/>
                <w:lang w:val="es-ES" w:eastAsia="ru-RU"/>
              </w:rPr>
              <w:t xml:space="preserve"> del RR</w:t>
            </w:r>
            <w:r w:rsidR="00434FCA" w:rsidRPr="00434FCA">
              <w:rPr>
                <w:rFonts w:eastAsia="Calibri"/>
                <w:bCs/>
                <w:color w:val="000000"/>
                <w:szCs w:val="24"/>
                <w:lang w:val="es-ES" w:eastAsia="ru-RU"/>
              </w:rPr>
              <w:t>:</w:t>
            </w:r>
            <w:bookmarkEnd w:id="34"/>
          </w:p>
          <w:p w14:paraId="7D56456C" w14:textId="6075AFCE" w:rsidR="00434FCA" w:rsidRPr="00434FCA" w:rsidRDefault="00434FCA" w:rsidP="0005394E">
            <w:pPr>
              <w:pStyle w:val="enumlev2"/>
              <w:rPr>
                <w:rFonts w:eastAsia="Calibri"/>
                <w:lang w:val="es-ES" w:eastAsia="ru-RU"/>
              </w:rPr>
            </w:pPr>
            <w:r w:rsidRPr="00434FCA">
              <w:rPr>
                <w:rFonts w:eastAsia="Calibri"/>
                <w:lang w:val="es-ES" w:eastAsia="ru-RU"/>
              </w:rPr>
              <w:t>•</w:t>
            </w:r>
            <w:r w:rsidRPr="00434FCA">
              <w:rPr>
                <w:rFonts w:eastAsia="Calibri"/>
                <w:lang w:val="es-ES" w:eastAsia="ru-RU"/>
              </w:rPr>
              <w:tab/>
            </w:r>
            <w:bookmarkStart w:id="35" w:name="lt_pId070"/>
            <w:r w:rsidR="00B06F57" w:rsidRPr="00B06F57">
              <w:rPr>
                <w:rFonts w:eastAsia="Calibri"/>
                <w:lang w:val="es-ES" w:eastAsia="ru-RU"/>
              </w:rPr>
              <w:t>firmar este nuevo tipo de acuerdo con la administración notificante de las asignaciones en cuestión</w:t>
            </w:r>
            <w:r w:rsidRPr="00434FCA">
              <w:rPr>
                <w:rFonts w:eastAsia="Calibri"/>
                <w:lang w:val="es-ES" w:eastAsia="ru-RU"/>
              </w:rPr>
              <w:t>;</w:t>
            </w:r>
            <w:bookmarkEnd w:id="35"/>
          </w:p>
          <w:p w14:paraId="71B23F63" w14:textId="1DE6562B" w:rsidR="00434FCA" w:rsidRPr="00434FCA" w:rsidRDefault="00434FCA" w:rsidP="0005394E">
            <w:pPr>
              <w:pStyle w:val="enumlev2"/>
              <w:rPr>
                <w:rFonts w:eastAsia="Calibri"/>
                <w:bCs/>
                <w:color w:val="000000"/>
                <w:szCs w:val="24"/>
                <w:lang w:val="es-ES" w:eastAsia="ru-RU"/>
              </w:rPr>
            </w:pPr>
            <w:r w:rsidRPr="00434FCA">
              <w:rPr>
                <w:rFonts w:eastAsia="Calibri"/>
                <w:bCs/>
                <w:color w:val="000000"/>
                <w:szCs w:val="24"/>
                <w:lang w:val="es-ES" w:eastAsia="ru-RU"/>
              </w:rPr>
              <w:t>•</w:t>
            </w:r>
            <w:r w:rsidRPr="00434FCA">
              <w:rPr>
                <w:rFonts w:eastAsia="Calibri"/>
                <w:bCs/>
                <w:color w:val="000000"/>
                <w:szCs w:val="24"/>
                <w:lang w:val="es-ES" w:eastAsia="ru-RU"/>
              </w:rPr>
              <w:tab/>
            </w:r>
            <w:bookmarkStart w:id="36" w:name="lt_pId072"/>
            <w:r w:rsidR="00B06F57" w:rsidRPr="0005394E">
              <w:rPr>
                <w:rFonts w:eastAsia="Calibri"/>
                <w:lang w:val="es-ES" w:eastAsia="ru-RU"/>
              </w:rPr>
              <w:t>solicitar</w:t>
            </w:r>
            <w:r w:rsidR="00B06F57" w:rsidRPr="00B06F57">
              <w:rPr>
                <w:rFonts w:eastAsia="Calibri"/>
                <w:bCs/>
                <w:color w:val="000000"/>
                <w:szCs w:val="24"/>
                <w:lang w:val="es-ES" w:eastAsia="ru-RU"/>
              </w:rPr>
              <w:t xml:space="preserve"> a la Oficina que actualice la situación de referencia sin analizar los exámenes anteriores</w:t>
            </w:r>
            <w:r w:rsidRPr="00434FCA">
              <w:rPr>
                <w:rFonts w:eastAsia="Calibri"/>
                <w:bCs/>
                <w:color w:val="000000"/>
                <w:szCs w:val="24"/>
                <w:lang w:val="es-ES" w:eastAsia="ru-RU"/>
              </w:rPr>
              <w:t>;</w:t>
            </w:r>
            <w:bookmarkEnd w:id="36"/>
          </w:p>
          <w:p w14:paraId="5E369C3E" w14:textId="0E60DF4D" w:rsidR="00434FCA" w:rsidRPr="00434FCA" w:rsidRDefault="0005394E" w:rsidP="0005394E">
            <w:pPr>
              <w:pStyle w:val="enumlev1"/>
              <w:rPr>
                <w:rFonts w:eastAsia="Calibri"/>
                <w:b/>
                <w:color w:val="000000"/>
                <w:szCs w:val="24"/>
                <w:lang w:val="es-ES" w:eastAsia="ru-RU"/>
              </w:rPr>
            </w:pPr>
            <w:bookmarkStart w:id="37" w:name="lt_pId073"/>
            <w:r w:rsidRPr="002674DC">
              <w:rPr>
                <w:rFonts w:eastAsia="Calibri"/>
                <w:lang w:eastAsia="ru-RU"/>
              </w:rPr>
              <w:t>–</w:t>
            </w:r>
            <w:r w:rsidRPr="002674DC">
              <w:rPr>
                <w:rFonts w:eastAsia="Calibri"/>
                <w:lang w:eastAsia="ru-RU"/>
              </w:rPr>
              <w:tab/>
            </w:r>
            <w:r w:rsidR="00B06F57" w:rsidRPr="0005394E">
              <w:rPr>
                <w:rFonts w:eastAsia="Calibri"/>
                <w:lang w:val="es-ES" w:eastAsia="ru-RU"/>
              </w:rPr>
              <w:t>solicitar</w:t>
            </w:r>
            <w:r w:rsidR="00B06F57" w:rsidRPr="00B06F57">
              <w:rPr>
                <w:rFonts w:eastAsia="Calibri"/>
                <w:bCs/>
                <w:color w:val="000000"/>
                <w:szCs w:val="24"/>
                <w:lang w:val="es-ES" w:eastAsia="ru-RU"/>
              </w:rPr>
              <w:t xml:space="preserve"> a las administraciones notificantes de las asignaciones para las que aún no se han completado los procedimientos del Artículo </w:t>
            </w:r>
            <w:r w:rsidR="00B06F57" w:rsidRPr="0005394E">
              <w:rPr>
                <w:rFonts w:eastAsia="Calibri"/>
                <w:b/>
                <w:color w:val="000000"/>
                <w:szCs w:val="24"/>
                <w:lang w:val="es-ES" w:eastAsia="ru-RU"/>
              </w:rPr>
              <w:t>6</w:t>
            </w:r>
            <w:r w:rsidR="00B06F57" w:rsidRPr="00B06F57">
              <w:rPr>
                <w:rFonts w:eastAsia="Calibri"/>
                <w:bCs/>
                <w:color w:val="000000"/>
                <w:szCs w:val="24"/>
                <w:lang w:val="es-ES" w:eastAsia="ru-RU"/>
              </w:rPr>
              <w:t xml:space="preserve"> del Apéndice </w:t>
            </w:r>
            <w:r w:rsidR="00B06F57" w:rsidRPr="0005394E">
              <w:rPr>
                <w:rFonts w:eastAsia="Calibri"/>
                <w:b/>
                <w:color w:val="000000"/>
                <w:szCs w:val="24"/>
                <w:lang w:val="es-ES" w:eastAsia="ru-RU"/>
              </w:rPr>
              <w:t>30B</w:t>
            </w:r>
            <w:r w:rsidR="00B06F57" w:rsidRPr="00B06F57">
              <w:rPr>
                <w:rFonts w:eastAsia="Calibri"/>
                <w:bCs/>
                <w:color w:val="000000"/>
                <w:szCs w:val="24"/>
                <w:lang w:val="es-ES" w:eastAsia="ru-RU"/>
              </w:rPr>
              <w:t xml:space="preserve"> del RR y que la Oficina ya ha examinado antes de la firma de dicho acuerdo, que hagan sus mayores esfuerzos para tener en cuenta la nueva situación de referencia de esta adjudicación nacional</w:t>
            </w:r>
            <w:r w:rsidR="00434FCA" w:rsidRPr="00434FCA">
              <w:rPr>
                <w:rFonts w:eastAsia="Calibri"/>
                <w:bCs/>
                <w:color w:val="000000"/>
                <w:szCs w:val="24"/>
                <w:lang w:val="es-ES" w:eastAsia="ru-RU"/>
              </w:rPr>
              <w:t>.</w:t>
            </w:r>
            <w:bookmarkEnd w:id="37"/>
          </w:p>
        </w:tc>
      </w:tr>
    </w:tbl>
    <w:p w14:paraId="3B568DC6" w14:textId="77777777" w:rsidR="00317483" w:rsidRDefault="00317483" w:rsidP="00411C49">
      <w:pPr>
        <w:pStyle w:val="Reasons"/>
      </w:pPr>
    </w:p>
    <w:p w14:paraId="0289C2F8" w14:textId="77777777" w:rsidR="00317483" w:rsidRDefault="00317483">
      <w:pPr>
        <w:jc w:val="center"/>
      </w:pPr>
      <w:r>
        <w:t>______________</w:t>
      </w:r>
    </w:p>
    <w:sectPr w:rsidR="0031748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E9C1" w14:textId="77777777" w:rsidR="00666B37" w:rsidRDefault="00666B37">
      <w:r>
        <w:separator/>
      </w:r>
    </w:p>
  </w:endnote>
  <w:endnote w:type="continuationSeparator" w:id="0">
    <w:p w14:paraId="42CFB49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068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426CDF" w14:textId="69D7BBD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17483">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9C8" w14:textId="4938AAA5" w:rsidR="0077084A" w:rsidRDefault="00317483" w:rsidP="00297E6F">
    <w:pPr>
      <w:pStyle w:val="Footer"/>
      <w:rPr>
        <w:lang w:val="en-US"/>
      </w:rPr>
    </w:pPr>
    <w:r>
      <w:fldChar w:fldCharType="begin"/>
    </w:r>
    <w:r>
      <w:instrText xml:space="preserve"> FILENAME \p  \* MERGEFORMAT </w:instrText>
    </w:r>
    <w:r>
      <w:fldChar w:fldCharType="separate"/>
    </w:r>
    <w:r w:rsidR="00297E6F">
      <w:t>P:\ESP\ITU-R\CONF-R\CMR23\100\194S.docx</w:t>
    </w:r>
    <w:r>
      <w:fldChar w:fldCharType="end"/>
    </w:r>
    <w:r w:rsidR="00297E6F">
      <w:t xml:space="preserve"> </w:t>
    </w:r>
    <w:r w:rsidR="00597EBE">
      <w:rPr>
        <w:lang w:val="en-US"/>
      </w:rPr>
      <w:t>(530631)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CFF3" w14:textId="158F87A2" w:rsidR="0077084A" w:rsidRPr="00597EBE" w:rsidRDefault="00317483" w:rsidP="00297E6F">
    <w:pPr>
      <w:pStyle w:val="Footer"/>
      <w:rPr>
        <w:lang w:val="en-US"/>
      </w:rPr>
    </w:pPr>
    <w:r>
      <w:fldChar w:fldCharType="begin"/>
    </w:r>
    <w:r>
      <w:instrText xml:space="preserve"> FILENAME \p  \* MERGEFORMAT </w:instrText>
    </w:r>
    <w:r>
      <w:fldChar w:fldCharType="separate"/>
    </w:r>
    <w:r w:rsidR="00297E6F">
      <w:t>P:\ESP\ITU-R\CONF-R\CMR23\100\194S.docx</w:t>
    </w:r>
    <w:r>
      <w:fldChar w:fldCharType="end"/>
    </w:r>
    <w:r w:rsidR="00297E6F">
      <w:t xml:space="preserve"> </w:t>
    </w:r>
    <w:r w:rsidR="00597EBE">
      <w:rPr>
        <w:lang w:val="en-US"/>
      </w:rPr>
      <w:t>(530631)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779B" w14:textId="77777777" w:rsidR="00666B37" w:rsidRDefault="00666B37">
      <w:r>
        <w:rPr>
          <w:b/>
        </w:rPr>
        <w:t>_______________</w:t>
      </w:r>
    </w:p>
  </w:footnote>
  <w:footnote w:type="continuationSeparator" w:id="0">
    <w:p w14:paraId="3DFA58BE"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78D1" w14:textId="5AAFD39A"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B6389">
      <w:rPr>
        <w:rStyle w:val="PageNumber"/>
        <w:noProof/>
      </w:rPr>
      <w:t>2</w:t>
    </w:r>
    <w:r>
      <w:rPr>
        <w:rStyle w:val="PageNumber"/>
      </w:rPr>
      <w:fldChar w:fldCharType="end"/>
    </w:r>
  </w:p>
  <w:p w14:paraId="6EC7CB6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194-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07320478">
    <w:abstractNumId w:val="8"/>
  </w:num>
  <w:num w:numId="2" w16cid:durableId="18002272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24769888">
    <w:abstractNumId w:val="9"/>
  </w:num>
  <w:num w:numId="4" w16cid:durableId="818838782">
    <w:abstractNumId w:val="7"/>
  </w:num>
  <w:num w:numId="5" w16cid:durableId="668411330">
    <w:abstractNumId w:val="6"/>
  </w:num>
  <w:num w:numId="6" w16cid:durableId="531965620">
    <w:abstractNumId w:val="5"/>
  </w:num>
  <w:num w:numId="7" w16cid:durableId="1672026031">
    <w:abstractNumId w:val="4"/>
  </w:num>
  <w:num w:numId="8" w16cid:durableId="498741726">
    <w:abstractNumId w:val="3"/>
  </w:num>
  <w:num w:numId="9" w16cid:durableId="1107888920">
    <w:abstractNumId w:val="2"/>
  </w:num>
  <w:num w:numId="10" w16cid:durableId="2002728587">
    <w:abstractNumId w:val="1"/>
  </w:num>
  <w:num w:numId="11" w16cid:durableId="190625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578F"/>
    <w:rsid w:val="0002785D"/>
    <w:rsid w:val="0005394E"/>
    <w:rsid w:val="00087AE8"/>
    <w:rsid w:val="00091054"/>
    <w:rsid w:val="000A2A7D"/>
    <w:rsid w:val="000A5B9A"/>
    <w:rsid w:val="000B42CB"/>
    <w:rsid w:val="000B4C26"/>
    <w:rsid w:val="000E5BF9"/>
    <w:rsid w:val="000F0E6D"/>
    <w:rsid w:val="00121170"/>
    <w:rsid w:val="00123CC5"/>
    <w:rsid w:val="0015142D"/>
    <w:rsid w:val="001616DC"/>
    <w:rsid w:val="00163962"/>
    <w:rsid w:val="00191A97"/>
    <w:rsid w:val="0019729C"/>
    <w:rsid w:val="001A083F"/>
    <w:rsid w:val="001C41FA"/>
    <w:rsid w:val="001D253F"/>
    <w:rsid w:val="001D6946"/>
    <w:rsid w:val="001E2B52"/>
    <w:rsid w:val="001E3F27"/>
    <w:rsid w:val="001E7D42"/>
    <w:rsid w:val="0023659C"/>
    <w:rsid w:val="00236D2A"/>
    <w:rsid w:val="0024569E"/>
    <w:rsid w:val="0024609D"/>
    <w:rsid w:val="00255F12"/>
    <w:rsid w:val="00262C09"/>
    <w:rsid w:val="00297E6F"/>
    <w:rsid w:val="002A791F"/>
    <w:rsid w:val="002C1A52"/>
    <w:rsid w:val="002C1B26"/>
    <w:rsid w:val="002C25CA"/>
    <w:rsid w:val="002C5D6C"/>
    <w:rsid w:val="002E701F"/>
    <w:rsid w:val="00317483"/>
    <w:rsid w:val="003248A9"/>
    <w:rsid w:val="00324FFA"/>
    <w:rsid w:val="0032680B"/>
    <w:rsid w:val="00361F1F"/>
    <w:rsid w:val="00363A65"/>
    <w:rsid w:val="003B1E8C"/>
    <w:rsid w:val="003B390E"/>
    <w:rsid w:val="003C0613"/>
    <w:rsid w:val="003C2508"/>
    <w:rsid w:val="003D0AA3"/>
    <w:rsid w:val="003E2086"/>
    <w:rsid w:val="003F7F66"/>
    <w:rsid w:val="00434FCA"/>
    <w:rsid w:val="00440B3A"/>
    <w:rsid w:val="0044375A"/>
    <w:rsid w:val="0045384C"/>
    <w:rsid w:val="00454553"/>
    <w:rsid w:val="00472A86"/>
    <w:rsid w:val="00484752"/>
    <w:rsid w:val="004B124A"/>
    <w:rsid w:val="004B3095"/>
    <w:rsid w:val="004D2749"/>
    <w:rsid w:val="004D2C7C"/>
    <w:rsid w:val="005133B5"/>
    <w:rsid w:val="00524392"/>
    <w:rsid w:val="00532097"/>
    <w:rsid w:val="0058350F"/>
    <w:rsid w:val="00583C7E"/>
    <w:rsid w:val="0059098E"/>
    <w:rsid w:val="00597EB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959FA"/>
    <w:rsid w:val="009C0BED"/>
    <w:rsid w:val="009E11EC"/>
    <w:rsid w:val="00A021CC"/>
    <w:rsid w:val="00A118DB"/>
    <w:rsid w:val="00A4450C"/>
    <w:rsid w:val="00AA5E6C"/>
    <w:rsid w:val="00AC49B1"/>
    <w:rsid w:val="00AE5677"/>
    <w:rsid w:val="00AE658F"/>
    <w:rsid w:val="00AF2F78"/>
    <w:rsid w:val="00B06F57"/>
    <w:rsid w:val="00B239FA"/>
    <w:rsid w:val="00B372AB"/>
    <w:rsid w:val="00B47331"/>
    <w:rsid w:val="00B52D55"/>
    <w:rsid w:val="00B8288C"/>
    <w:rsid w:val="00B86034"/>
    <w:rsid w:val="00B947AB"/>
    <w:rsid w:val="00BE2E80"/>
    <w:rsid w:val="00BE5EDD"/>
    <w:rsid w:val="00BE63EB"/>
    <w:rsid w:val="00BE6A1F"/>
    <w:rsid w:val="00C126C4"/>
    <w:rsid w:val="00C44E9E"/>
    <w:rsid w:val="00C63EB5"/>
    <w:rsid w:val="00C7221C"/>
    <w:rsid w:val="00C87DA7"/>
    <w:rsid w:val="00CA4945"/>
    <w:rsid w:val="00CA50D3"/>
    <w:rsid w:val="00CC01E0"/>
    <w:rsid w:val="00CC1EB4"/>
    <w:rsid w:val="00CD5FEE"/>
    <w:rsid w:val="00CE60D2"/>
    <w:rsid w:val="00CE7431"/>
    <w:rsid w:val="00D00CA8"/>
    <w:rsid w:val="00D0288A"/>
    <w:rsid w:val="00D353D9"/>
    <w:rsid w:val="00D72750"/>
    <w:rsid w:val="00D72A5D"/>
    <w:rsid w:val="00D920FB"/>
    <w:rsid w:val="00DA71A3"/>
    <w:rsid w:val="00DC1922"/>
    <w:rsid w:val="00DC629B"/>
    <w:rsid w:val="00DE1C31"/>
    <w:rsid w:val="00E05BFF"/>
    <w:rsid w:val="00E262F1"/>
    <w:rsid w:val="00E3176A"/>
    <w:rsid w:val="00E36CE4"/>
    <w:rsid w:val="00E54754"/>
    <w:rsid w:val="00E56BD3"/>
    <w:rsid w:val="00E71D14"/>
    <w:rsid w:val="00EA77F0"/>
    <w:rsid w:val="00EB638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9DA9B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0F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67740-A02C-4296-ADFE-E610D170C78F}">
  <ds:schemaRefs>
    <ds:schemaRef ds:uri="996b2e75-67fd-4955-a3b0-5ab9934cb50b"/>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32a1a8c5-2265-4ebc-b7a0-2071e2c5c9bb"/>
    <ds:schemaRef ds:uri="http://purl.org/dc/elements/1.1/"/>
  </ds:schemaRefs>
</ds:datastoreItem>
</file>

<file path=customXml/itemProps2.xml><?xml version="1.0" encoding="utf-8"?>
<ds:datastoreItem xmlns:ds="http://schemas.openxmlformats.org/officeDocument/2006/customXml" ds:itemID="{0B2A69C7-1529-4C25-B146-7B1E55364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FCB80-516F-4D7B-A974-E66642DA8A0B}">
  <ds:schemaRefs>
    <ds:schemaRef ds:uri="http://schemas.microsoft.com/sharepoint/events"/>
  </ds:schemaRefs>
</ds:datastoreItem>
</file>

<file path=customXml/itemProps4.xml><?xml version="1.0" encoding="utf-8"?>
<ds:datastoreItem xmlns:ds="http://schemas.openxmlformats.org/officeDocument/2006/customXml" ds:itemID="{02B48F9F-2FEC-4911-A09F-F55A85A7D9AC}">
  <ds:schemaRefs>
    <ds:schemaRef ds:uri="http://schemas.microsoft.com/sharepoint/v3/contenttype/forms"/>
  </ds:schemaRefs>
</ds:datastoreItem>
</file>

<file path=customXml/itemProps5.xml><?xml version="1.0" encoding="utf-8"?>
<ds:datastoreItem xmlns:ds="http://schemas.openxmlformats.org/officeDocument/2006/customXml" ds:itemID="{1DABAC1B-8CFE-4F59-9B71-7FB13DC9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1421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R23-WRC23-C-0194!!MSW-S</vt:lpstr>
    </vt:vector>
  </TitlesOfParts>
  <Manager>Secretaría General - Pool</Manager>
  <Company>Unión Internacional de Telecomunicaciones (UIT)</Company>
  <LinksUpToDate>false</LinksUpToDate>
  <CharactersWithSpaces>9107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R23-WRC23-C-0194!!MSW-S</dc:title>
  <dc:subject>Conferencia Mundial de Radiocomunicaciones - 2019</dc:subject>
  <dc:creator>Documents Proposals Manager (DPM)</dc:creator>
  <cp:keywords>DPM_v2023.8.1.1_prod</cp:keywords>
  <dc:description/>
  <cp:lastModifiedBy>Spanish</cp:lastModifiedBy>
  <cp:revision>10</cp:revision>
  <cp:lastPrinted>2003-02-19T20:20:00Z</cp:lastPrinted>
  <dcterms:created xsi:type="dcterms:W3CDTF">2023-11-07T14:26:00Z</dcterms:created>
  <dcterms:modified xsi:type="dcterms:W3CDTF">2023-11-07T15:56:00Z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