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CF9" w:rsidRDefault="00014CF9" w:rsidP="00014CF9">
      <w:pPr>
        <w:pStyle w:val="QuestionNoBR"/>
        <w:rPr>
          <w:rFonts w:asciiTheme="majorBidi" w:hAnsiTheme="majorBidi" w:cstheme="majorBidi"/>
          <w:bCs/>
          <w:lang w:eastAsia="zh-CN"/>
        </w:rPr>
      </w:pPr>
      <w:r>
        <w:rPr>
          <w:rFonts w:asciiTheme="majorBidi" w:hAnsiTheme="majorBidi" w:cstheme="majorBidi"/>
          <w:bCs/>
          <w:lang w:eastAsia="zh-CN"/>
        </w:rPr>
        <w:t>ITU-R</w:t>
      </w:r>
      <w:r>
        <w:rPr>
          <w:rFonts w:asciiTheme="majorBidi" w:hAnsiTheme="majorBidi" w:cstheme="majorBidi" w:hint="eastAsia"/>
          <w:bCs/>
          <w:lang w:eastAsia="zh-CN"/>
        </w:rPr>
        <w:t>第</w:t>
      </w:r>
      <w:r>
        <w:rPr>
          <w:rFonts w:asciiTheme="majorBidi" w:hAnsiTheme="majorBidi" w:cstheme="majorBidi"/>
          <w:bCs/>
          <w:lang w:eastAsia="zh-CN"/>
        </w:rPr>
        <w:t>208-5/3</w:t>
      </w:r>
      <w:r>
        <w:rPr>
          <w:rFonts w:asciiTheme="majorBidi" w:hAnsiTheme="majorBidi" w:cstheme="majorBidi" w:hint="eastAsia"/>
          <w:bCs/>
          <w:lang w:eastAsia="zh-CN"/>
        </w:rPr>
        <w:t>号课题</w:t>
      </w:r>
    </w:p>
    <w:p w:rsidR="00014CF9" w:rsidRDefault="00014CF9" w:rsidP="00014CF9">
      <w:pPr>
        <w:pStyle w:val="Questiontitle"/>
        <w:rPr>
          <w:rFonts w:asciiTheme="majorBidi" w:hAnsiTheme="majorBidi" w:cstheme="majorBidi"/>
          <w:lang w:eastAsia="zh-CN"/>
        </w:rPr>
      </w:pPr>
      <w:r>
        <w:rPr>
          <w:rFonts w:hint="eastAsia"/>
          <w:lang w:eastAsia="zh-CN"/>
        </w:rPr>
        <w:t>影响空间无线电通信业务和地面业务</w:t>
      </w:r>
      <w:r>
        <w:rPr>
          <w:lang w:eastAsia="zh-CN"/>
        </w:rPr>
        <w:br/>
      </w:r>
      <w:r>
        <w:rPr>
          <w:rFonts w:hint="eastAsia"/>
          <w:lang w:eastAsia="zh-CN"/>
        </w:rPr>
        <w:t>的频率共用问题中的传播因素</w:t>
      </w:r>
    </w:p>
    <w:p w:rsidR="00014CF9" w:rsidRDefault="00014CF9" w:rsidP="00014CF9">
      <w:pPr>
        <w:keepNext/>
        <w:keepLines/>
        <w:tabs>
          <w:tab w:val="left" w:pos="720"/>
        </w:tabs>
        <w:spacing w:line="240" w:lineRule="auto"/>
        <w:jc w:val="right"/>
        <w:rPr>
          <w:rFonts w:asciiTheme="majorBidi" w:eastAsia="SimSun" w:hAnsiTheme="majorBidi" w:cstheme="majorBidi"/>
          <w:sz w:val="22"/>
          <w:lang w:val="en-AU" w:eastAsia="zh-CN"/>
        </w:rPr>
      </w:pPr>
      <w:r>
        <w:rPr>
          <w:rFonts w:asciiTheme="majorBidi" w:eastAsia="SimSun" w:hAnsiTheme="majorBidi" w:cstheme="majorBidi" w:hint="eastAsia"/>
          <w:sz w:val="22"/>
          <w:lang w:eastAsia="zh-CN"/>
        </w:rPr>
        <w:t>（</w:t>
      </w:r>
      <w:r>
        <w:rPr>
          <w:rFonts w:asciiTheme="majorBidi" w:eastAsia="SimSun" w:hAnsiTheme="majorBidi" w:cstheme="majorBidi"/>
          <w:sz w:val="22"/>
          <w:lang w:eastAsia="zh-CN"/>
        </w:rPr>
        <w:t>19</w:t>
      </w:r>
      <w:r w:rsidR="001B3CF6">
        <w:rPr>
          <w:rFonts w:asciiTheme="majorBidi" w:eastAsia="SimSun" w:hAnsiTheme="majorBidi" w:cstheme="majorBidi"/>
          <w:sz w:val="22"/>
          <w:lang w:eastAsia="zh-CN"/>
        </w:rPr>
        <w:t>90-1993-1995-2002-2005-2013</w:t>
      </w:r>
      <w:bookmarkStart w:id="0" w:name="_GoBack"/>
      <w:bookmarkEnd w:id="0"/>
      <w:r>
        <w:rPr>
          <w:rFonts w:asciiTheme="majorBidi" w:eastAsia="SimSun" w:hAnsiTheme="majorBidi" w:cstheme="majorBidi" w:hint="eastAsia"/>
          <w:sz w:val="22"/>
          <w:lang w:eastAsia="zh-CN"/>
        </w:rPr>
        <w:t>年）</w:t>
      </w:r>
    </w:p>
    <w:p w:rsidR="00014CF9" w:rsidRDefault="00014CF9" w:rsidP="00014CF9">
      <w:pPr>
        <w:pStyle w:val="Normalaftertitle"/>
        <w:spacing w:line="240" w:lineRule="auto"/>
        <w:rPr>
          <w:rFonts w:asciiTheme="majorBidi" w:eastAsia="SimSun" w:hAnsiTheme="majorBidi" w:cstheme="majorBidi"/>
          <w:szCs w:val="24"/>
          <w:lang w:val="en-US" w:eastAsia="zh-CN"/>
        </w:rPr>
      </w:pPr>
      <w:r>
        <w:rPr>
          <w:rFonts w:asciiTheme="majorBidi" w:eastAsia="SimSun" w:hAnsiTheme="majorBidi" w:cstheme="majorBidi" w:hint="eastAsia"/>
          <w:szCs w:val="24"/>
          <w:lang w:eastAsia="zh-CN"/>
        </w:rPr>
        <w:t>国际电联无线电通信全会，</w:t>
      </w:r>
    </w:p>
    <w:p w:rsidR="00014CF9" w:rsidRDefault="00014CF9" w:rsidP="00014CF9">
      <w:pPr>
        <w:pStyle w:val="call"/>
        <w:rPr>
          <w:rFonts w:asciiTheme="majorBidi" w:eastAsia="STKaiti" w:hAnsiTheme="majorBidi" w:cstheme="majorBidi"/>
          <w:i w:val="0"/>
          <w:iCs/>
          <w:sz w:val="24"/>
          <w:szCs w:val="24"/>
          <w:lang w:eastAsia="zh-CN"/>
        </w:rPr>
      </w:pPr>
      <w:r>
        <w:rPr>
          <w:rFonts w:asciiTheme="majorBidi" w:eastAsia="STKaiti" w:hAnsiTheme="majorBidi" w:cstheme="majorBidi" w:hint="eastAsia"/>
          <w:i w:val="0"/>
          <w:iCs/>
          <w:sz w:val="24"/>
          <w:szCs w:val="24"/>
          <w:lang w:eastAsia="zh-CN"/>
        </w:rPr>
        <w:t>考虑到</w:t>
      </w:r>
    </w:p>
    <w:p w:rsidR="00014CF9" w:rsidRDefault="00014CF9" w:rsidP="00014CF9">
      <w:pPr>
        <w:spacing w:line="240" w:lineRule="auto"/>
        <w:rPr>
          <w:rFonts w:asciiTheme="majorBidi" w:eastAsia="SimSun" w:hAnsiTheme="majorBidi" w:cstheme="majorBidi"/>
          <w:szCs w:val="24"/>
          <w:lang w:eastAsia="zh-CN"/>
        </w:rPr>
      </w:pPr>
      <w:r>
        <w:rPr>
          <w:rFonts w:asciiTheme="majorBidi" w:eastAsia="SimSun" w:hAnsiTheme="majorBidi" w:cstheme="majorBidi"/>
          <w:i/>
          <w:iCs/>
          <w:szCs w:val="24"/>
          <w:lang w:eastAsia="zh-CN"/>
        </w:rPr>
        <w:t>a)</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制定无线电通信系统频道共用规划需要无线电路径的传播数据；</w:t>
      </w:r>
    </w:p>
    <w:p w:rsidR="00014CF9" w:rsidRDefault="00014CF9" w:rsidP="00014CF9">
      <w:pPr>
        <w:spacing w:line="240" w:lineRule="auto"/>
        <w:rPr>
          <w:rFonts w:asciiTheme="majorBidi" w:eastAsia="SimSun" w:hAnsiTheme="majorBidi" w:cstheme="majorBidi"/>
          <w:szCs w:val="24"/>
          <w:lang w:eastAsia="zh-CN"/>
        </w:rPr>
      </w:pPr>
      <w:r>
        <w:rPr>
          <w:rFonts w:asciiTheme="majorBidi" w:eastAsia="SimSun" w:hAnsiTheme="majorBidi" w:cstheme="majorBidi"/>
          <w:i/>
          <w:iCs/>
          <w:szCs w:val="24"/>
          <w:lang w:eastAsia="zh-CN"/>
        </w:rPr>
        <w:t>b)</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根据《无线电规则》（</w:t>
      </w:r>
      <w:r>
        <w:rPr>
          <w:rFonts w:asciiTheme="majorBidi" w:eastAsia="SimSun" w:hAnsiTheme="majorBidi" w:cstheme="majorBidi"/>
          <w:szCs w:val="24"/>
          <w:lang w:eastAsia="zh-CN"/>
        </w:rPr>
        <w:t>RR</w:t>
      </w:r>
      <w:r>
        <w:rPr>
          <w:rFonts w:asciiTheme="majorBidi" w:eastAsia="SimSun" w:hAnsiTheme="majorBidi" w:cstheme="majorBidi" w:hint="eastAsia"/>
          <w:szCs w:val="24"/>
          <w:lang w:eastAsia="zh-CN"/>
        </w:rPr>
        <w:t>），需要为空间无线电通信业务和地面业务共用频段中的各台站确定协调距离或协调区域；</w:t>
      </w:r>
    </w:p>
    <w:p w:rsidR="00014CF9" w:rsidRDefault="00014CF9" w:rsidP="00014CF9">
      <w:pPr>
        <w:spacing w:line="240" w:lineRule="auto"/>
        <w:rPr>
          <w:rFonts w:asciiTheme="majorBidi" w:eastAsia="SimSun" w:hAnsiTheme="majorBidi" w:cstheme="majorBidi"/>
          <w:szCs w:val="24"/>
          <w:lang w:eastAsia="zh-CN"/>
        </w:rPr>
      </w:pPr>
      <w:r>
        <w:rPr>
          <w:rFonts w:asciiTheme="majorBidi" w:eastAsia="SimSun" w:hAnsiTheme="majorBidi" w:cstheme="majorBidi"/>
          <w:i/>
          <w:iCs/>
          <w:szCs w:val="24"/>
          <w:lang w:eastAsia="zh-CN"/>
        </w:rPr>
        <w:t>c)</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在计算协调距离时，应考虑到所有相关的传播机制和系统因素；</w:t>
      </w:r>
    </w:p>
    <w:p w:rsidR="00014CF9" w:rsidRDefault="00014CF9" w:rsidP="00014CF9">
      <w:pPr>
        <w:spacing w:line="240" w:lineRule="auto"/>
        <w:rPr>
          <w:rFonts w:asciiTheme="majorBidi" w:eastAsia="SimSun" w:hAnsiTheme="majorBidi" w:cstheme="majorBidi"/>
          <w:szCs w:val="24"/>
          <w:lang w:eastAsia="zh-CN"/>
        </w:rPr>
      </w:pPr>
      <w:r>
        <w:rPr>
          <w:rFonts w:asciiTheme="majorBidi" w:eastAsia="SimSun" w:hAnsiTheme="majorBidi" w:cstheme="majorBidi"/>
          <w:i/>
          <w:iCs/>
          <w:szCs w:val="24"/>
          <w:lang w:eastAsia="zh-CN"/>
        </w:rPr>
        <w:t>d)</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在对系统间干扰进行计算时，需要更详细的考虑造成干扰的传播机制；</w:t>
      </w:r>
    </w:p>
    <w:p w:rsidR="00014CF9" w:rsidRDefault="00014CF9" w:rsidP="00014CF9">
      <w:pPr>
        <w:spacing w:line="240" w:lineRule="auto"/>
        <w:rPr>
          <w:rFonts w:asciiTheme="majorBidi" w:eastAsia="SimSun" w:hAnsiTheme="majorBidi" w:cstheme="majorBidi"/>
          <w:szCs w:val="24"/>
          <w:lang w:eastAsia="zh-CN"/>
        </w:rPr>
      </w:pPr>
      <w:r>
        <w:rPr>
          <w:rFonts w:asciiTheme="majorBidi" w:eastAsia="SimSun" w:hAnsiTheme="majorBidi" w:cstheme="majorBidi"/>
          <w:i/>
          <w:iCs/>
          <w:szCs w:val="24"/>
          <w:lang w:eastAsia="zh-CN"/>
        </w:rPr>
        <w:t>e)</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世界无线电通信大会（</w:t>
      </w:r>
      <w:r>
        <w:rPr>
          <w:rFonts w:asciiTheme="majorBidi" w:eastAsia="SimSun" w:hAnsiTheme="majorBidi" w:cstheme="majorBidi"/>
          <w:szCs w:val="24"/>
          <w:lang w:eastAsia="zh-CN"/>
        </w:rPr>
        <w:t>WRC-2000</w:t>
      </w:r>
      <w:r>
        <w:rPr>
          <w:rFonts w:asciiTheme="majorBidi" w:eastAsia="SimSun" w:hAnsiTheme="majorBidi" w:cstheme="majorBidi" w:hint="eastAsia"/>
          <w:szCs w:val="24"/>
          <w:lang w:eastAsia="zh-CN"/>
        </w:rPr>
        <w:t>）根据</w:t>
      </w:r>
      <w:r>
        <w:rPr>
          <w:rFonts w:asciiTheme="majorBidi" w:eastAsia="SimSun" w:hAnsiTheme="majorBidi" w:cstheme="majorBidi"/>
          <w:szCs w:val="24"/>
          <w:lang w:eastAsia="zh-CN"/>
        </w:rPr>
        <w:t>ITU-R SM.1448</w:t>
      </w:r>
      <w:r>
        <w:rPr>
          <w:rFonts w:asciiTheme="majorBidi" w:eastAsia="SimSun" w:hAnsiTheme="majorBidi" w:cstheme="majorBidi" w:hint="eastAsia"/>
          <w:szCs w:val="24"/>
          <w:lang w:eastAsia="zh-CN"/>
        </w:rPr>
        <w:t>建议书提供的资料，通过了对附录</w:t>
      </w:r>
      <w:r>
        <w:rPr>
          <w:rFonts w:asciiTheme="majorBidi" w:eastAsia="SimSun" w:hAnsiTheme="majorBidi" w:cstheme="majorBidi"/>
          <w:szCs w:val="24"/>
          <w:lang w:eastAsia="zh-CN"/>
        </w:rPr>
        <w:t>7</w:t>
      </w:r>
      <w:r>
        <w:rPr>
          <w:rFonts w:asciiTheme="majorBidi" w:eastAsia="SimSun" w:hAnsiTheme="majorBidi" w:cstheme="majorBidi" w:hint="eastAsia"/>
          <w:szCs w:val="24"/>
          <w:lang w:eastAsia="zh-CN"/>
        </w:rPr>
        <w:t>（后经</w:t>
      </w:r>
      <w:r>
        <w:rPr>
          <w:rFonts w:asciiTheme="majorBidi" w:eastAsia="SimSun" w:hAnsiTheme="majorBidi" w:cstheme="majorBidi"/>
          <w:szCs w:val="24"/>
          <w:lang w:eastAsia="zh-CN"/>
        </w:rPr>
        <w:t>WRC-03</w:t>
      </w:r>
      <w:r>
        <w:rPr>
          <w:rFonts w:asciiTheme="majorBidi" w:eastAsia="SimSun" w:hAnsiTheme="majorBidi" w:cstheme="majorBidi" w:hint="eastAsia"/>
          <w:szCs w:val="24"/>
          <w:lang w:eastAsia="zh-CN"/>
        </w:rPr>
        <w:t>和</w:t>
      </w:r>
      <w:r>
        <w:rPr>
          <w:rFonts w:asciiTheme="majorBidi" w:eastAsia="SimSun" w:hAnsiTheme="majorBidi" w:cstheme="majorBidi"/>
          <w:szCs w:val="24"/>
          <w:lang w:eastAsia="zh-CN"/>
        </w:rPr>
        <w:t>WRC-07</w:t>
      </w:r>
      <w:r>
        <w:rPr>
          <w:rFonts w:asciiTheme="majorBidi" w:eastAsia="SimSun" w:hAnsiTheme="majorBidi" w:cstheme="majorBidi" w:hint="eastAsia"/>
          <w:szCs w:val="24"/>
          <w:lang w:eastAsia="zh-CN"/>
        </w:rPr>
        <w:t>修订）的修改，而该建议书又是以涉及</w:t>
      </w:r>
      <w:r>
        <w:rPr>
          <w:rFonts w:asciiTheme="majorBidi" w:eastAsia="SimSun" w:hAnsiTheme="majorBidi" w:cstheme="majorBidi"/>
          <w:szCs w:val="24"/>
          <w:lang w:eastAsia="zh-CN"/>
        </w:rPr>
        <w:t>100 MHz</w:t>
      </w:r>
      <w:r>
        <w:rPr>
          <w:rFonts w:asciiTheme="majorBidi" w:eastAsia="SimSun" w:hAnsiTheme="majorBidi" w:cstheme="majorBidi" w:hint="eastAsia"/>
          <w:szCs w:val="24"/>
          <w:lang w:eastAsia="zh-CN"/>
        </w:rPr>
        <w:t>至</w:t>
      </w:r>
      <w:r>
        <w:rPr>
          <w:rFonts w:asciiTheme="majorBidi" w:eastAsia="SimSun" w:hAnsiTheme="majorBidi" w:cstheme="majorBidi"/>
          <w:szCs w:val="24"/>
          <w:lang w:val="en-GB" w:eastAsia="zh-CN"/>
        </w:rPr>
        <w:br/>
      </w:r>
      <w:r>
        <w:rPr>
          <w:rFonts w:asciiTheme="majorBidi" w:eastAsia="SimSun" w:hAnsiTheme="majorBidi" w:cstheme="majorBidi"/>
          <w:szCs w:val="24"/>
          <w:lang w:eastAsia="zh-CN"/>
        </w:rPr>
        <w:t>105 GHz</w:t>
      </w:r>
      <w:r>
        <w:rPr>
          <w:rFonts w:asciiTheme="majorBidi" w:eastAsia="SimSun" w:hAnsiTheme="majorBidi" w:cstheme="majorBidi" w:hint="eastAsia"/>
          <w:szCs w:val="24"/>
          <w:lang w:eastAsia="zh-CN"/>
        </w:rPr>
        <w:t>频率范围的</w:t>
      </w:r>
      <w:r>
        <w:rPr>
          <w:rFonts w:asciiTheme="majorBidi" w:eastAsia="SimSun" w:hAnsiTheme="majorBidi" w:cstheme="majorBidi"/>
          <w:szCs w:val="24"/>
          <w:lang w:eastAsia="zh-CN"/>
        </w:rPr>
        <w:t>ITU-R P.620</w:t>
      </w:r>
      <w:r>
        <w:rPr>
          <w:rFonts w:asciiTheme="majorBidi" w:eastAsia="SimSun" w:hAnsiTheme="majorBidi" w:cstheme="majorBidi" w:hint="eastAsia"/>
          <w:szCs w:val="24"/>
          <w:lang w:eastAsia="zh-CN"/>
        </w:rPr>
        <w:t>建议书的资料为依据的；</w:t>
      </w:r>
    </w:p>
    <w:p w:rsidR="00014CF9" w:rsidRDefault="00014CF9" w:rsidP="00014CF9">
      <w:pPr>
        <w:spacing w:line="240" w:lineRule="auto"/>
        <w:rPr>
          <w:rFonts w:asciiTheme="majorBidi" w:eastAsia="SimSun" w:hAnsiTheme="majorBidi" w:cstheme="majorBidi"/>
          <w:szCs w:val="24"/>
          <w:lang w:eastAsia="zh-CN"/>
        </w:rPr>
      </w:pPr>
      <w:r>
        <w:rPr>
          <w:rFonts w:asciiTheme="majorBidi" w:eastAsia="SimSun" w:hAnsiTheme="majorBidi" w:cstheme="majorBidi"/>
          <w:i/>
          <w:iCs/>
          <w:szCs w:val="24"/>
          <w:lang w:eastAsia="zh-CN"/>
        </w:rPr>
        <w:t>f)</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第</w:t>
      </w:r>
      <w:r>
        <w:rPr>
          <w:rFonts w:asciiTheme="majorBidi" w:eastAsia="SimSun" w:hAnsiTheme="majorBidi" w:cstheme="majorBidi"/>
          <w:b/>
          <w:bCs/>
          <w:szCs w:val="24"/>
          <w:lang w:eastAsia="zh-CN"/>
        </w:rPr>
        <w:t>74</w:t>
      </w:r>
      <w:r>
        <w:rPr>
          <w:rFonts w:asciiTheme="majorBidi" w:eastAsia="SimSun" w:hAnsiTheme="majorBidi" w:cstheme="majorBidi" w:hint="eastAsia"/>
          <w:szCs w:val="24"/>
          <w:lang w:eastAsia="zh-CN"/>
        </w:rPr>
        <w:t>号决议</w:t>
      </w:r>
      <w:r>
        <w:rPr>
          <w:rFonts w:asciiTheme="majorBidi" w:eastAsia="SimSun" w:hAnsiTheme="majorBidi" w:cstheme="majorBidi" w:hint="eastAsia"/>
          <w:b/>
          <w:bCs/>
          <w:szCs w:val="24"/>
          <w:lang w:eastAsia="zh-CN"/>
        </w:rPr>
        <w:t>（</w:t>
      </w:r>
      <w:r>
        <w:rPr>
          <w:rFonts w:asciiTheme="majorBidi" w:eastAsia="SimSun" w:hAnsiTheme="majorBidi" w:cstheme="majorBidi"/>
          <w:b/>
          <w:bCs/>
          <w:szCs w:val="24"/>
          <w:lang w:eastAsia="zh-CN"/>
        </w:rPr>
        <w:t>WRC-03</w:t>
      </w:r>
      <w:r>
        <w:rPr>
          <w:rFonts w:asciiTheme="majorBidi" w:eastAsia="SimSun" w:hAnsiTheme="majorBidi" w:cstheme="majorBidi" w:hint="eastAsia"/>
          <w:b/>
          <w:bCs/>
          <w:szCs w:val="24"/>
          <w:lang w:eastAsia="zh-CN"/>
        </w:rPr>
        <w:t>，修订版）</w:t>
      </w:r>
      <w:r>
        <w:rPr>
          <w:rFonts w:asciiTheme="majorBidi" w:eastAsia="SimSun" w:hAnsiTheme="majorBidi" w:cstheme="majorBidi" w:hint="eastAsia"/>
          <w:szCs w:val="24"/>
          <w:lang w:eastAsia="zh-CN"/>
        </w:rPr>
        <w:t>描述了一种使附录</w:t>
      </w:r>
      <w:r>
        <w:rPr>
          <w:rFonts w:asciiTheme="majorBidi" w:eastAsia="SimSun" w:hAnsiTheme="majorBidi" w:cstheme="majorBidi"/>
          <w:szCs w:val="24"/>
          <w:lang w:eastAsia="zh-CN"/>
        </w:rPr>
        <w:t>7</w:t>
      </w:r>
      <w:r>
        <w:rPr>
          <w:rFonts w:asciiTheme="majorBidi" w:eastAsia="SimSun" w:hAnsiTheme="majorBidi" w:cstheme="majorBidi" w:hint="eastAsia"/>
          <w:szCs w:val="24"/>
          <w:lang w:eastAsia="zh-CN"/>
        </w:rPr>
        <w:t>的技术依据随时更新的方式，</w:t>
      </w:r>
    </w:p>
    <w:p w:rsidR="00014CF9" w:rsidRDefault="00014CF9" w:rsidP="00014CF9">
      <w:pPr>
        <w:pStyle w:val="call"/>
        <w:rPr>
          <w:rFonts w:asciiTheme="majorBidi" w:eastAsia="STKaiti" w:hAnsiTheme="majorBidi" w:cstheme="majorBidi"/>
          <w:i w:val="0"/>
          <w:iCs/>
          <w:sz w:val="24"/>
          <w:szCs w:val="24"/>
          <w:lang w:eastAsia="zh-CN"/>
        </w:rPr>
      </w:pPr>
      <w:r>
        <w:rPr>
          <w:rFonts w:asciiTheme="majorBidi" w:eastAsia="STKaiti" w:hAnsiTheme="majorBidi" w:cstheme="majorBidi" w:hint="eastAsia"/>
          <w:i w:val="0"/>
          <w:iCs/>
          <w:sz w:val="24"/>
          <w:szCs w:val="24"/>
          <w:lang w:eastAsia="zh-CN"/>
        </w:rPr>
        <w:t>做出决定</w:t>
      </w:r>
      <w:r>
        <w:rPr>
          <w:rFonts w:asciiTheme="majorBidi" w:eastAsia="SimSun" w:hAnsiTheme="majorBidi" w:cstheme="majorBidi" w:hint="eastAsia"/>
          <w:i w:val="0"/>
          <w:iCs/>
          <w:sz w:val="24"/>
          <w:szCs w:val="24"/>
          <w:lang w:eastAsia="zh-CN"/>
        </w:rPr>
        <w:t>，应研究以下课题</w:t>
      </w:r>
    </w:p>
    <w:p w:rsidR="00014CF9" w:rsidRDefault="00014CF9" w:rsidP="00014CF9">
      <w:pPr>
        <w:spacing w:line="240" w:lineRule="auto"/>
        <w:rPr>
          <w:rFonts w:asciiTheme="majorBidi" w:eastAsia="SimSun" w:hAnsiTheme="majorBidi" w:cstheme="majorBidi"/>
          <w:szCs w:val="24"/>
          <w:lang w:eastAsia="zh-CN"/>
        </w:rPr>
      </w:pPr>
      <w:r>
        <w:rPr>
          <w:rFonts w:asciiTheme="majorBidi" w:eastAsia="SimSun" w:hAnsiTheme="majorBidi" w:cstheme="majorBidi"/>
          <w:bCs/>
          <w:szCs w:val="24"/>
          <w:lang w:eastAsia="zh-CN"/>
        </w:rPr>
        <w:t>1</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以下原因导致怎样的信号电平变化（衰落和增强）分布及持续时间：</w:t>
      </w:r>
    </w:p>
    <w:p w:rsidR="00014CF9" w:rsidRDefault="00014CF9" w:rsidP="00014CF9">
      <w:pPr>
        <w:pStyle w:val="enumlev1"/>
        <w:spacing w:line="240" w:lineRule="auto"/>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衍射；</w:t>
      </w:r>
    </w:p>
    <w:p w:rsidR="00014CF9" w:rsidRDefault="00014CF9" w:rsidP="00014CF9">
      <w:pPr>
        <w:pStyle w:val="enumlev1"/>
        <w:spacing w:line="240" w:lineRule="auto"/>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诸如导通、降水散射、对流层散射和反射大气层等大气机制；</w:t>
      </w:r>
    </w:p>
    <w:p w:rsidR="00014CF9" w:rsidRDefault="00014CF9" w:rsidP="00014CF9">
      <w:pPr>
        <w:pStyle w:val="enumlev1"/>
        <w:spacing w:line="240" w:lineRule="auto"/>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地面和建筑物的反射；</w:t>
      </w:r>
    </w:p>
    <w:p w:rsidR="00014CF9" w:rsidRDefault="00014CF9" w:rsidP="00014CF9">
      <w:pPr>
        <w:pStyle w:val="enumlev1"/>
        <w:spacing w:line="240" w:lineRule="auto"/>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这些机制的结合？</w:t>
      </w:r>
    </w:p>
    <w:p w:rsidR="00014CF9" w:rsidRDefault="00014CF9" w:rsidP="00014CF9">
      <w:pPr>
        <w:spacing w:line="240" w:lineRule="auto"/>
        <w:rPr>
          <w:rFonts w:asciiTheme="majorBidi" w:eastAsia="SimSun" w:hAnsiTheme="majorBidi" w:cstheme="majorBidi"/>
          <w:szCs w:val="24"/>
          <w:lang w:eastAsia="zh-CN"/>
        </w:rPr>
      </w:pPr>
      <w:r>
        <w:rPr>
          <w:rFonts w:asciiTheme="majorBidi" w:eastAsia="SimSun" w:hAnsiTheme="majorBidi" w:cstheme="majorBidi"/>
          <w:bCs/>
          <w:szCs w:val="24"/>
          <w:lang w:eastAsia="zh-CN"/>
        </w:rPr>
        <w:t>2</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考虑到以下因素，这些影响在多大程度上取决于地点、时间、路径长度和频率：</w:t>
      </w:r>
    </w:p>
    <w:p w:rsidR="00014CF9" w:rsidRDefault="00014CF9" w:rsidP="00014CF9">
      <w:pPr>
        <w:pStyle w:val="enumlev1"/>
        <w:spacing w:line="240" w:lineRule="auto"/>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最需要关注的比率范围是从</w:t>
      </w:r>
      <w:r>
        <w:rPr>
          <w:rFonts w:asciiTheme="majorBidi" w:hAnsiTheme="majorBidi" w:cstheme="majorBidi"/>
          <w:szCs w:val="24"/>
          <w:lang w:eastAsia="zh-CN"/>
        </w:rPr>
        <w:t>0.001%</w:t>
      </w:r>
      <w:r>
        <w:rPr>
          <w:rFonts w:asciiTheme="majorBidi" w:hAnsiTheme="majorBidi" w:cstheme="majorBidi" w:hint="eastAsia"/>
          <w:szCs w:val="24"/>
          <w:lang w:eastAsia="zh-CN"/>
        </w:rPr>
        <w:t>至</w:t>
      </w:r>
      <w:r>
        <w:rPr>
          <w:rFonts w:asciiTheme="majorBidi" w:hAnsiTheme="majorBidi" w:cstheme="majorBidi"/>
          <w:szCs w:val="24"/>
          <w:lang w:eastAsia="zh-CN"/>
        </w:rPr>
        <w:t>50%</w:t>
      </w:r>
      <w:r>
        <w:rPr>
          <w:rFonts w:asciiTheme="majorBidi" w:hAnsiTheme="majorBidi" w:cstheme="majorBidi" w:hint="eastAsia"/>
          <w:szCs w:val="24"/>
          <w:lang w:eastAsia="zh-CN"/>
        </w:rPr>
        <w:t>；</w:t>
      </w:r>
    </w:p>
    <w:p w:rsidR="00014CF9" w:rsidRDefault="00014CF9" w:rsidP="00014CF9">
      <w:pPr>
        <w:pStyle w:val="enumlev1"/>
        <w:spacing w:line="240" w:lineRule="auto"/>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需关注的参考时间段为条件最差的月份和情况普通的年份；</w:t>
      </w:r>
    </w:p>
    <w:p w:rsidR="00014CF9" w:rsidRDefault="00014CF9" w:rsidP="00014CF9">
      <w:pPr>
        <w:tabs>
          <w:tab w:val="left" w:pos="720"/>
        </w:tabs>
        <w:overflowPunct/>
        <w:autoSpaceDE/>
        <w:adjustRightInd/>
        <w:spacing w:before="0" w:line="240" w:lineRule="auto"/>
        <w:jc w:val="left"/>
        <w:rPr>
          <w:rFonts w:asciiTheme="majorBidi" w:hAnsiTheme="majorBidi" w:cstheme="majorBidi"/>
          <w:szCs w:val="24"/>
          <w:lang w:eastAsia="zh-CN"/>
        </w:rPr>
      </w:pPr>
      <w:r>
        <w:rPr>
          <w:rFonts w:asciiTheme="majorBidi" w:hAnsiTheme="majorBidi" w:cstheme="majorBidi"/>
          <w:szCs w:val="24"/>
          <w:lang w:eastAsia="zh-CN"/>
        </w:rPr>
        <w:br w:type="page"/>
      </w:r>
    </w:p>
    <w:p w:rsidR="00014CF9" w:rsidRDefault="00014CF9" w:rsidP="00014CF9">
      <w:pPr>
        <w:pStyle w:val="enumlev1"/>
        <w:spacing w:line="240" w:lineRule="auto"/>
        <w:rPr>
          <w:rFonts w:asciiTheme="majorBidi" w:hAnsiTheme="majorBidi" w:cstheme="majorBidi"/>
          <w:szCs w:val="24"/>
          <w:lang w:eastAsia="zh-CN"/>
        </w:rPr>
      </w:pPr>
      <w:r>
        <w:rPr>
          <w:rFonts w:asciiTheme="majorBidi" w:hAnsiTheme="majorBidi" w:cstheme="majorBidi"/>
          <w:szCs w:val="24"/>
          <w:lang w:eastAsia="zh-CN"/>
        </w:rPr>
        <w:lastRenderedPageBreak/>
        <w:t>–</w:t>
      </w:r>
      <w:r>
        <w:rPr>
          <w:rFonts w:asciiTheme="majorBidi" w:hAnsiTheme="majorBidi" w:cstheme="majorBidi"/>
          <w:szCs w:val="24"/>
          <w:lang w:eastAsia="zh-CN"/>
        </w:rPr>
        <w:tab/>
      </w:r>
      <w:r>
        <w:rPr>
          <w:rFonts w:asciiTheme="majorBidi" w:hAnsiTheme="majorBidi" w:cstheme="majorBidi" w:hint="eastAsia"/>
          <w:szCs w:val="24"/>
          <w:lang w:eastAsia="zh-CN"/>
        </w:rPr>
        <w:t>最需关注的为长度达</w:t>
      </w:r>
      <w:r>
        <w:rPr>
          <w:rFonts w:asciiTheme="majorBidi" w:hAnsiTheme="majorBidi" w:cstheme="majorBidi"/>
          <w:szCs w:val="24"/>
          <w:lang w:eastAsia="zh-CN"/>
        </w:rPr>
        <w:t>1 000</w:t>
      </w:r>
      <w:r>
        <w:rPr>
          <w:rFonts w:asciiTheme="majorBidi" w:hAnsiTheme="majorBidi" w:cstheme="majorBidi" w:hint="eastAsia"/>
          <w:szCs w:val="24"/>
          <w:lang w:eastAsia="zh-CN"/>
        </w:rPr>
        <w:t>公里的路径；然而在导通普遍存在（如热带和赤道地区的海洋）的地区，也应考虑大幅度加长距离；</w:t>
      </w:r>
    </w:p>
    <w:p w:rsidR="00014CF9" w:rsidRDefault="00014CF9" w:rsidP="00014CF9">
      <w:pPr>
        <w:pStyle w:val="enumlev1"/>
        <w:spacing w:line="240" w:lineRule="auto"/>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需关注的频率范围约为</w:t>
      </w:r>
      <w:r>
        <w:rPr>
          <w:rFonts w:asciiTheme="majorBidi" w:hAnsiTheme="majorBidi" w:cstheme="majorBidi"/>
          <w:szCs w:val="24"/>
          <w:lang w:eastAsia="zh-CN"/>
        </w:rPr>
        <w:t>100 MHz</w:t>
      </w:r>
      <w:r>
        <w:rPr>
          <w:rFonts w:asciiTheme="majorBidi" w:hAnsiTheme="majorBidi" w:cstheme="majorBidi" w:hint="eastAsia"/>
          <w:szCs w:val="24"/>
          <w:lang w:eastAsia="zh-CN"/>
        </w:rPr>
        <w:t>至</w:t>
      </w:r>
      <w:r>
        <w:rPr>
          <w:rFonts w:asciiTheme="majorBidi" w:hAnsiTheme="majorBidi" w:cstheme="majorBidi"/>
          <w:szCs w:val="24"/>
          <w:lang w:eastAsia="zh-CN"/>
        </w:rPr>
        <w:t>500 GHz</w:t>
      </w:r>
      <w:r>
        <w:rPr>
          <w:rFonts w:asciiTheme="majorBidi" w:hAnsiTheme="majorBidi" w:cstheme="majorBidi" w:hint="eastAsia"/>
          <w:szCs w:val="24"/>
          <w:lang w:eastAsia="zh-CN"/>
        </w:rPr>
        <w:t>？</w:t>
      </w:r>
    </w:p>
    <w:p w:rsidR="00014CF9" w:rsidRDefault="00014CF9" w:rsidP="00014CF9">
      <w:pPr>
        <w:spacing w:line="240" w:lineRule="auto"/>
        <w:rPr>
          <w:rFonts w:asciiTheme="majorBidi" w:eastAsia="SimSun" w:hAnsiTheme="majorBidi" w:cstheme="majorBidi"/>
          <w:szCs w:val="24"/>
          <w:lang w:eastAsia="zh-CN"/>
        </w:rPr>
      </w:pPr>
      <w:r>
        <w:rPr>
          <w:rFonts w:asciiTheme="majorBidi" w:eastAsia="SimSun" w:hAnsiTheme="majorBidi" w:cstheme="majorBidi"/>
          <w:bCs/>
          <w:szCs w:val="24"/>
          <w:lang w:eastAsia="zh-CN"/>
        </w:rPr>
        <w:t>3</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怎样为降水散射研究出改进的模型和预测方式以确定这一模式的实际意义，以及它在多大程度上取决于降水量、建筑物和系统几何学？</w:t>
      </w:r>
    </w:p>
    <w:p w:rsidR="00014CF9" w:rsidRDefault="00014CF9" w:rsidP="00014CF9">
      <w:pPr>
        <w:spacing w:line="240" w:lineRule="auto"/>
        <w:rPr>
          <w:rFonts w:asciiTheme="majorBidi" w:eastAsia="SimSun" w:hAnsiTheme="majorBidi" w:cstheme="majorBidi"/>
          <w:szCs w:val="24"/>
          <w:lang w:eastAsia="zh-CN"/>
        </w:rPr>
      </w:pPr>
      <w:r>
        <w:rPr>
          <w:rFonts w:asciiTheme="majorBidi" w:eastAsia="SimSun" w:hAnsiTheme="majorBidi" w:cstheme="majorBidi"/>
          <w:bCs/>
          <w:szCs w:val="24"/>
          <w:lang w:eastAsia="zh-CN"/>
        </w:rPr>
        <w:t>4</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除降水强度和</w:t>
      </w:r>
      <w:r>
        <w:rPr>
          <w:rFonts w:asciiTheme="majorBidi" w:eastAsia="SimSun" w:hAnsiTheme="majorBidi" w:cstheme="majorBidi"/>
          <w:szCs w:val="24"/>
          <w:lang w:eastAsia="zh-CN"/>
        </w:rPr>
        <w:t>0°C</w:t>
      </w:r>
      <w:r>
        <w:rPr>
          <w:rFonts w:asciiTheme="majorBidi" w:eastAsia="SimSun" w:hAnsiTheme="majorBidi" w:cstheme="majorBidi" w:hint="eastAsia"/>
          <w:szCs w:val="24"/>
          <w:lang w:eastAsia="zh-CN"/>
        </w:rPr>
        <w:t>等温线高点之外，还应在关系降水的预测方式中采用哪些降水参数才能顾及到不同的气候情况？</w:t>
      </w:r>
    </w:p>
    <w:p w:rsidR="00014CF9" w:rsidRDefault="00014CF9" w:rsidP="00014CF9">
      <w:pPr>
        <w:spacing w:line="240" w:lineRule="auto"/>
        <w:rPr>
          <w:rFonts w:asciiTheme="majorBidi" w:eastAsia="SimSun" w:hAnsiTheme="majorBidi" w:cstheme="majorBidi"/>
          <w:b/>
          <w:szCs w:val="24"/>
          <w:lang w:eastAsia="zh-CN"/>
        </w:rPr>
      </w:pPr>
      <w:r>
        <w:rPr>
          <w:rFonts w:asciiTheme="majorBidi" w:eastAsia="SimSun" w:hAnsiTheme="majorBidi" w:cstheme="majorBidi"/>
          <w:bCs/>
          <w:szCs w:val="24"/>
          <w:lang w:eastAsia="zh-CN"/>
        </w:rPr>
        <w:t>5</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睛空预测方式可采用哪些折射参数才能顾及不同的气候情况？</w:t>
      </w:r>
    </w:p>
    <w:p w:rsidR="00014CF9" w:rsidRDefault="00014CF9" w:rsidP="00014CF9">
      <w:pPr>
        <w:spacing w:line="240" w:lineRule="auto"/>
        <w:rPr>
          <w:rFonts w:asciiTheme="majorBidi" w:eastAsia="SimSun" w:hAnsiTheme="majorBidi" w:cstheme="majorBidi"/>
          <w:szCs w:val="24"/>
          <w:lang w:eastAsia="zh-CN"/>
        </w:rPr>
      </w:pPr>
      <w:r>
        <w:rPr>
          <w:rFonts w:asciiTheme="majorBidi" w:eastAsia="SimSun" w:hAnsiTheme="majorBidi" w:cstheme="majorBidi"/>
          <w:bCs/>
          <w:szCs w:val="24"/>
          <w:lang w:eastAsia="zh-CN"/>
        </w:rPr>
        <w:t>6</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怎样界定不规则地形的散射（包括植被和大楼等人造建筑物的影响）？</w:t>
      </w:r>
    </w:p>
    <w:p w:rsidR="00014CF9" w:rsidRDefault="00014CF9" w:rsidP="00014CF9">
      <w:pPr>
        <w:spacing w:line="240" w:lineRule="auto"/>
        <w:rPr>
          <w:rFonts w:asciiTheme="majorBidi" w:eastAsia="SimSun" w:hAnsiTheme="majorBidi" w:cstheme="majorBidi"/>
          <w:szCs w:val="24"/>
          <w:lang w:eastAsia="zh-CN"/>
        </w:rPr>
      </w:pPr>
      <w:r>
        <w:rPr>
          <w:rFonts w:asciiTheme="majorBidi" w:eastAsia="SimSun" w:hAnsiTheme="majorBidi" w:cstheme="majorBidi"/>
          <w:bCs/>
          <w:szCs w:val="24"/>
          <w:lang w:eastAsia="zh-CN"/>
        </w:rPr>
        <w:t>7</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在考虑反常传播模式（如波道内外的耦合和使用全向、扇形和高增益天线的影响）时，如何顾及到天线和传播媒介之间的相互影响？</w:t>
      </w:r>
    </w:p>
    <w:p w:rsidR="00014CF9" w:rsidRDefault="00014CF9" w:rsidP="00014CF9">
      <w:pPr>
        <w:spacing w:line="240" w:lineRule="auto"/>
        <w:rPr>
          <w:rFonts w:asciiTheme="majorBidi" w:eastAsia="SimSun" w:hAnsiTheme="majorBidi" w:cstheme="majorBidi"/>
          <w:szCs w:val="24"/>
          <w:lang w:eastAsia="zh-CN"/>
        </w:rPr>
      </w:pPr>
      <w:r>
        <w:rPr>
          <w:rFonts w:asciiTheme="majorBidi" w:eastAsia="SimSun" w:hAnsiTheme="majorBidi" w:cstheme="majorBidi"/>
          <w:bCs/>
          <w:szCs w:val="24"/>
          <w:lang w:eastAsia="zh-CN"/>
        </w:rPr>
        <w:t>8</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如何对场地屏蔽作出评估，尤其是怎样找到一个计算针对具体情况（如城市地区的小型地球站）的屏蔽规模的实用方法？</w:t>
      </w:r>
    </w:p>
    <w:p w:rsidR="00014CF9" w:rsidRDefault="00014CF9" w:rsidP="00014CF9">
      <w:pPr>
        <w:spacing w:line="240" w:lineRule="auto"/>
        <w:rPr>
          <w:rFonts w:asciiTheme="majorBidi" w:eastAsia="SimSun" w:hAnsiTheme="majorBidi" w:cstheme="majorBidi"/>
          <w:szCs w:val="24"/>
          <w:lang w:eastAsia="zh-CN"/>
        </w:rPr>
      </w:pPr>
      <w:r>
        <w:rPr>
          <w:rFonts w:asciiTheme="majorBidi" w:eastAsia="SimSun" w:hAnsiTheme="majorBidi" w:cstheme="majorBidi"/>
          <w:bCs/>
          <w:szCs w:val="24"/>
          <w:lang w:eastAsia="zh-CN"/>
        </w:rPr>
        <w:t>9</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信号的衰落和增强与各无线链路之间有什么关联，以及这种关联对干扰的统计数字会有什么影响？</w:t>
      </w:r>
    </w:p>
    <w:p w:rsidR="00014CF9" w:rsidRDefault="00014CF9" w:rsidP="00014CF9">
      <w:pPr>
        <w:spacing w:line="240" w:lineRule="auto"/>
        <w:rPr>
          <w:rFonts w:asciiTheme="majorBidi" w:eastAsia="SimSun" w:hAnsiTheme="majorBidi" w:cstheme="majorBidi"/>
          <w:szCs w:val="24"/>
          <w:lang w:eastAsia="zh-CN"/>
        </w:rPr>
      </w:pPr>
      <w:r>
        <w:rPr>
          <w:rFonts w:asciiTheme="majorBidi" w:eastAsia="SimSun" w:hAnsiTheme="majorBidi" w:cstheme="majorBidi"/>
          <w:bCs/>
          <w:szCs w:val="24"/>
          <w:lang w:eastAsia="zh-CN"/>
        </w:rPr>
        <w:t>10</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什么方法最适于描述有用和无用路径之间的差分雨致衰减统计数字？</w:t>
      </w:r>
    </w:p>
    <w:p w:rsidR="00014CF9" w:rsidRDefault="00014CF9" w:rsidP="00014CF9">
      <w:pPr>
        <w:spacing w:line="240" w:lineRule="auto"/>
        <w:rPr>
          <w:rFonts w:asciiTheme="majorBidi" w:eastAsia="SimSun" w:hAnsiTheme="majorBidi" w:cstheme="majorBidi"/>
          <w:szCs w:val="24"/>
          <w:lang w:eastAsia="zh-CN"/>
        </w:rPr>
      </w:pPr>
      <w:r>
        <w:rPr>
          <w:rFonts w:asciiTheme="majorBidi" w:eastAsia="SimSun" w:hAnsiTheme="majorBidi" w:cstheme="majorBidi"/>
          <w:bCs/>
          <w:szCs w:val="24"/>
          <w:lang w:eastAsia="zh-CN"/>
        </w:rPr>
        <w:t>11</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在评估地面和地面－空间系统间的干扰时，什么是能将上述机制的总体影响考虑在内的适当方式；应提出哪些建议以改进</w:t>
      </w:r>
      <w:r>
        <w:rPr>
          <w:rFonts w:asciiTheme="majorBidi" w:eastAsia="SimSun" w:hAnsiTheme="majorBidi" w:cstheme="majorBidi"/>
          <w:szCs w:val="24"/>
          <w:lang w:eastAsia="zh-CN"/>
        </w:rPr>
        <w:t>ITU-R P.452</w:t>
      </w:r>
      <w:r>
        <w:rPr>
          <w:rFonts w:asciiTheme="majorBidi" w:eastAsia="SimSun" w:hAnsiTheme="majorBidi" w:cstheme="majorBidi" w:hint="eastAsia"/>
          <w:szCs w:val="24"/>
          <w:lang w:eastAsia="zh-CN"/>
        </w:rPr>
        <w:t>号建议书包括的干扰预测方法以及</w:t>
      </w:r>
      <w:r>
        <w:rPr>
          <w:rFonts w:asciiTheme="majorBidi" w:eastAsia="SimSun" w:hAnsiTheme="majorBidi" w:cstheme="majorBidi"/>
          <w:szCs w:val="24"/>
          <w:lang w:val="en-GB" w:eastAsia="zh-CN"/>
        </w:rPr>
        <w:br/>
      </w:r>
      <w:r>
        <w:rPr>
          <w:rFonts w:asciiTheme="majorBidi" w:eastAsia="SimSun" w:hAnsiTheme="majorBidi" w:cstheme="majorBidi"/>
          <w:szCs w:val="24"/>
          <w:lang w:eastAsia="zh-CN"/>
        </w:rPr>
        <w:t>ITU-R P.620</w:t>
      </w:r>
      <w:r>
        <w:rPr>
          <w:rFonts w:asciiTheme="majorBidi" w:eastAsia="SimSun" w:hAnsiTheme="majorBidi" w:cstheme="majorBidi" w:hint="eastAsia"/>
          <w:szCs w:val="24"/>
          <w:lang w:eastAsia="zh-CN"/>
        </w:rPr>
        <w:t>号建议书包括的确定协调距离使用的传播预测方法，其中包括怎样将两种方法相结合以便使协调区域的确定与对具体情况下的干扰做出的详细评估协调一致？</w:t>
      </w:r>
    </w:p>
    <w:p w:rsidR="00014CF9" w:rsidRDefault="00014CF9" w:rsidP="00014CF9">
      <w:pPr>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12</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哪些晴空和水气散射传播模型能够在对地静止卫星系统地球站和</w:t>
      </w:r>
      <w:r>
        <w:rPr>
          <w:rFonts w:asciiTheme="majorBidi" w:eastAsia="SimSun" w:hAnsiTheme="majorBidi" w:cstheme="majorBidi"/>
          <w:szCs w:val="24"/>
          <w:lang w:eastAsia="zh-CN"/>
        </w:rPr>
        <w:t>“</w:t>
      </w:r>
      <w:r>
        <w:rPr>
          <w:rFonts w:asciiTheme="majorBidi" w:eastAsia="SimSun" w:hAnsiTheme="majorBidi" w:cstheme="majorBidi" w:hint="eastAsia"/>
          <w:szCs w:val="24"/>
          <w:lang w:eastAsia="zh-CN"/>
        </w:rPr>
        <w:t>双向</w:t>
      </w:r>
      <w:r>
        <w:rPr>
          <w:rFonts w:asciiTheme="majorBidi" w:eastAsia="SimSun" w:hAnsiTheme="majorBidi" w:cstheme="majorBidi"/>
          <w:szCs w:val="24"/>
          <w:lang w:eastAsia="zh-CN"/>
        </w:rPr>
        <w:t>”</w:t>
      </w:r>
      <w:r>
        <w:rPr>
          <w:rFonts w:asciiTheme="majorBidi" w:eastAsia="SimSun" w:hAnsiTheme="majorBidi" w:cstheme="majorBidi" w:hint="eastAsia"/>
          <w:szCs w:val="24"/>
          <w:lang w:eastAsia="zh-CN"/>
        </w:rPr>
        <w:t>共用相同频率的非对地静止卫星系统地球站之间实现最有效的频率协调和干扰电位评估？</w:t>
      </w:r>
    </w:p>
    <w:p w:rsidR="00014CF9" w:rsidRDefault="00014CF9" w:rsidP="00014CF9">
      <w:pPr>
        <w:pStyle w:val="call"/>
        <w:rPr>
          <w:rFonts w:asciiTheme="majorBidi" w:eastAsia="STKaiti" w:hAnsiTheme="majorBidi" w:cstheme="majorBidi"/>
          <w:i w:val="0"/>
          <w:iCs/>
          <w:sz w:val="24"/>
          <w:szCs w:val="24"/>
          <w:lang w:eastAsia="zh-CN"/>
        </w:rPr>
      </w:pPr>
      <w:r>
        <w:rPr>
          <w:rFonts w:asciiTheme="majorBidi" w:eastAsia="STKaiti" w:hAnsiTheme="majorBidi" w:cstheme="majorBidi" w:hint="eastAsia"/>
          <w:i w:val="0"/>
          <w:iCs/>
          <w:sz w:val="24"/>
          <w:szCs w:val="24"/>
          <w:lang w:eastAsia="zh-CN"/>
        </w:rPr>
        <w:t>进一步做出决定</w:t>
      </w:r>
    </w:p>
    <w:p w:rsidR="00014CF9" w:rsidRDefault="00014CF9" w:rsidP="00014CF9">
      <w:pPr>
        <w:tabs>
          <w:tab w:val="clear" w:pos="794"/>
          <w:tab w:val="clear" w:pos="1191"/>
          <w:tab w:val="left" w:pos="1134"/>
        </w:tabs>
        <w:spacing w:before="120" w:line="240" w:lineRule="auto"/>
        <w:ind w:firstLineChars="200" w:firstLine="480"/>
        <w:jc w:val="left"/>
        <w:rPr>
          <w:rFonts w:asciiTheme="majorBidi" w:hAnsiTheme="majorBidi" w:cstheme="majorBidi"/>
          <w:szCs w:val="24"/>
          <w:lang w:eastAsia="zh-CN"/>
        </w:rPr>
      </w:pPr>
      <w:r>
        <w:rPr>
          <w:rFonts w:asciiTheme="majorBidi" w:hAnsiTheme="majorBidi" w:cstheme="majorBidi" w:hint="eastAsia"/>
          <w:szCs w:val="24"/>
          <w:lang w:eastAsia="zh-CN"/>
        </w:rPr>
        <w:t>应于</w:t>
      </w:r>
      <w:r>
        <w:rPr>
          <w:rFonts w:asciiTheme="majorBidi" w:hAnsiTheme="majorBidi" w:cstheme="majorBidi"/>
          <w:szCs w:val="24"/>
          <w:lang w:eastAsia="zh-CN"/>
        </w:rPr>
        <w:t>2019</w:t>
      </w:r>
      <w:r>
        <w:rPr>
          <w:rFonts w:asciiTheme="majorBidi" w:hAnsiTheme="majorBidi" w:cstheme="majorBidi" w:hint="eastAsia"/>
          <w:szCs w:val="24"/>
          <w:lang w:eastAsia="zh-CN"/>
        </w:rPr>
        <w:t>年之前完成上述研究。</w:t>
      </w:r>
    </w:p>
    <w:p w:rsidR="00014CF9" w:rsidRDefault="00014CF9" w:rsidP="00014CF9">
      <w:pPr>
        <w:tabs>
          <w:tab w:val="clear" w:pos="794"/>
          <w:tab w:val="clear" w:pos="1191"/>
          <w:tab w:val="left" w:pos="1134"/>
        </w:tabs>
        <w:spacing w:before="120" w:line="240" w:lineRule="auto"/>
        <w:jc w:val="left"/>
        <w:rPr>
          <w:rFonts w:asciiTheme="majorBidi" w:eastAsia="SimSun" w:hAnsiTheme="majorBidi" w:cstheme="majorBidi"/>
          <w:lang w:val="fr-CH" w:eastAsia="zh-CN"/>
        </w:rPr>
      </w:pPr>
      <w:r>
        <w:rPr>
          <w:rFonts w:asciiTheme="majorBidi" w:hAnsiTheme="majorBidi" w:cstheme="majorBidi" w:hint="eastAsia"/>
          <w:szCs w:val="24"/>
          <w:lang w:eastAsia="zh-CN"/>
        </w:rPr>
        <w:t>注</w:t>
      </w:r>
      <w:r>
        <w:rPr>
          <w:rFonts w:asciiTheme="majorBidi" w:hAnsiTheme="majorBidi" w:cstheme="majorBidi"/>
          <w:szCs w:val="24"/>
          <w:lang w:eastAsia="zh-CN"/>
        </w:rPr>
        <w:t xml:space="preserve"> – </w:t>
      </w:r>
      <w:r>
        <w:rPr>
          <w:rFonts w:asciiTheme="majorBidi" w:hAnsiTheme="majorBidi" w:cstheme="majorBidi" w:hint="eastAsia"/>
          <w:szCs w:val="24"/>
          <w:lang w:eastAsia="zh-CN"/>
        </w:rPr>
        <w:t>将重点进行与第</w:t>
      </w:r>
      <w:r>
        <w:rPr>
          <w:rFonts w:asciiTheme="majorBidi" w:hAnsiTheme="majorBidi" w:cstheme="majorBidi"/>
          <w:szCs w:val="24"/>
          <w:lang w:eastAsia="zh-CN"/>
        </w:rPr>
        <w:t>2</w:t>
      </w:r>
      <w:r>
        <w:rPr>
          <w:rFonts w:asciiTheme="majorBidi" w:hAnsiTheme="majorBidi" w:cstheme="majorBidi" w:hint="eastAsia"/>
          <w:szCs w:val="24"/>
          <w:lang w:eastAsia="zh-CN"/>
        </w:rPr>
        <w:t>、</w:t>
      </w:r>
      <w:r>
        <w:rPr>
          <w:rFonts w:asciiTheme="majorBidi" w:hAnsiTheme="majorBidi" w:cstheme="majorBidi"/>
          <w:szCs w:val="24"/>
          <w:lang w:eastAsia="zh-CN"/>
        </w:rPr>
        <w:t>5</w:t>
      </w:r>
      <w:r>
        <w:rPr>
          <w:rFonts w:asciiTheme="majorBidi" w:hAnsiTheme="majorBidi" w:cstheme="majorBidi" w:hint="eastAsia"/>
          <w:szCs w:val="24"/>
          <w:lang w:eastAsia="zh-CN"/>
        </w:rPr>
        <w:t>、</w:t>
      </w:r>
      <w:r>
        <w:rPr>
          <w:rFonts w:asciiTheme="majorBidi" w:hAnsiTheme="majorBidi" w:cstheme="majorBidi"/>
          <w:szCs w:val="24"/>
          <w:lang w:eastAsia="zh-CN"/>
        </w:rPr>
        <w:t>6</w:t>
      </w:r>
      <w:r>
        <w:rPr>
          <w:rFonts w:asciiTheme="majorBidi" w:hAnsiTheme="majorBidi" w:cstheme="majorBidi" w:hint="eastAsia"/>
          <w:szCs w:val="24"/>
          <w:lang w:eastAsia="zh-CN"/>
        </w:rPr>
        <w:t>、</w:t>
      </w:r>
      <w:r>
        <w:rPr>
          <w:rFonts w:asciiTheme="majorBidi" w:hAnsiTheme="majorBidi" w:cstheme="majorBidi"/>
          <w:szCs w:val="24"/>
          <w:lang w:eastAsia="zh-CN"/>
        </w:rPr>
        <w:t>8</w:t>
      </w:r>
      <w:r>
        <w:rPr>
          <w:rFonts w:asciiTheme="majorBidi" w:hAnsiTheme="majorBidi" w:cstheme="majorBidi" w:hint="eastAsia"/>
          <w:szCs w:val="24"/>
          <w:lang w:eastAsia="zh-CN"/>
        </w:rPr>
        <w:t>、</w:t>
      </w:r>
      <w:r>
        <w:rPr>
          <w:rFonts w:asciiTheme="majorBidi" w:hAnsiTheme="majorBidi" w:cstheme="majorBidi"/>
          <w:szCs w:val="24"/>
          <w:lang w:eastAsia="zh-CN"/>
        </w:rPr>
        <w:t>9</w:t>
      </w:r>
      <w:r>
        <w:rPr>
          <w:rFonts w:asciiTheme="majorBidi" w:hAnsiTheme="majorBidi" w:cstheme="majorBidi" w:hint="eastAsia"/>
          <w:szCs w:val="24"/>
          <w:lang w:eastAsia="zh-CN"/>
        </w:rPr>
        <w:t>和</w:t>
      </w:r>
      <w:r>
        <w:rPr>
          <w:rFonts w:asciiTheme="majorBidi" w:hAnsiTheme="majorBidi" w:cstheme="majorBidi"/>
          <w:szCs w:val="24"/>
          <w:lang w:eastAsia="zh-CN"/>
        </w:rPr>
        <w:t>10</w:t>
      </w:r>
      <w:r>
        <w:rPr>
          <w:rFonts w:asciiTheme="majorBidi" w:hAnsiTheme="majorBidi" w:cstheme="majorBidi" w:hint="eastAsia"/>
          <w:szCs w:val="24"/>
          <w:lang w:eastAsia="zh-CN"/>
        </w:rPr>
        <w:t>段相关的研究。</w:t>
      </w:r>
    </w:p>
    <w:p w:rsidR="00014CF9" w:rsidRDefault="00014CF9" w:rsidP="00014CF9">
      <w:pPr>
        <w:spacing w:line="240" w:lineRule="auto"/>
        <w:rPr>
          <w:rFonts w:asciiTheme="majorBidi" w:eastAsia="SimSun" w:hAnsiTheme="majorBidi" w:cstheme="majorBidi"/>
          <w:szCs w:val="24"/>
          <w:lang w:val="en-GB" w:eastAsia="zh-CN"/>
        </w:rPr>
      </w:pPr>
    </w:p>
    <w:p w:rsidR="00014CF9" w:rsidRDefault="00014CF9" w:rsidP="00014CF9">
      <w:pPr>
        <w:spacing w:line="240" w:lineRule="auto"/>
        <w:rPr>
          <w:rFonts w:asciiTheme="majorBidi" w:eastAsia="SimSun" w:hAnsiTheme="majorBidi" w:cstheme="majorBidi"/>
          <w:szCs w:val="24"/>
          <w:lang w:eastAsia="zh-CN"/>
        </w:rPr>
      </w:pPr>
      <w:r>
        <w:rPr>
          <w:rFonts w:asciiTheme="majorBidi" w:eastAsia="SimSun" w:hAnsiTheme="majorBidi" w:cstheme="majorBidi" w:hint="eastAsia"/>
          <w:szCs w:val="24"/>
          <w:lang w:eastAsia="zh-CN"/>
        </w:rPr>
        <w:t>类型：</w:t>
      </w:r>
      <w:r>
        <w:rPr>
          <w:rFonts w:asciiTheme="majorBidi" w:eastAsia="SimSun" w:hAnsiTheme="majorBidi" w:cstheme="majorBidi"/>
          <w:szCs w:val="24"/>
          <w:lang w:eastAsia="zh-CN"/>
        </w:rPr>
        <w:t>S2</w:t>
      </w:r>
    </w:p>
    <w:p w:rsidR="00014CF9" w:rsidRDefault="00014CF9" w:rsidP="00014CF9"/>
    <w:p w:rsidR="00CC001C" w:rsidRDefault="00CC001C"/>
    <w:sectPr w:rsidR="00CC001C" w:rsidSect="00014CF9">
      <w:headerReference w:type="default" r:id="rId6"/>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CF9" w:rsidRDefault="00014CF9" w:rsidP="00014CF9">
      <w:pPr>
        <w:spacing w:before="0" w:line="240" w:lineRule="auto"/>
      </w:pPr>
      <w:r>
        <w:separator/>
      </w:r>
    </w:p>
  </w:endnote>
  <w:endnote w:type="continuationSeparator" w:id="0">
    <w:p w:rsidR="00014CF9" w:rsidRDefault="00014CF9" w:rsidP="00014CF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TKaiti">
    <w:altName w:val="Arial Unicode MS"/>
    <w:charset w:val="86"/>
    <w:family w:val="auto"/>
    <w:pitch w:val="variable"/>
    <w:sig w:usb0="00000000"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CF9" w:rsidRDefault="00014CF9" w:rsidP="00014CF9">
      <w:pPr>
        <w:spacing w:before="0" w:line="240" w:lineRule="auto"/>
      </w:pPr>
      <w:r>
        <w:separator/>
      </w:r>
    </w:p>
  </w:footnote>
  <w:footnote w:type="continuationSeparator" w:id="0">
    <w:p w:rsidR="00014CF9" w:rsidRDefault="00014CF9" w:rsidP="00014CF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CF9" w:rsidRPr="00014CF9" w:rsidRDefault="00014CF9">
    <w:pPr>
      <w:pStyle w:val="Header"/>
      <w:jc w:val="center"/>
      <w:rPr>
        <w:sz w:val="18"/>
        <w:szCs w:val="18"/>
      </w:rPr>
    </w:pPr>
    <w:r w:rsidRPr="00014CF9">
      <w:rPr>
        <w:sz w:val="18"/>
        <w:szCs w:val="18"/>
      </w:rPr>
      <w:t xml:space="preserve">- </w:t>
    </w:r>
    <w:sdt>
      <w:sdtPr>
        <w:rPr>
          <w:sz w:val="18"/>
          <w:szCs w:val="18"/>
        </w:rPr>
        <w:id w:val="1268973784"/>
        <w:docPartObj>
          <w:docPartGallery w:val="Page Numbers (Top of Page)"/>
          <w:docPartUnique/>
        </w:docPartObj>
      </w:sdtPr>
      <w:sdtEndPr>
        <w:rPr>
          <w:noProof/>
        </w:rPr>
      </w:sdtEndPr>
      <w:sdtContent>
        <w:r w:rsidRPr="00014CF9">
          <w:rPr>
            <w:sz w:val="18"/>
            <w:szCs w:val="18"/>
          </w:rPr>
          <w:fldChar w:fldCharType="begin"/>
        </w:r>
        <w:r w:rsidRPr="00014CF9">
          <w:rPr>
            <w:sz w:val="18"/>
            <w:szCs w:val="18"/>
          </w:rPr>
          <w:instrText xml:space="preserve"> PAGE   \* MERGEFORMAT </w:instrText>
        </w:r>
        <w:r w:rsidRPr="00014CF9">
          <w:rPr>
            <w:sz w:val="18"/>
            <w:szCs w:val="18"/>
          </w:rPr>
          <w:fldChar w:fldCharType="separate"/>
        </w:r>
        <w:r w:rsidR="001B3CF6">
          <w:rPr>
            <w:noProof/>
            <w:sz w:val="18"/>
            <w:szCs w:val="18"/>
          </w:rPr>
          <w:t>2</w:t>
        </w:r>
        <w:r w:rsidRPr="00014CF9">
          <w:rPr>
            <w:noProof/>
            <w:sz w:val="18"/>
            <w:szCs w:val="18"/>
          </w:rPr>
          <w:fldChar w:fldCharType="end"/>
        </w:r>
        <w:r w:rsidRPr="00014CF9">
          <w:rPr>
            <w:noProof/>
            <w:sz w:val="18"/>
            <w:szCs w:val="18"/>
          </w:rPr>
          <w:t xml:space="preserve"> -</w:t>
        </w:r>
      </w:sdtContent>
    </w:sdt>
  </w:p>
  <w:p w:rsidR="00014CF9" w:rsidRDefault="00014C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CF9"/>
    <w:rsid w:val="00014CF9"/>
    <w:rsid w:val="001B3CF6"/>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B03C130-9ACB-4CBC-A161-EC3B4582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CF9"/>
    <w:pPr>
      <w:tabs>
        <w:tab w:val="left" w:pos="794"/>
        <w:tab w:val="left" w:pos="1191"/>
        <w:tab w:val="left" w:pos="1588"/>
        <w:tab w:val="left" w:pos="1985"/>
      </w:tabs>
      <w:overflowPunct w:val="0"/>
      <w:autoSpaceDE w:val="0"/>
      <w:autoSpaceDN w:val="0"/>
      <w:adjustRightInd w:val="0"/>
      <w:spacing w:before="160" w:line="280" w:lineRule="exact"/>
      <w:jc w:val="both"/>
    </w:pPr>
    <w:rPr>
      <w:rFonts w:ascii="Calibri"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umlev1Char">
    <w:name w:val="enumlev1 Char"/>
    <w:link w:val="enumlev1"/>
    <w:locked/>
    <w:rsid w:val="00014CF9"/>
    <w:rPr>
      <w:rFonts w:ascii="Calibri" w:hAnsi="Calibri" w:cs="Calibri"/>
      <w:sz w:val="24"/>
      <w:lang w:eastAsia="en-US"/>
    </w:rPr>
  </w:style>
  <w:style w:type="paragraph" w:customStyle="1" w:styleId="enumlev1">
    <w:name w:val="enumlev1"/>
    <w:basedOn w:val="Normal"/>
    <w:link w:val="enumlev1Char"/>
    <w:rsid w:val="00014CF9"/>
    <w:pPr>
      <w:spacing w:before="80"/>
      <w:ind w:left="794" w:hanging="794"/>
    </w:pPr>
    <w:rPr>
      <w:lang w:val="en-GB"/>
    </w:rPr>
  </w:style>
  <w:style w:type="character" w:customStyle="1" w:styleId="NormalaftertitleChar">
    <w:name w:val="Normal_after_title Char"/>
    <w:basedOn w:val="DefaultParagraphFont"/>
    <w:link w:val="Normalaftertitle"/>
    <w:locked/>
    <w:rsid w:val="00014CF9"/>
    <w:rPr>
      <w:rFonts w:ascii="Calibri" w:hAnsi="Calibri" w:cs="Calibri"/>
      <w:sz w:val="24"/>
      <w:lang w:eastAsia="en-US"/>
    </w:rPr>
  </w:style>
  <w:style w:type="paragraph" w:customStyle="1" w:styleId="Normalaftertitle">
    <w:name w:val="Normal_after_title"/>
    <w:basedOn w:val="Normal"/>
    <w:next w:val="Normal"/>
    <w:link w:val="NormalaftertitleChar"/>
    <w:rsid w:val="00014CF9"/>
    <w:pPr>
      <w:spacing w:before="400"/>
    </w:pPr>
    <w:rPr>
      <w:lang w:val="en-GB"/>
    </w:rPr>
  </w:style>
  <w:style w:type="character" w:customStyle="1" w:styleId="QuestiontitleChar">
    <w:name w:val="Question_title Char"/>
    <w:basedOn w:val="DefaultParagraphFont"/>
    <w:link w:val="Questiontitle"/>
    <w:locked/>
    <w:rsid w:val="00014CF9"/>
    <w:rPr>
      <w:rFonts w:ascii="Calibri" w:hAnsi="Calibri" w:cs="Calibri"/>
      <w:b/>
      <w:sz w:val="28"/>
      <w:lang w:eastAsia="en-US"/>
    </w:rPr>
  </w:style>
  <w:style w:type="paragraph" w:customStyle="1" w:styleId="Questiontitle">
    <w:name w:val="Question_title"/>
    <w:basedOn w:val="Normal"/>
    <w:next w:val="Normal"/>
    <w:link w:val="QuestiontitleChar"/>
    <w:rsid w:val="00014CF9"/>
    <w:pPr>
      <w:keepNext/>
      <w:keepLines/>
      <w:spacing w:before="360" w:line="240" w:lineRule="auto"/>
      <w:jc w:val="center"/>
    </w:pPr>
    <w:rPr>
      <w:b/>
      <w:sz w:val="28"/>
      <w:lang w:val="en-GB"/>
    </w:rPr>
  </w:style>
  <w:style w:type="paragraph" w:customStyle="1" w:styleId="QuestionNoBR">
    <w:name w:val="Question_No_BR"/>
    <w:basedOn w:val="Normal"/>
    <w:next w:val="Questiontitle"/>
    <w:uiPriority w:val="99"/>
    <w:rsid w:val="00014CF9"/>
    <w:pPr>
      <w:keepNext/>
      <w:keepLines/>
      <w:spacing w:before="480" w:line="240" w:lineRule="auto"/>
      <w:jc w:val="center"/>
    </w:pPr>
    <w:rPr>
      <w:rFonts w:ascii="Times New Roman" w:eastAsia="SimSun" w:hAnsi="Times New Roman" w:cs="Times New Roman"/>
      <w:caps/>
      <w:sz w:val="28"/>
      <w:szCs w:val="20"/>
      <w:lang w:val="en-GB"/>
    </w:rPr>
  </w:style>
  <w:style w:type="paragraph" w:customStyle="1" w:styleId="call">
    <w:name w:val="call"/>
    <w:basedOn w:val="Normal"/>
    <w:next w:val="Normal"/>
    <w:rsid w:val="00014CF9"/>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paragraph" w:styleId="Header">
    <w:name w:val="header"/>
    <w:basedOn w:val="Normal"/>
    <w:link w:val="HeaderChar"/>
    <w:uiPriority w:val="99"/>
    <w:unhideWhenUsed/>
    <w:rsid w:val="00014CF9"/>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014CF9"/>
    <w:rPr>
      <w:rFonts w:ascii="Calibri" w:hAnsi="Calibri" w:cs="Calibri"/>
      <w:sz w:val="24"/>
      <w:lang w:val="en-US" w:eastAsia="en-US"/>
    </w:rPr>
  </w:style>
  <w:style w:type="paragraph" w:styleId="Footer">
    <w:name w:val="footer"/>
    <w:basedOn w:val="Normal"/>
    <w:link w:val="FooterChar"/>
    <w:uiPriority w:val="99"/>
    <w:unhideWhenUsed/>
    <w:rsid w:val="00014CF9"/>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014CF9"/>
    <w:rPr>
      <w:rFonts w:ascii="Calibri"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69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208</Words>
  <Characters>1191</Characters>
  <Application>Microsoft Office Word</Application>
  <DocSecurity>0</DocSecurity>
  <Lines>9</Lines>
  <Paragraphs>2</Paragraphs>
  <ScaleCrop>false</ScaleCrop>
  <Company>ITU</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2015-06-17T09:53:00Z</dcterms:created>
  <dcterms:modified xsi:type="dcterms:W3CDTF">2015-08-17T13:15:00Z</dcterms:modified>
</cp:coreProperties>
</file>