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71" w:rsidRPr="00587991" w:rsidRDefault="00AB2D71" w:rsidP="00AB2D71">
      <w:pPr>
        <w:pStyle w:val="QuestionNoBR"/>
        <w:rPr>
          <w:rtl/>
        </w:rPr>
      </w:pPr>
      <w:r w:rsidRPr="00591DC1">
        <w:rPr>
          <w:sz w:val="38"/>
          <w:szCs w:val="40"/>
          <w:rtl/>
        </w:rPr>
        <w:t>المس</w:t>
      </w:r>
      <w:r w:rsidRPr="00591DC1">
        <w:rPr>
          <w:rFonts w:hint="cs"/>
          <w:sz w:val="38"/>
          <w:szCs w:val="40"/>
          <w:rtl/>
        </w:rPr>
        <w:t>ـ</w:t>
      </w:r>
      <w:r w:rsidRPr="00591DC1">
        <w:rPr>
          <w:sz w:val="38"/>
          <w:szCs w:val="40"/>
          <w:rtl/>
        </w:rPr>
        <w:t xml:space="preserve">ألة </w:t>
      </w:r>
      <w:r w:rsidRPr="00587991">
        <w:t>ITU-R 225-</w:t>
      </w:r>
      <w:r>
        <w:t>6</w:t>
      </w:r>
      <w:r w:rsidRPr="00587991">
        <w:t>/3</w:t>
      </w:r>
    </w:p>
    <w:p w:rsidR="00AB2D71" w:rsidRPr="001F434C" w:rsidRDefault="00AB2D71" w:rsidP="00AB2D71">
      <w:pPr>
        <w:pStyle w:val="Questiontitle"/>
        <w:rPr>
          <w:szCs w:val="36"/>
          <w:rtl/>
        </w:rPr>
      </w:pPr>
      <w:r w:rsidRPr="001F434C">
        <w:rPr>
          <w:szCs w:val="36"/>
          <w:rtl/>
        </w:rPr>
        <w:t xml:space="preserve">التنبؤ بعوامل الانتشار التي تؤثر في الأنظمة العاملة بالموجات الكيلومترية </w:t>
      </w:r>
      <w:r w:rsidRPr="001F434C">
        <w:rPr>
          <w:szCs w:val="36"/>
        </w:rPr>
        <w:t>(LF)</w:t>
      </w:r>
      <w:r w:rsidRPr="001F434C">
        <w:rPr>
          <w:szCs w:val="36"/>
          <w:rtl/>
        </w:rPr>
        <w:br/>
        <w:t xml:space="preserve">والموجات الهكتومترية </w:t>
      </w:r>
      <w:r w:rsidRPr="001F434C">
        <w:rPr>
          <w:szCs w:val="36"/>
        </w:rPr>
        <w:t>(MF)</w:t>
      </w:r>
      <w:r w:rsidRPr="001F434C">
        <w:rPr>
          <w:szCs w:val="36"/>
          <w:rtl/>
        </w:rPr>
        <w:t xml:space="preserve"> بما في ذلك استعمال تقنيات التشكيل الرقمي</w:t>
      </w:r>
    </w:p>
    <w:p w:rsidR="00AB2D71" w:rsidRDefault="00AB2D71" w:rsidP="00AB2D71">
      <w:pPr>
        <w:pStyle w:val="Questiondate"/>
        <w:rPr>
          <w:lang w:val="en-US" w:bidi="ar-EG"/>
        </w:rPr>
      </w:pPr>
      <w:r>
        <w:rPr>
          <w:lang w:val="en-US" w:bidi="ar-EG"/>
        </w:rPr>
        <w:t>(2012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2007-2000-1997-1995)</w:t>
      </w:r>
    </w:p>
    <w:p w:rsidR="00AB2D71" w:rsidRDefault="00AB2D71" w:rsidP="00AB2D71">
      <w:pPr>
        <w:pStyle w:val="Normalaftertitle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AB2D71" w:rsidRPr="00430CFE" w:rsidRDefault="00AB2D71" w:rsidP="00AB2D71">
      <w:pPr>
        <w:pStyle w:val="Call"/>
        <w:rPr>
          <w:i w:val="0"/>
          <w:iCs/>
          <w:rtl/>
          <w:lang w:bidi="ar-EG"/>
        </w:rPr>
      </w:pPr>
      <w:r w:rsidRPr="00430CFE">
        <w:rPr>
          <w:i w:val="0"/>
          <w:iCs/>
          <w:rtl/>
          <w:lang w:bidi="ar-EG"/>
        </w:rPr>
        <w:t>إذ تضع في اعتبارها</w:t>
      </w:r>
    </w:p>
    <w:p w:rsidR="00AB2D71" w:rsidRDefault="00AB2D71" w:rsidP="00AB2D71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  <w:t xml:space="preserve">أن التوصية </w:t>
      </w:r>
      <w:r>
        <w:rPr>
          <w:lang w:val="en-US" w:bidi="ar-EG"/>
        </w:rPr>
        <w:t>ITU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R P.368</w:t>
      </w:r>
      <w:r>
        <w:rPr>
          <w:rtl/>
          <w:lang w:val="en-US" w:bidi="ar-EG"/>
        </w:rPr>
        <w:t xml:space="preserve"> تقدم منحنيات انتشار الموجة الأرضية للترددات بين </w:t>
      </w:r>
      <w:r>
        <w:rPr>
          <w:lang w:val="en-US" w:bidi="ar-EG"/>
        </w:rPr>
        <w:t>kHz 10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MHz 30</w:t>
      </w:r>
      <w:r>
        <w:rPr>
          <w:rtl/>
          <w:lang w:val="en-US" w:bidi="ar-EG"/>
        </w:rPr>
        <w:t>، وأن التوصية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ITU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R P.684</w:t>
      </w:r>
      <w:r>
        <w:rPr>
          <w:rtl/>
          <w:lang w:val="en-US" w:bidi="ar-EG"/>
        </w:rPr>
        <w:t xml:space="preserve"> والتوصية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ITU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R P.1147</w:t>
      </w:r>
      <w:r>
        <w:rPr>
          <w:rtl/>
          <w:lang w:val="en-US" w:bidi="ar-EG"/>
        </w:rPr>
        <w:t xml:space="preserve"> تصفان الإجراءات الخاصة بالتنبؤ بانتشار الموجة الأيونوسفيرية على ترددات تقل عن حوالي </w:t>
      </w:r>
      <w:r>
        <w:rPr>
          <w:lang w:val="en-US" w:bidi="ar-EG"/>
        </w:rPr>
        <w:t>kHz 150</w:t>
      </w:r>
      <w:r>
        <w:rPr>
          <w:rtl/>
          <w:lang w:val="en-US" w:bidi="ar-EG"/>
        </w:rPr>
        <w:t xml:space="preserve">، وترددات تتراوح بين </w:t>
      </w:r>
      <w:r>
        <w:rPr>
          <w:lang w:val="en-US" w:bidi="ar-EG"/>
        </w:rPr>
        <w:t>150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kHz 1 700</w:t>
      </w:r>
      <w:r>
        <w:rPr>
          <w:rtl/>
          <w:lang w:val="en-US" w:bidi="ar-EG"/>
        </w:rPr>
        <w:t xml:space="preserve"> على التوالي؛</w:t>
      </w:r>
    </w:p>
    <w:p w:rsidR="00AB2D71" w:rsidRDefault="00AB2D71" w:rsidP="00AB2D71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>ب)</w:t>
      </w:r>
      <w:r>
        <w:rPr>
          <w:rtl/>
          <w:lang w:val="en-US" w:bidi="ar-EG"/>
        </w:rPr>
        <w:tab/>
        <w:t>أن معظم طرائق التنبؤ المتاحة هذه وغيرها موجه في المقام الأول إلى النطاق الضيق أو الأنظمة التماثلية؛</w:t>
      </w:r>
    </w:p>
    <w:p w:rsidR="00AB2D71" w:rsidRPr="008F5DEA" w:rsidRDefault="00AB2D71" w:rsidP="00AB2D71">
      <w:pPr>
        <w:rPr>
          <w:spacing w:val="-4"/>
          <w:rtl/>
          <w:lang w:val="en-US" w:bidi="ar-EG"/>
        </w:rPr>
      </w:pPr>
      <w:r w:rsidRPr="00AF2152">
        <w:rPr>
          <w:i/>
          <w:iCs/>
          <w:spacing w:val="-4"/>
          <w:rtl/>
          <w:lang w:val="en-US" w:bidi="ar-EG"/>
        </w:rPr>
        <w:t>ج)</w:t>
      </w:r>
      <w:r w:rsidRPr="008F5DEA">
        <w:rPr>
          <w:spacing w:val="-4"/>
          <w:rtl/>
          <w:lang w:val="en-US" w:bidi="ar-EG"/>
        </w:rPr>
        <w:tab/>
        <w:t>أن إشارات الموجة الأرضية والموجة الأيونوسفيرية المرسلة من نفس المصدر يمكن أن تكون متقاربة في الاتساع، في</w:t>
      </w:r>
      <w:r w:rsidRPr="008F5DEA">
        <w:rPr>
          <w:rFonts w:hint="cs"/>
          <w:spacing w:val="-4"/>
          <w:rtl/>
          <w:lang w:val="en-US" w:bidi="ar-EG"/>
        </w:rPr>
        <w:t> </w:t>
      </w:r>
      <w:r w:rsidRPr="008F5DEA">
        <w:rPr>
          <w:spacing w:val="-4"/>
          <w:rtl/>
          <w:lang w:val="en-US" w:bidi="ar-EG"/>
        </w:rPr>
        <w:t>ظل ظروف</w:t>
      </w:r>
      <w:r>
        <w:rPr>
          <w:rFonts w:hint="cs"/>
          <w:spacing w:val="-4"/>
          <w:rtl/>
          <w:lang w:val="en-US" w:bidi="ar-EG"/>
        </w:rPr>
        <w:t> </w:t>
      </w:r>
      <w:r w:rsidRPr="008F5DEA">
        <w:rPr>
          <w:spacing w:val="-4"/>
          <w:rtl/>
          <w:lang w:val="en-US" w:bidi="ar-EG"/>
        </w:rPr>
        <w:t>معينة؛</w:t>
      </w:r>
    </w:p>
    <w:p w:rsidR="00AB2D71" w:rsidRDefault="00AB2D71" w:rsidP="00AB2D71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>د )</w:t>
      </w:r>
      <w:r>
        <w:rPr>
          <w:rtl/>
          <w:lang w:val="en-US" w:bidi="ar-EG"/>
        </w:rPr>
        <w:tab/>
        <w:t>أن تقنيات التشكيل الرقمي تستعمل على نحو متزايد، بما فيها التقنيات التي تستعمل سرعات تشوير عالية أو التي تتطلب طوراً جيداً أو تردداً مستقراً؛</w:t>
      </w:r>
    </w:p>
    <w:p w:rsidR="00AB2D71" w:rsidRDefault="00AB2D71" w:rsidP="00AB2D71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>ﻫ )</w:t>
      </w:r>
      <w:r>
        <w:rPr>
          <w:rtl/>
          <w:lang w:val="en-US" w:bidi="ar-EG"/>
        </w:rPr>
        <w:tab/>
        <w:t>أن التوصية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ITU</w:t>
      </w:r>
      <w:r>
        <w:rPr>
          <w:rFonts w:hint="cs"/>
          <w:lang w:val="en-US"/>
        </w:rPr>
        <w:sym w:font="Symbol" w:char="F02D"/>
      </w:r>
      <w:r>
        <w:rPr>
          <w:lang w:val="en-US" w:bidi="ar-EG"/>
        </w:rPr>
        <w:t>R P.1321</w:t>
      </w:r>
      <w:r>
        <w:rPr>
          <w:rtl/>
          <w:lang w:val="en-US" w:bidi="ar-EG"/>
        </w:rPr>
        <w:t xml:space="preserve"> تلخّص بعض نتائج الدراسات عن عوامل الانتشار التي تؤثر على الأنظمة التي تستعمل التقنيات الرقمية بالموجات الكيلومترية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(LF)</w:t>
      </w:r>
      <w:r>
        <w:rPr>
          <w:rtl/>
          <w:lang w:val="en-US" w:bidi="ar-EG"/>
        </w:rPr>
        <w:t xml:space="preserve"> والموجات الهكتومترية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(MF)</w:t>
      </w:r>
      <w:r>
        <w:rPr>
          <w:rtl/>
          <w:lang w:val="en-US" w:bidi="ar-EG"/>
        </w:rPr>
        <w:t>؛</w:t>
      </w:r>
    </w:p>
    <w:p w:rsidR="00AB2D71" w:rsidRDefault="00AB2D71" w:rsidP="00AB2D71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>و )</w:t>
      </w:r>
      <w:r>
        <w:rPr>
          <w:rtl/>
          <w:lang w:val="en-US" w:bidi="ar-EG"/>
        </w:rPr>
        <w:tab/>
        <w:t>أن ثمة حاجة إلى معلومات عن سوية الإشارة وتنوعها، وتمديد الوقت والتردد داخل القناة،</w:t>
      </w:r>
    </w:p>
    <w:p w:rsidR="00AB2D71" w:rsidRPr="00591DC1" w:rsidRDefault="00AB2D71" w:rsidP="00AB2D71">
      <w:pPr>
        <w:pStyle w:val="Call"/>
        <w:rPr>
          <w:i w:val="0"/>
          <w:iCs/>
          <w:rtl/>
          <w:lang w:bidi="ar-EG"/>
        </w:rPr>
      </w:pPr>
      <w:r w:rsidRPr="00591DC1">
        <w:rPr>
          <w:i w:val="0"/>
          <w:iCs/>
          <w:rtl/>
          <w:lang w:bidi="ar-EG"/>
        </w:rPr>
        <w:t xml:space="preserve">تقرر دراسة </w:t>
      </w:r>
      <w:r>
        <w:rPr>
          <w:rFonts w:hint="cs"/>
          <w:i w:val="0"/>
          <w:iCs/>
          <w:rtl/>
          <w:lang w:bidi="ar-EG"/>
        </w:rPr>
        <w:t>المسائل</w:t>
      </w:r>
      <w:r w:rsidRPr="00591DC1">
        <w:rPr>
          <w:i w:val="0"/>
          <w:iCs/>
          <w:rtl/>
          <w:lang w:bidi="ar-EG"/>
        </w:rPr>
        <w:t xml:space="preserve"> التالية</w:t>
      </w:r>
    </w:p>
    <w:p w:rsidR="00AB2D71" w:rsidRPr="00591DC1" w:rsidRDefault="00AB2D71" w:rsidP="00AB2D71">
      <w:pPr>
        <w:rPr>
          <w:rtl/>
          <w:lang w:val="en-US" w:bidi="ar-EG"/>
        </w:rPr>
      </w:pPr>
      <w:r w:rsidRPr="00591DC1">
        <w:rPr>
          <w:lang w:val="en-US" w:bidi="ar-EG"/>
        </w:rPr>
        <w:t>1</w:t>
      </w:r>
      <w:r w:rsidRPr="00591DC1">
        <w:rPr>
          <w:rtl/>
          <w:lang w:val="en-US" w:bidi="ar-EG"/>
        </w:rPr>
        <w:tab/>
        <w:t>ما هي التحسينات التي يمكن إدخالها على طرائق التنبؤ بشدة مجال الموجة الأيونوسفيرية وأداء الدارات بترددات تقل عن حوالي</w:t>
      </w:r>
      <w:r>
        <w:rPr>
          <w:rFonts w:hint="cs"/>
          <w:rtl/>
          <w:lang w:val="en-US" w:bidi="ar-EG"/>
        </w:rPr>
        <w:t> </w:t>
      </w:r>
      <w:r w:rsidRPr="00591DC1">
        <w:rPr>
          <w:lang w:val="en-US" w:bidi="ar-EG"/>
        </w:rPr>
        <w:t>MHz 1,7</w:t>
      </w:r>
      <w:r w:rsidRPr="00591DC1">
        <w:rPr>
          <w:rtl/>
          <w:lang w:val="en-US" w:bidi="ar-EG"/>
        </w:rPr>
        <w:t>؟</w:t>
      </w:r>
    </w:p>
    <w:p w:rsidR="00AB2D71" w:rsidRPr="00591DC1" w:rsidRDefault="00AB2D71" w:rsidP="00AB2D71">
      <w:pPr>
        <w:rPr>
          <w:rtl/>
          <w:lang w:val="en-US" w:bidi="ar-EG"/>
        </w:rPr>
      </w:pPr>
      <w:r w:rsidRPr="00591DC1">
        <w:rPr>
          <w:lang w:val="en-US" w:bidi="ar-EG"/>
        </w:rPr>
        <w:t>2</w:t>
      </w:r>
      <w:r w:rsidRPr="00591DC1">
        <w:rPr>
          <w:rtl/>
          <w:lang w:val="en-US" w:bidi="ar-EG"/>
        </w:rPr>
        <w:tab/>
        <w:t>هل هناك تغيرات هامة في شدة مجال الموجة الأرضية باختلاف الموقع أو الوقت؟</w:t>
      </w:r>
    </w:p>
    <w:p w:rsidR="00AB2D71" w:rsidRPr="00591DC1" w:rsidRDefault="00AB2D71" w:rsidP="00AB2D71">
      <w:pPr>
        <w:rPr>
          <w:rtl/>
          <w:lang w:val="en-US" w:bidi="ar-EG"/>
        </w:rPr>
      </w:pPr>
      <w:r w:rsidRPr="00591DC1">
        <w:rPr>
          <w:lang w:val="en-US" w:bidi="ar-EG"/>
        </w:rPr>
        <w:t>3</w:t>
      </w:r>
      <w:r w:rsidRPr="00591DC1">
        <w:rPr>
          <w:rtl/>
          <w:lang w:val="en-US" w:bidi="ar-EG"/>
        </w:rPr>
        <w:tab/>
        <w:t>كيف يؤثر التعايش بين إشارات الموجة الأرضية وإشارات الموجة الأيونوسفيرية في الأنظمة الرقمية العاملة بالموجات الكيلومترية</w:t>
      </w:r>
      <w:r>
        <w:rPr>
          <w:rFonts w:hint="cs"/>
          <w:rtl/>
          <w:lang w:val="en-US" w:bidi="ar-EG"/>
        </w:rPr>
        <w:t> </w:t>
      </w:r>
      <w:r w:rsidRPr="00591DC1">
        <w:rPr>
          <w:lang w:val="en-US" w:bidi="ar-EG"/>
        </w:rPr>
        <w:t>(LF)</w:t>
      </w:r>
      <w:r w:rsidRPr="00591DC1">
        <w:rPr>
          <w:rtl/>
          <w:lang w:val="en-US" w:bidi="ar-EG"/>
        </w:rPr>
        <w:t xml:space="preserve"> والهكتومترية</w:t>
      </w:r>
      <w:r>
        <w:rPr>
          <w:rFonts w:hint="cs"/>
          <w:rtl/>
          <w:lang w:val="en-US" w:bidi="ar-EG"/>
        </w:rPr>
        <w:t> </w:t>
      </w:r>
      <w:r w:rsidRPr="00591DC1">
        <w:rPr>
          <w:lang w:val="en-US" w:bidi="ar-EG"/>
        </w:rPr>
        <w:t>(MF)</w:t>
      </w:r>
      <w:r w:rsidRPr="00591DC1">
        <w:rPr>
          <w:rtl/>
          <w:lang w:val="en-US" w:bidi="ar-EG"/>
        </w:rPr>
        <w:t>؟</w:t>
      </w:r>
    </w:p>
    <w:p w:rsidR="00AB2D71" w:rsidRPr="00591DC1" w:rsidRDefault="00AB2D71" w:rsidP="00AB2D71">
      <w:pPr>
        <w:rPr>
          <w:rtl/>
          <w:lang w:val="en-US" w:bidi="ar-EG"/>
        </w:rPr>
      </w:pPr>
      <w:r w:rsidRPr="00591DC1">
        <w:rPr>
          <w:lang w:val="en-US" w:bidi="ar-EG"/>
        </w:rPr>
        <w:t>4</w:t>
      </w:r>
      <w:r w:rsidRPr="00591DC1">
        <w:rPr>
          <w:rtl/>
          <w:lang w:val="en-US" w:bidi="ar-EG"/>
        </w:rPr>
        <w:tab/>
        <w:t>ما هي خصائص تمديد الوقت والتردد، من حيث الاتساع والطور (تعدد المسارات ودوبلر)، لإشارات الموجة الأيونوسفيرية الكيلومترية والهكتومترية؟</w:t>
      </w:r>
    </w:p>
    <w:p w:rsidR="00AB2D71" w:rsidRPr="00591DC1" w:rsidRDefault="00AB2D71" w:rsidP="00AB2D71">
      <w:pPr>
        <w:spacing w:after="120"/>
        <w:rPr>
          <w:rtl/>
          <w:lang w:val="en-US" w:bidi="ar-EG"/>
        </w:rPr>
      </w:pPr>
      <w:r w:rsidRPr="00591DC1">
        <w:rPr>
          <w:lang w:val="en-US" w:bidi="ar-EG"/>
        </w:rPr>
        <w:t>5</w:t>
      </w:r>
      <w:r w:rsidRPr="00591DC1">
        <w:rPr>
          <w:rtl/>
          <w:lang w:val="en-US" w:bidi="ar-EG"/>
        </w:rPr>
        <w:tab/>
        <w:t>ما هي المعلمات الملائمة لخصائص هذه الإشارات لإدراجها في بنك لمعطيات القياس؟</w:t>
      </w:r>
    </w:p>
    <w:p w:rsidR="00AB2D71" w:rsidRPr="00591DC1" w:rsidRDefault="00AB2D71" w:rsidP="00AB2D71">
      <w:pPr>
        <w:keepNext/>
        <w:keepLines/>
        <w:rPr>
          <w:rtl/>
          <w:lang w:val="en-US" w:bidi="ar-EG"/>
        </w:rPr>
      </w:pPr>
      <w:r w:rsidRPr="00591DC1">
        <w:rPr>
          <w:lang w:val="en-US" w:bidi="ar-EG"/>
        </w:rPr>
        <w:lastRenderedPageBreak/>
        <w:t>6</w:t>
      </w:r>
      <w:r w:rsidRPr="00591DC1">
        <w:rPr>
          <w:rtl/>
          <w:lang w:val="en-US" w:bidi="ar-EG"/>
        </w:rPr>
        <w:tab/>
        <w:t>كيف تختلف معلمات الموجة الأيونوسفيرية باختلاف الوقت والتردد وطول المسير، وغير ذلك من العوامل؟</w:t>
      </w:r>
    </w:p>
    <w:p w:rsidR="00AB2D71" w:rsidRPr="00591DC1" w:rsidRDefault="00AB2D71" w:rsidP="00AB2D71">
      <w:pPr>
        <w:keepNext/>
        <w:keepLines/>
        <w:rPr>
          <w:rtl/>
          <w:lang w:val="en-US" w:bidi="ar-EG"/>
        </w:rPr>
      </w:pPr>
      <w:r w:rsidRPr="00591DC1">
        <w:rPr>
          <w:lang w:val="en-US" w:bidi="ar-EG"/>
        </w:rPr>
        <w:t>7</w:t>
      </w:r>
      <w:r w:rsidRPr="00591DC1">
        <w:rPr>
          <w:rtl/>
          <w:lang w:val="en-US" w:bidi="ar-EG"/>
        </w:rPr>
        <w:tab/>
        <w:t>ما هي الطرائق الملائمة للتنبؤ بهذه المعلمات، وإلى أي مدى يمكن استعمال نماذج تنبؤية مختلفة، وفقاً لطرائق التشكيل المستخدمة للإشارة؟</w:t>
      </w:r>
    </w:p>
    <w:p w:rsidR="00AB2D71" w:rsidRPr="00591DC1" w:rsidRDefault="00AB2D71" w:rsidP="00AB2D71">
      <w:pPr>
        <w:pStyle w:val="Call"/>
        <w:rPr>
          <w:i w:val="0"/>
          <w:iCs/>
          <w:rtl/>
          <w:lang w:bidi="ar-EG"/>
        </w:rPr>
      </w:pPr>
      <w:r w:rsidRPr="00591DC1">
        <w:rPr>
          <w:i w:val="0"/>
          <w:iCs/>
          <w:rtl/>
          <w:lang w:bidi="ar-EG"/>
        </w:rPr>
        <w:t>تقرر كذلك</w:t>
      </w:r>
    </w:p>
    <w:p w:rsidR="00AB2D71" w:rsidRPr="00591DC1" w:rsidRDefault="00AB2D71" w:rsidP="00AB2D71">
      <w:pPr>
        <w:rPr>
          <w:rtl/>
          <w:lang w:val="fr-FR" w:bidi="ar-EG"/>
        </w:rPr>
      </w:pPr>
      <w:r w:rsidRPr="00591DC1">
        <w:rPr>
          <w:lang w:val="fr-FR" w:bidi="ar-EG"/>
        </w:rPr>
        <w:t>1</w:t>
      </w:r>
      <w:r w:rsidRPr="00591DC1">
        <w:rPr>
          <w:rtl/>
          <w:lang w:val="fr-FR" w:bidi="ar-EG"/>
        </w:rPr>
        <w:tab/>
        <w:t>تضمين نتائج الدراسات المذكورة أعلاه في توصيات و/أو تقارير؛</w:t>
      </w:r>
    </w:p>
    <w:p w:rsidR="00AB2D71" w:rsidRPr="00591DC1" w:rsidRDefault="00AB2D71" w:rsidP="00AB2D71">
      <w:pPr>
        <w:rPr>
          <w:rtl/>
          <w:lang w:val="fr-FR" w:bidi="ar-EG"/>
        </w:rPr>
      </w:pPr>
      <w:r w:rsidRPr="00591DC1">
        <w:rPr>
          <w:lang w:val="fr-FR" w:bidi="ar-EG"/>
        </w:rPr>
        <w:t>2</w:t>
      </w:r>
      <w:r w:rsidRPr="00591DC1">
        <w:rPr>
          <w:rtl/>
          <w:lang w:val="fr-FR" w:bidi="ar-EG"/>
        </w:rPr>
        <w:tab/>
        <w:t xml:space="preserve">أنه ينبغي الانتهاء من الدراسات المذكورة أعلاه بحلول عام </w:t>
      </w:r>
      <w:r w:rsidRPr="00591DC1">
        <w:rPr>
          <w:lang w:val="fr-FR" w:bidi="ar-EG"/>
        </w:rPr>
        <w:t>2015</w:t>
      </w:r>
      <w:r w:rsidRPr="00591DC1">
        <w:rPr>
          <w:rtl/>
          <w:lang w:val="fr-FR" w:bidi="ar-EG"/>
        </w:rPr>
        <w:t>.</w:t>
      </w:r>
    </w:p>
    <w:p w:rsidR="00AB2D71" w:rsidRDefault="00AB2D71" w:rsidP="00AB2D71">
      <w:pPr>
        <w:rPr>
          <w:rtl/>
          <w:lang w:val="fr-FR" w:bidi="ar-EG"/>
        </w:rPr>
      </w:pPr>
    </w:p>
    <w:p w:rsidR="00AB2D71" w:rsidRDefault="00AB2D71" w:rsidP="00AB2D71">
      <w:pPr>
        <w:rPr>
          <w:rtl/>
          <w:lang w:val="fr-FR" w:bidi="ar-EG"/>
        </w:rPr>
      </w:pPr>
      <w:r>
        <w:rPr>
          <w:rtl/>
          <w:lang w:val="fr-FR" w:bidi="ar-EG"/>
        </w:rPr>
        <w:t xml:space="preserve">الفئة: </w:t>
      </w:r>
      <w:r w:rsidRPr="00591DC1">
        <w:rPr>
          <w:lang w:val="fr-FR" w:bidi="ar-EG"/>
        </w:rPr>
        <w:t>S3</w:t>
      </w:r>
    </w:p>
    <w:p w:rsidR="00D36401" w:rsidRDefault="00D36401"/>
    <w:sectPr w:rsidR="00D36401" w:rsidSect="00AB2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71" w:rsidRDefault="00AB2D71" w:rsidP="00AB2D71">
      <w:pPr>
        <w:spacing w:before="0" w:line="240" w:lineRule="auto"/>
      </w:pPr>
      <w:r>
        <w:separator/>
      </w:r>
    </w:p>
  </w:endnote>
  <w:endnote w:type="continuationSeparator" w:id="0">
    <w:p w:rsidR="00AB2D71" w:rsidRDefault="00AB2D71" w:rsidP="00AB2D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71" w:rsidRDefault="00AB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71" w:rsidRDefault="00AB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71" w:rsidRDefault="00AB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71" w:rsidRDefault="00AB2D71" w:rsidP="00AB2D71">
      <w:pPr>
        <w:spacing w:before="0" w:line="240" w:lineRule="auto"/>
      </w:pPr>
      <w:r>
        <w:separator/>
      </w:r>
    </w:p>
  </w:footnote>
  <w:footnote w:type="continuationSeparator" w:id="0">
    <w:p w:rsidR="00AB2D71" w:rsidRDefault="00AB2D71" w:rsidP="00AB2D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71" w:rsidRDefault="00AB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71" w:rsidRDefault="00AB2D71">
    <w:pPr>
      <w:pStyle w:val="Header"/>
      <w:jc w:val="center"/>
    </w:pPr>
    <w:r>
      <w:t>-</w:t>
    </w:r>
    <w:sdt>
      <w:sdtPr>
        <w:rPr>
          <w:rtl/>
        </w:rPr>
        <w:id w:val="-14244124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  <w:bookmarkStart w:id="0" w:name="_GoBack"/>
        <w:bookmarkEnd w:id="0"/>
      </w:sdtContent>
    </w:sdt>
  </w:p>
  <w:p w:rsidR="00AB2D71" w:rsidRDefault="00AB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71" w:rsidRDefault="00AB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71"/>
    <w:rsid w:val="00AB2D71"/>
    <w:rsid w:val="00D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B2D71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AB2D71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AB2D7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AB2D71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AB2D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AB2D71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AB2D71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AB2D71"/>
    <w:rPr>
      <w:rFonts w:ascii="Times New Roman" w:eastAsia="PMingLiU" w:hAnsi="Times New Roman" w:cs="Traditional Arabic"/>
      <w:caps/>
      <w:sz w:val="28"/>
      <w:szCs w:val="3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B2D7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71"/>
    <w:rPr>
      <w:rFonts w:ascii="Times New Roman" w:eastAsia="PMingLiU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B2D7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71"/>
    <w:rPr>
      <w:rFonts w:ascii="Times New Roman" w:eastAsia="PMingLiU" w:hAnsi="Times New Roman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B2D71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AB2D71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AB2D7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AB2D71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AB2D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AB2D71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AB2D71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AB2D71"/>
    <w:rPr>
      <w:rFonts w:ascii="Times New Roman" w:eastAsia="PMingLiU" w:hAnsi="Times New Roman" w:cs="Traditional Arabic"/>
      <w:caps/>
      <w:sz w:val="28"/>
      <w:szCs w:val="3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B2D7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71"/>
    <w:rPr>
      <w:rFonts w:ascii="Times New Roman" w:eastAsia="PMingLiU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B2D7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71"/>
    <w:rPr>
      <w:rFonts w:ascii="Times New Roman" w:eastAsia="PMingLiU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2012-03-01T14:20:00Z</dcterms:created>
  <dcterms:modified xsi:type="dcterms:W3CDTF">2012-03-01T14:23:00Z</dcterms:modified>
</cp:coreProperties>
</file>