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FE" w:rsidRDefault="00B417FE" w:rsidP="00B417FE">
      <w:pPr>
        <w:pStyle w:val="Annexref"/>
        <w:spacing w:before="480" w:after="360"/>
        <w:rPr>
          <w:sz w:val="26"/>
          <w:lang w:val="ru-RU"/>
        </w:rPr>
      </w:pPr>
      <w:r>
        <w:rPr>
          <w:sz w:val="26"/>
          <w:lang w:val="ru-RU"/>
        </w:rPr>
        <w:t>ВОПРОС МСЭ-R 228-</w:t>
      </w:r>
      <w:r w:rsidRPr="00D62831">
        <w:rPr>
          <w:sz w:val="26"/>
          <w:lang w:val="ru-RU"/>
        </w:rPr>
        <w:t>2</w:t>
      </w:r>
      <w:r>
        <w:rPr>
          <w:sz w:val="26"/>
          <w:lang w:val="ru-RU"/>
        </w:rPr>
        <w:t>/3</w:t>
      </w:r>
      <w:r>
        <w:rPr>
          <w:rStyle w:val="FootnoteReference"/>
          <w:sz w:val="26"/>
          <w:lang w:val="ru-RU"/>
        </w:rPr>
        <w:footnoteReference w:customMarkFollows="1" w:id="1"/>
        <w:t>*</w:t>
      </w:r>
    </w:p>
    <w:p w:rsidR="00B417FE" w:rsidRDefault="00B417FE" w:rsidP="00B417FE">
      <w:pPr>
        <w:pStyle w:val="AnnexNotitle"/>
        <w:spacing w:before="0"/>
        <w:rPr>
          <w:sz w:val="26"/>
          <w:lang w:val="ru-RU"/>
        </w:rPr>
      </w:pPr>
      <w:r>
        <w:rPr>
          <w:sz w:val="26"/>
          <w:lang w:val="ru-RU" w:eastAsia="ja-JP"/>
        </w:rPr>
        <w:t>Данные о распространении, необходимые для планирования систем радиосвязи, работающих в частотах выше 275 ГГц</w:t>
      </w:r>
      <w:r>
        <w:rPr>
          <w:rStyle w:val="FootnoteReference"/>
          <w:sz w:val="26"/>
          <w:lang w:val="ru-RU" w:eastAsia="ja-JP"/>
        </w:rPr>
        <w:footnoteReference w:customMarkFollows="1" w:id="2"/>
        <w:t>**</w:t>
      </w:r>
      <w:r>
        <w:rPr>
          <w:sz w:val="26"/>
          <w:lang w:val="ru-RU" w:eastAsia="ja-JP"/>
        </w:rPr>
        <w:t xml:space="preserve"> </w:t>
      </w:r>
    </w:p>
    <w:p w:rsidR="00B417FE" w:rsidRDefault="00B417FE" w:rsidP="00B417FE">
      <w:pPr>
        <w:pStyle w:val="Questiondate"/>
        <w:spacing w:before="240" w:after="240"/>
        <w:rPr>
          <w:i w:val="0"/>
          <w:iCs/>
          <w:lang w:val="ru-RU"/>
        </w:rPr>
      </w:pPr>
      <w:r>
        <w:rPr>
          <w:i w:val="0"/>
          <w:iCs/>
          <w:lang w:val="ru-RU"/>
        </w:rPr>
        <w:t>(2000-2005)</w:t>
      </w:r>
    </w:p>
    <w:p w:rsidR="00B417FE" w:rsidRDefault="00B417FE" w:rsidP="00B417FE">
      <w:pPr>
        <w:pStyle w:val="Normalaftertitle"/>
        <w:spacing w:before="0"/>
        <w:rPr>
          <w:sz w:val="22"/>
          <w:lang w:val="ru-RU"/>
        </w:rPr>
      </w:pPr>
      <w:r>
        <w:rPr>
          <w:sz w:val="22"/>
          <w:lang w:val="ru-RU"/>
        </w:rPr>
        <w:t>Ассамблея радиосвязи МСЭ,</w:t>
      </w:r>
    </w:p>
    <w:p w:rsidR="00B417FE" w:rsidRDefault="00B417FE" w:rsidP="00B417FE">
      <w:pPr>
        <w:pStyle w:val="Call"/>
        <w:tabs>
          <w:tab w:val="clear" w:pos="794"/>
        </w:tabs>
        <w:spacing w:before="200"/>
        <w:ind w:left="709"/>
        <w:rPr>
          <w:b/>
          <w:sz w:val="22"/>
          <w:lang w:val="ru-RU"/>
        </w:rPr>
      </w:pPr>
      <w:r>
        <w:rPr>
          <w:sz w:val="22"/>
          <w:lang w:val="ru-RU"/>
        </w:rPr>
        <w:t xml:space="preserve">учитывая, </w:t>
      </w:r>
    </w:p>
    <w:p w:rsidR="00B417FE" w:rsidRDefault="00B417FE" w:rsidP="00B417FE">
      <w:pPr>
        <w:pStyle w:val="Normalaftertitle"/>
        <w:numPr>
          <w:ilvl w:val="0"/>
          <w:numId w:val="1"/>
        </w:numPr>
        <w:tabs>
          <w:tab w:val="clear" w:pos="794"/>
          <w:tab w:val="clear" w:pos="1191"/>
          <w:tab w:val="left" w:pos="709"/>
        </w:tabs>
        <w:spacing w:before="120"/>
        <w:ind w:left="0" w:firstLine="0"/>
        <w:rPr>
          <w:sz w:val="22"/>
          <w:lang w:val="ru-RU"/>
        </w:rPr>
      </w:pPr>
      <w:r>
        <w:rPr>
          <w:sz w:val="22"/>
          <w:lang w:val="ru-RU"/>
        </w:rPr>
        <w:t>что во многих полосах частот, используемых для радиосвязи, спектр становится все более перегруженным и, как ожидается, эта проблема будет только усугубляться;</w:t>
      </w:r>
    </w:p>
    <w:p w:rsidR="00B417FE" w:rsidRDefault="00B417FE" w:rsidP="00B417FE">
      <w:pPr>
        <w:numPr>
          <w:ilvl w:val="0"/>
          <w:numId w:val="1"/>
        </w:numPr>
        <w:tabs>
          <w:tab w:val="clear" w:pos="794"/>
          <w:tab w:val="left" w:pos="709"/>
        </w:tabs>
        <w:ind w:left="0" w:firstLine="0"/>
        <w:rPr>
          <w:sz w:val="22"/>
          <w:lang w:val="ru-RU"/>
        </w:rPr>
      </w:pPr>
      <w:r>
        <w:rPr>
          <w:sz w:val="22"/>
          <w:lang w:val="ru-RU"/>
        </w:rPr>
        <w:t>что линии электросвязи используются или планируются для использования в некоторых наземных приложениях в частотах выше 275</w:t>
      </w:r>
      <w:r>
        <w:rPr>
          <w:sz w:val="22"/>
        </w:rPr>
        <w:t> </w:t>
      </w:r>
      <w:r>
        <w:rPr>
          <w:sz w:val="22"/>
          <w:lang w:val="ru-RU"/>
        </w:rPr>
        <w:t>ГГц;</w:t>
      </w:r>
    </w:p>
    <w:p w:rsidR="00B417FE" w:rsidRDefault="00B417FE" w:rsidP="00B417FE">
      <w:pPr>
        <w:numPr>
          <w:ilvl w:val="0"/>
          <w:numId w:val="1"/>
        </w:numPr>
        <w:tabs>
          <w:tab w:val="clear" w:pos="794"/>
          <w:tab w:val="left" w:pos="709"/>
        </w:tabs>
        <w:ind w:left="0" w:firstLine="0"/>
        <w:rPr>
          <w:sz w:val="22"/>
          <w:lang w:val="ru-RU"/>
        </w:rPr>
      </w:pPr>
      <w:r>
        <w:rPr>
          <w:sz w:val="22"/>
          <w:lang w:val="ru-RU"/>
        </w:rPr>
        <w:t>что линии электросвязи используются или планируются для использования в некоторых спутниковых системах для межспутниковой связи в частотах выше 275</w:t>
      </w:r>
      <w:r>
        <w:rPr>
          <w:sz w:val="22"/>
        </w:rPr>
        <w:t> </w:t>
      </w:r>
      <w:r>
        <w:rPr>
          <w:sz w:val="22"/>
          <w:lang w:val="ru-RU"/>
        </w:rPr>
        <w:t>ГГц;</w:t>
      </w:r>
    </w:p>
    <w:p w:rsidR="00B417FE" w:rsidRDefault="00B417FE" w:rsidP="00B417FE">
      <w:pPr>
        <w:numPr>
          <w:ilvl w:val="0"/>
          <w:numId w:val="1"/>
        </w:numPr>
        <w:tabs>
          <w:tab w:val="clear" w:pos="794"/>
          <w:tab w:val="left" w:pos="709"/>
        </w:tabs>
        <w:ind w:left="0" w:firstLine="0"/>
        <w:rPr>
          <w:sz w:val="22"/>
          <w:lang w:val="ru-RU"/>
        </w:rPr>
      </w:pPr>
      <w:r>
        <w:rPr>
          <w:sz w:val="22"/>
          <w:lang w:val="ru-RU"/>
        </w:rPr>
        <w:t>что в настоящее время исследуется вопрос о целесообразности линий электросвязи, работающих в частотах выше 275</w:t>
      </w:r>
      <w:r>
        <w:rPr>
          <w:sz w:val="22"/>
        </w:rPr>
        <w:t> </w:t>
      </w:r>
      <w:r>
        <w:rPr>
          <w:sz w:val="22"/>
          <w:lang w:val="ru-RU"/>
        </w:rPr>
        <w:t>ГГц (космос</w:t>
      </w:r>
      <w:r>
        <w:rPr>
          <w:sz w:val="22"/>
          <w:lang w:val="ru-RU"/>
        </w:rPr>
        <w:noBreakHyphen/>
        <w:t>Земля и Земля</w:t>
      </w:r>
      <w:r>
        <w:rPr>
          <w:sz w:val="22"/>
          <w:lang w:val="ru-RU"/>
        </w:rPr>
        <w:noBreakHyphen/>
        <w:t xml:space="preserve">космос); </w:t>
      </w:r>
    </w:p>
    <w:p w:rsidR="00B417FE" w:rsidRDefault="00B417FE" w:rsidP="00B417FE">
      <w:pPr>
        <w:numPr>
          <w:ilvl w:val="0"/>
          <w:numId w:val="1"/>
        </w:numPr>
        <w:tabs>
          <w:tab w:val="clear" w:pos="794"/>
          <w:tab w:val="left" w:pos="709"/>
        </w:tabs>
        <w:ind w:left="0" w:firstLine="0"/>
        <w:rPr>
          <w:sz w:val="22"/>
          <w:lang w:val="ru-RU"/>
        </w:rPr>
      </w:pPr>
      <w:r>
        <w:rPr>
          <w:sz w:val="22"/>
          <w:lang w:val="ru-RU"/>
        </w:rPr>
        <w:t>что дистанционное зондирование и астрономические приложения используют частоты выше 275</w:t>
      </w:r>
      <w:r>
        <w:rPr>
          <w:sz w:val="22"/>
        </w:rPr>
        <w:t> </w:t>
      </w:r>
      <w:r>
        <w:rPr>
          <w:sz w:val="22"/>
          <w:lang w:val="ru-RU"/>
        </w:rPr>
        <w:t>ГГц,</w:t>
      </w:r>
    </w:p>
    <w:p w:rsidR="00B417FE" w:rsidRDefault="00B417FE" w:rsidP="00B417FE">
      <w:pPr>
        <w:numPr>
          <w:ilvl w:val="0"/>
          <w:numId w:val="1"/>
        </w:numPr>
        <w:tabs>
          <w:tab w:val="clear" w:pos="794"/>
          <w:tab w:val="left" w:pos="709"/>
        </w:tabs>
        <w:ind w:left="0" w:firstLine="0"/>
        <w:rPr>
          <w:sz w:val="22"/>
          <w:lang w:val="ru-RU"/>
        </w:rPr>
      </w:pPr>
      <w:r>
        <w:rPr>
          <w:sz w:val="22"/>
          <w:lang w:val="ru-RU"/>
        </w:rPr>
        <w:t xml:space="preserve">что существует заинтересованность в расширении диапазона частот, используемых для приложений электросвязи; </w:t>
      </w:r>
    </w:p>
    <w:p w:rsidR="00B417FE" w:rsidRDefault="00B417FE" w:rsidP="00B417FE">
      <w:pPr>
        <w:numPr>
          <w:ilvl w:val="0"/>
          <w:numId w:val="1"/>
        </w:numPr>
        <w:tabs>
          <w:tab w:val="clear" w:pos="794"/>
          <w:tab w:val="left" w:pos="709"/>
        </w:tabs>
        <w:ind w:left="0" w:firstLine="0"/>
        <w:rPr>
          <w:sz w:val="22"/>
          <w:lang w:val="ru-RU"/>
        </w:rPr>
      </w:pPr>
      <w:r>
        <w:rPr>
          <w:sz w:val="22"/>
          <w:lang w:val="ru-RU"/>
        </w:rPr>
        <w:t>что основное внимание при изучении Вопросов исследовательскими комиссиями по радиосвязи уделяется следующему:</w:t>
      </w:r>
    </w:p>
    <w:p w:rsidR="00B417FE" w:rsidRDefault="00B417FE" w:rsidP="00B417FE">
      <w:pPr>
        <w:tabs>
          <w:tab w:val="left" w:pos="709"/>
        </w:tabs>
        <w:rPr>
          <w:sz w:val="22"/>
          <w:lang w:val="ru-RU"/>
        </w:rPr>
      </w:pPr>
      <w:r>
        <w:rPr>
          <w:sz w:val="22"/>
          <w:lang w:val="ru-RU"/>
        </w:rPr>
        <w:t>–</w:t>
      </w:r>
      <w:r>
        <w:rPr>
          <w:sz w:val="22"/>
          <w:lang w:val="ru-RU"/>
        </w:rPr>
        <w:tab/>
        <w:t>использование радиочастотного спектра в радиосвязи;</w:t>
      </w:r>
    </w:p>
    <w:p w:rsidR="00B417FE" w:rsidRDefault="00B417FE" w:rsidP="00B417FE">
      <w:pPr>
        <w:tabs>
          <w:tab w:val="left" w:pos="709"/>
        </w:tabs>
        <w:rPr>
          <w:sz w:val="22"/>
          <w:lang w:val="ru-RU"/>
        </w:rPr>
      </w:pPr>
      <w:r>
        <w:rPr>
          <w:sz w:val="22"/>
          <w:lang w:val="ru-RU"/>
        </w:rPr>
        <w:t>–</w:t>
      </w:r>
      <w:r>
        <w:rPr>
          <w:sz w:val="22"/>
          <w:lang w:val="ru-RU"/>
        </w:rPr>
        <w:tab/>
        <w:t>характеристики и параметры работы систем радиосвязи;</w:t>
      </w:r>
    </w:p>
    <w:p w:rsidR="00B417FE" w:rsidRDefault="00B417FE" w:rsidP="00B417FE">
      <w:pPr>
        <w:tabs>
          <w:tab w:val="left" w:pos="709"/>
        </w:tabs>
        <w:rPr>
          <w:sz w:val="22"/>
          <w:lang w:val="ru-RU"/>
        </w:rPr>
      </w:pPr>
      <w:r>
        <w:rPr>
          <w:sz w:val="22"/>
          <w:lang w:val="ru-RU"/>
        </w:rPr>
        <w:t>–</w:t>
      </w:r>
      <w:r>
        <w:rPr>
          <w:sz w:val="22"/>
          <w:lang w:val="ru-RU"/>
        </w:rPr>
        <w:tab/>
        <w:t>эксплуатация систем радиосвязи;</w:t>
      </w:r>
    </w:p>
    <w:p w:rsidR="00B417FE" w:rsidRDefault="00B417FE" w:rsidP="00B417FE">
      <w:pPr>
        <w:pageBreakBefore/>
        <w:tabs>
          <w:tab w:val="left" w:pos="709"/>
        </w:tabs>
        <w:rPr>
          <w:sz w:val="22"/>
          <w:lang w:val="ru-RU"/>
        </w:rPr>
      </w:pPr>
      <w:r>
        <w:rPr>
          <w:sz w:val="22"/>
        </w:rPr>
        <w:lastRenderedPageBreak/>
        <w:t>h</w:t>
      </w:r>
      <w:r>
        <w:rPr>
          <w:sz w:val="22"/>
          <w:lang w:val="ru-RU"/>
        </w:rPr>
        <w:t>)</w:t>
      </w:r>
      <w:r>
        <w:rPr>
          <w:sz w:val="22"/>
          <w:lang w:val="ru-RU"/>
        </w:rPr>
        <w:tab/>
        <w:t>что для планирования и разработки систем электросвязи в частотах выше 275</w:t>
      </w:r>
      <w:r>
        <w:rPr>
          <w:sz w:val="22"/>
        </w:rPr>
        <w:t> </w:t>
      </w:r>
      <w:r>
        <w:rPr>
          <w:sz w:val="22"/>
          <w:lang w:val="ru-RU"/>
        </w:rPr>
        <w:t>ГГц настоятельно требуются модели распространения,</w:t>
      </w:r>
    </w:p>
    <w:p w:rsidR="00B417FE" w:rsidRDefault="00B417FE" w:rsidP="00B417FE">
      <w:pPr>
        <w:tabs>
          <w:tab w:val="left" w:pos="709"/>
        </w:tabs>
        <w:rPr>
          <w:sz w:val="22"/>
          <w:lang w:val="ru-RU"/>
        </w:rPr>
      </w:pPr>
      <w:r>
        <w:rPr>
          <w:i/>
          <w:iCs/>
          <w:sz w:val="22"/>
          <w:lang w:val="ru-RU"/>
        </w:rPr>
        <w:tab/>
        <w:t>отмечая</w:t>
      </w:r>
      <w:r>
        <w:rPr>
          <w:sz w:val="22"/>
          <w:lang w:val="ru-RU"/>
        </w:rPr>
        <w:t>,</w:t>
      </w:r>
    </w:p>
    <w:p w:rsidR="00B417FE" w:rsidRDefault="00B417FE" w:rsidP="00B417FE">
      <w:pPr>
        <w:pStyle w:val="BodyText"/>
        <w:spacing w:before="120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что в соответствии с п. 78 Устава МСЭ и Примечанием 2 к п. 1005 Конвенции МСЭ исследовательские комиссии могут принимать рекомендации без ограничения диапазона частот,</w:t>
      </w:r>
    </w:p>
    <w:p w:rsidR="00B417FE" w:rsidRDefault="00B417FE" w:rsidP="00B417FE">
      <w:pPr>
        <w:ind w:firstLine="720"/>
        <w:rPr>
          <w:sz w:val="22"/>
          <w:lang w:val="ru-RU"/>
        </w:rPr>
      </w:pPr>
      <w:r>
        <w:rPr>
          <w:i/>
          <w:iCs/>
          <w:sz w:val="22"/>
          <w:lang w:val="ru-RU"/>
        </w:rPr>
        <w:t>решает,</w:t>
      </w:r>
      <w:r>
        <w:rPr>
          <w:sz w:val="22"/>
          <w:lang w:val="ru-RU"/>
        </w:rPr>
        <w:t xml:space="preserve"> что необходимо изучить следующий Вопрос:</w:t>
      </w:r>
    </w:p>
    <w:p w:rsidR="00B417FE" w:rsidRDefault="00B417FE" w:rsidP="00B417FE">
      <w:pPr>
        <w:pStyle w:val="Header"/>
        <w:numPr>
          <w:ilvl w:val="1"/>
          <w:numId w:val="1"/>
        </w:numPr>
        <w:tabs>
          <w:tab w:val="left" w:pos="709"/>
        </w:tabs>
        <w:spacing w:before="120"/>
        <w:ind w:left="0" w:firstLine="0"/>
        <w:rPr>
          <w:lang w:val="ru-RU"/>
        </w:rPr>
      </w:pPr>
      <w:r>
        <w:rPr>
          <w:lang w:val="ru-RU"/>
        </w:rPr>
        <w:t>Какие модели наилучшим образом описывают взаимосвязь между параметрами атмосферы и характеристиками электромагнитных волн в земных линиях, линиях космос-Земля и Земля-космос, работающих в частотах выше 275 ГГц;</w:t>
      </w:r>
    </w:p>
    <w:p w:rsidR="00B417FE" w:rsidRDefault="00B417FE" w:rsidP="00B417FE">
      <w:pPr>
        <w:numPr>
          <w:ilvl w:val="1"/>
          <w:numId w:val="1"/>
        </w:numPr>
        <w:tabs>
          <w:tab w:val="clear" w:pos="794"/>
          <w:tab w:val="left" w:pos="709"/>
        </w:tabs>
        <w:ind w:left="0" w:firstLine="0"/>
        <w:rPr>
          <w:sz w:val="22"/>
          <w:lang w:val="ru-RU"/>
        </w:rPr>
      </w:pPr>
      <w:r>
        <w:rPr>
          <w:sz w:val="22"/>
          <w:lang w:val="ru-RU"/>
        </w:rPr>
        <w:t>Какие модели наилучшим образом описывают взаимосвязь между параметрами свободного пространства и характеристиками электромагнитных волн на межспутниковых линиях, работающих в частотах выше 275</w:t>
      </w:r>
      <w:r>
        <w:rPr>
          <w:sz w:val="22"/>
        </w:rPr>
        <w:t> </w:t>
      </w:r>
      <w:r>
        <w:rPr>
          <w:sz w:val="22"/>
          <w:lang w:val="ru-RU"/>
        </w:rPr>
        <w:t>ГГц?</w:t>
      </w:r>
    </w:p>
    <w:p w:rsidR="00B417FE" w:rsidRDefault="00B417FE" w:rsidP="00B417FE">
      <w:pPr>
        <w:numPr>
          <w:ilvl w:val="1"/>
          <w:numId w:val="1"/>
        </w:numPr>
        <w:tabs>
          <w:tab w:val="clear" w:pos="794"/>
          <w:tab w:val="left" w:pos="709"/>
        </w:tabs>
        <w:ind w:left="0" w:firstLine="0"/>
        <w:rPr>
          <w:sz w:val="22"/>
          <w:lang w:val="ru-RU"/>
        </w:rPr>
      </w:pPr>
      <w:r>
        <w:rPr>
          <w:sz w:val="22"/>
          <w:lang w:val="ru-RU"/>
        </w:rPr>
        <w:t>Какие модели наилучшим образом описывают взаимосвязь между параметрами атмосферы и характеристиками электромагнитных волн в линиях научной службы, работающих в частотах выше 275</w:t>
      </w:r>
      <w:r>
        <w:rPr>
          <w:sz w:val="22"/>
        </w:rPr>
        <w:t> </w:t>
      </w:r>
      <w:r>
        <w:rPr>
          <w:sz w:val="22"/>
          <w:lang w:val="ru-RU"/>
        </w:rPr>
        <w:t>ГГц?</w:t>
      </w:r>
    </w:p>
    <w:p w:rsidR="00B417FE" w:rsidRDefault="00B417FE" w:rsidP="00B417FE">
      <w:pPr>
        <w:numPr>
          <w:ilvl w:val="1"/>
          <w:numId w:val="1"/>
        </w:numPr>
        <w:tabs>
          <w:tab w:val="clear" w:pos="794"/>
          <w:tab w:val="left" w:pos="709"/>
        </w:tabs>
        <w:ind w:left="0" w:firstLine="0"/>
        <w:rPr>
          <w:sz w:val="22"/>
          <w:lang w:val="ru-RU"/>
        </w:rPr>
      </w:pPr>
      <w:r>
        <w:rPr>
          <w:sz w:val="22"/>
          <w:lang w:val="ru-RU"/>
        </w:rPr>
        <w:t>Какие модели наилучшим образом описывают взаимосвязь между параметрами атмосферы и минимальной практической высотой для линий космос-космос, работающих в частотах выше 275</w:t>
      </w:r>
      <w:r>
        <w:rPr>
          <w:sz w:val="22"/>
        </w:rPr>
        <w:t> </w:t>
      </w:r>
      <w:r>
        <w:rPr>
          <w:sz w:val="22"/>
          <w:lang w:val="ru-RU"/>
        </w:rPr>
        <w:t>ГГц?</w:t>
      </w:r>
    </w:p>
    <w:p w:rsidR="00B417FE" w:rsidRDefault="00B417FE" w:rsidP="00B417FE">
      <w:pPr>
        <w:pStyle w:val="Call"/>
        <w:tabs>
          <w:tab w:val="clear" w:pos="794"/>
        </w:tabs>
        <w:spacing w:before="120"/>
        <w:ind w:left="709"/>
        <w:rPr>
          <w:sz w:val="22"/>
          <w:lang w:val="ru-RU"/>
        </w:rPr>
      </w:pPr>
      <w:r>
        <w:rPr>
          <w:sz w:val="22"/>
          <w:lang w:val="ru-RU"/>
        </w:rPr>
        <w:t>решает далее,</w:t>
      </w:r>
    </w:p>
    <w:p w:rsidR="00B417FE" w:rsidRDefault="00B417FE" w:rsidP="00B417FE">
      <w:pPr>
        <w:tabs>
          <w:tab w:val="left" w:pos="709"/>
        </w:tabs>
        <w:rPr>
          <w:bCs/>
          <w:sz w:val="22"/>
          <w:lang w:val="ru-RU"/>
        </w:rPr>
      </w:pPr>
      <w:r>
        <w:rPr>
          <w:b/>
          <w:sz w:val="22"/>
          <w:lang w:val="ru-RU"/>
        </w:rPr>
        <w:t>1</w:t>
      </w:r>
      <w:r>
        <w:rPr>
          <w:b/>
          <w:sz w:val="22"/>
          <w:lang w:val="ru-RU"/>
        </w:rPr>
        <w:tab/>
      </w:r>
      <w:r>
        <w:rPr>
          <w:bCs/>
          <w:sz w:val="22"/>
          <w:lang w:val="ru-RU"/>
        </w:rPr>
        <w:t>что результаты вышеуказанных исследований в отношении частот выше 275</w:t>
      </w:r>
      <w:r>
        <w:rPr>
          <w:bCs/>
          <w:sz w:val="22"/>
        </w:rPr>
        <w:t> </w:t>
      </w:r>
      <w:r>
        <w:rPr>
          <w:bCs/>
          <w:sz w:val="22"/>
          <w:lang w:val="ru-RU"/>
        </w:rPr>
        <w:t>ГГц следует довести до сведения других исследовательских комиссий;</w:t>
      </w:r>
    </w:p>
    <w:p w:rsidR="00B417FE" w:rsidRDefault="00B417FE" w:rsidP="00B417FE">
      <w:pPr>
        <w:tabs>
          <w:tab w:val="left" w:pos="709"/>
        </w:tabs>
        <w:rPr>
          <w:sz w:val="22"/>
          <w:lang w:val="ru-RU"/>
        </w:rPr>
      </w:pPr>
      <w:r>
        <w:rPr>
          <w:b/>
          <w:sz w:val="22"/>
          <w:lang w:val="ru-RU"/>
        </w:rPr>
        <w:t>2</w:t>
      </w:r>
      <w:r>
        <w:rPr>
          <w:bCs/>
          <w:sz w:val="22"/>
          <w:lang w:val="ru-RU"/>
        </w:rPr>
        <w:tab/>
        <w:t>что результаты вышеуказанных исследований следует включить в одну или несколько рекомендаций;</w:t>
      </w:r>
    </w:p>
    <w:p w:rsidR="00B417FE" w:rsidRDefault="00B417FE" w:rsidP="00B417FE">
      <w:pPr>
        <w:tabs>
          <w:tab w:val="left" w:pos="709"/>
        </w:tabs>
        <w:rPr>
          <w:sz w:val="22"/>
          <w:lang w:val="ru-RU"/>
        </w:rPr>
      </w:pPr>
      <w:r>
        <w:rPr>
          <w:b/>
          <w:bCs/>
          <w:sz w:val="22"/>
          <w:lang w:val="ru-RU"/>
        </w:rPr>
        <w:t>3</w:t>
      </w:r>
      <w:r>
        <w:rPr>
          <w:sz w:val="22"/>
          <w:lang w:val="ru-RU"/>
        </w:rPr>
        <w:tab/>
        <w:t>что результаты, касающиеся наземных приложений, следует подготовить к 20</w:t>
      </w:r>
      <w:r w:rsidR="004A00BC" w:rsidRPr="004A00BC">
        <w:rPr>
          <w:sz w:val="22"/>
          <w:lang w:val="ru-RU"/>
        </w:rPr>
        <w:t>06</w:t>
      </w:r>
      <w:bookmarkStart w:id="0" w:name="_GoBack"/>
      <w:bookmarkEnd w:id="0"/>
      <w:r>
        <w:rPr>
          <w:sz w:val="22"/>
        </w:rPr>
        <w:t> </w:t>
      </w:r>
      <w:r>
        <w:rPr>
          <w:sz w:val="22"/>
          <w:lang w:val="ru-RU"/>
        </w:rPr>
        <w:t>году и включить в будущую(ие) рекомендацию(ии) или отчет(ы).</w:t>
      </w:r>
    </w:p>
    <w:p w:rsidR="00DB5E47" w:rsidRDefault="00DB5E47" w:rsidP="00DB5E47">
      <w:pPr>
        <w:pStyle w:val="Call"/>
        <w:rPr>
          <w:rFonts w:eastAsiaTheme="minorEastAsia"/>
          <w:i w:val="0"/>
          <w:sz w:val="22"/>
          <w:lang w:val="ru-RU"/>
        </w:rPr>
      </w:pPr>
      <w:r>
        <w:rPr>
          <w:lang w:val="ru-RU"/>
        </w:rPr>
        <w:t>далее решает</w:t>
      </w:r>
      <w:r>
        <w:rPr>
          <w:i w:val="0"/>
          <w:lang w:val="ru-RU"/>
        </w:rPr>
        <w:t>,</w:t>
      </w:r>
    </w:p>
    <w:p w:rsidR="00DB5E47" w:rsidRDefault="00DB5E47" w:rsidP="00DB5E47">
      <w:pPr>
        <w:rPr>
          <w:rFonts w:ascii="Calibri" w:eastAsia="SimSun" w:hAnsi="Calibri"/>
          <w:lang w:val="ru-RU"/>
        </w:rPr>
      </w:pPr>
      <w:r>
        <w:rPr>
          <w:rFonts w:eastAsia="SimSun"/>
          <w:bCs/>
          <w:lang w:val="ru-RU"/>
        </w:rPr>
        <w:t>1</w:t>
      </w:r>
      <w:r>
        <w:rPr>
          <w:rFonts w:eastAsia="SimSun"/>
          <w:lang w:val="ru-RU"/>
        </w:rPr>
        <w:tab/>
        <w:t>что вышеупомянутые исследования следует завершить к 2019 году.</w:t>
      </w:r>
    </w:p>
    <w:p w:rsidR="00B417FE" w:rsidRDefault="00B417FE" w:rsidP="00B417FE">
      <w:pPr>
        <w:spacing w:before="360"/>
        <w:rPr>
          <w:sz w:val="26"/>
          <w:lang w:val="en-US"/>
        </w:rPr>
      </w:pPr>
      <w:r>
        <w:rPr>
          <w:sz w:val="22"/>
          <w:lang w:val="ru-RU" w:eastAsia="ja-JP"/>
        </w:rPr>
        <w:t>Категория: С1</w:t>
      </w:r>
    </w:p>
    <w:p w:rsidR="00CC001C" w:rsidRDefault="00CC001C"/>
    <w:sectPr w:rsidR="00CC001C" w:rsidSect="00B417FE">
      <w:headerReference w:type="default" r:id="rId7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FE" w:rsidRDefault="00B417FE" w:rsidP="00B417FE">
      <w:pPr>
        <w:spacing w:before="0"/>
      </w:pPr>
      <w:r>
        <w:separator/>
      </w:r>
    </w:p>
  </w:endnote>
  <w:endnote w:type="continuationSeparator" w:id="0">
    <w:p w:rsidR="00B417FE" w:rsidRDefault="00B417FE" w:rsidP="00B417F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FE" w:rsidRDefault="00B417FE" w:rsidP="00B417FE">
      <w:pPr>
        <w:spacing w:before="0"/>
      </w:pPr>
      <w:r>
        <w:separator/>
      </w:r>
    </w:p>
  </w:footnote>
  <w:footnote w:type="continuationSeparator" w:id="0">
    <w:p w:rsidR="00B417FE" w:rsidRDefault="00B417FE" w:rsidP="00B417FE">
      <w:pPr>
        <w:spacing w:before="0"/>
      </w:pPr>
      <w:r>
        <w:continuationSeparator/>
      </w:r>
    </w:p>
  </w:footnote>
  <w:footnote w:id="1">
    <w:p w:rsidR="00B417FE" w:rsidRDefault="00B417FE" w:rsidP="00B417FE">
      <w:pPr>
        <w:pStyle w:val="FootnoteText"/>
        <w:tabs>
          <w:tab w:val="left" w:pos="426"/>
        </w:tabs>
        <w:rPr>
          <w:lang w:val="ru-RU"/>
        </w:rPr>
      </w:pPr>
      <w:r>
        <w:rPr>
          <w:rStyle w:val="FootnoteReference"/>
          <w:lang w:val="ru-RU"/>
        </w:rPr>
        <w:t>*</w:t>
      </w:r>
      <w:r>
        <w:rPr>
          <w:lang w:val="ru-RU"/>
        </w:rPr>
        <w:tab/>
        <w:t>Этот Вопрос следует довести до сведения 1-й, 7-й и 9-й Исследовательских комиссий по радиосвязи.</w:t>
      </w:r>
    </w:p>
  </w:footnote>
  <w:footnote w:id="2">
    <w:p w:rsidR="00B417FE" w:rsidRDefault="00B417FE" w:rsidP="00B417FE">
      <w:pPr>
        <w:pStyle w:val="FootnoteText"/>
        <w:tabs>
          <w:tab w:val="left" w:pos="426"/>
        </w:tabs>
        <w:rPr>
          <w:lang w:val="ru-RU"/>
        </w:rPr>
      </w:pPr>
      <w:r>
        <w:rPr>
          <w:rStyle w:val="FootnoteReference"/>
          <w:lang w:val="ru-RU"/>
        </w:rPr>
        <w:t>**</w:t>
      </w:r>
      <w:r>
        <w:rPr>
          <w:lang w:val="ru-RU"/>
        </w:rPr>
        <w:tab/>
        <w:t>Частотный спектр выше 275 ГГц в настоящее время не распределен (см. также п.</w:t>
      </w:r>
      <w:r>
        <w:t> </w:t>
      </w:r>
      <w:r>
        <w:rPr>
          <w:lang w:val="ru-RU"/>
        </w:rPr>
        <w:t xml:space="preserve">5.565 Регламента </w:t>
      </w:r>
      <w:r>
        <w:rPr>
          <w:lang w:val="ru-RU"/>
        </w:rPr>
        <w:tab/>
        <w:t>радиосвязи).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FE" w:rsidRPr="00B417FE" w:rsidRDefault="00B417FE">
    <w:pPr>
      <w:pStyle w:val="Header"/>
      <w:rPr>
        <w:sz w:val="18"/>
        <w:szCs w:val="18"/>
      </w:rPr>
    </w:pPr>
    <w:r w:rsidRPr="00B417FE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732840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417FE">
          <w:rPr>
            <w:sz w:val="18"/>
            <w:szCs w:val="18"/>
          </w:rPr>
          <w:fldChar w:fldCharType="begin"/>
        </w:r>
        <w:r w:rsidRPr="00B417FE">
          <w:rPr>
            <w:sz w:val="18"/>
            <w:szCs w:val="18"/>
          </w:rPr>
          <w:instrText xml:space="preserve"> PAGE   \* MERGEFORMAT </w:instrText>
        </w:r>
        <w:r w:rsidRPr="00B417FE">
          <w:rPr>
            <w:sz w:val="18"/>
            <w:szCs w:val="18"/>
          </w:rPr>
          <w:fldChar w:fldCharType="separate"/>
        </w:r>
        <w:r w:rsidR="004A00BC">
          <w:rPr>
            <w:noProof/>
            <w:sz w:val="18"/>
            <w:szCs w:val="18"/>
          </w:rPr>
          <w:t>2</w:t>
        </w:r>
        <w:r w:rsidRPr="00B417FE">
          <w:rPr>
            <w:noProof/>
            <w:sz w:val="18"/>
            <w:szCs w:val="18"/>
          </w:rPr>
          <w:fldChar w:fldCharType="end"/>
        </w:r>
        <w:r w:rsidRPr="00B417FE">
          <w:rPr>
            <w:noProof/>
            <w:sz w:val="18"/>
            <w:szCs w:val="18"/>
          </w:rPr>
          <w:t xml:space="preserve"> -</w:t>
        </w:r>
      </w:sdtContent>
    </w:sdt>
  </w:p>
  <w:p w:rsidR="00B417FE" w:rsidRDefault="00B41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FE"/>
    <w:rsid w:val="004A00BC"/>
    <w:rsid w:val="00B417FE"/>
    <w:rsid w:val="00CC001C"/>
    <w:rsid w:val="00D62831"/>
    <w:rsid w:val="00D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CF282A-9F61-454F-8ECF-143B1ED2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ootnote text Char"/>
    <w:basedOn w:val="DefaultParagraphFont"/>
    <w:link w:val="FootnoteText"/>
    <w:semiHidden/>
    <w:locked/>
    <w:rsid w:val="00B417FE"/>
    <w:rPr>
      <w:rFonts w:ascii="Times New Roman" w:hAnsi="Times New Roman" w:cs="Times New Roman"/>
      <w:sz w:val="24"/>
      <w:lang w:eastAsia="en-US"/>
    </w:rPr>
  </w:style>
  <w:style w:type="paragraph" w:styleId="FootnoteText">
    <w:name w:val="footnote text"/>
    <w:aliases w:val="footnote text"/>
    <w:basedOn w:val="Normal"/>
    <w:link w:val="FootnoteTextChar"/>
    <w:semiHidden/>
    <w:unhideWhenUsed/>
    <w:rsid w:val="00B417FE"/>
    <w:pPr>
      <w:keepLines/>
      <w:tabs>
        <w:tab w:val="left" w:pos="255"/>
      </w:tabs>
      <w:ind w:left="255" w:hanging="255"/>
    </w:pPr>
    <w:rPr>
      <w:rFonts w:eastAsiaTheme="minorEastAsia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B417F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locked/>
    <w:rsid w:val="00B417FE"/>
    <w:rPr>
      <w:rFonts w:ascii="Times New Roman" w:hAnsi="Times New Roman" w:cs="Times New Roman"/>
      <w:lang w:eastAsia="en-US"/>
    </w:rPr>
  </w:style>
  <w:style w:type="paragraph" w:styleId="Header">
    <w:name w:val="header"/>
    <w:aliases w:val="encabezado"/>
    <w:basedOn w:val="Normal"/>
    <w:link w:val="HeaderChar"/>
    <w:uiPriority w:val="99"/>
    <w:unhideWhenUsed/>
    <w:rsid w:val="00B417F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Theme="minorEastAsia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B417F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B417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</w:pPr>
    <w:rPr>
      <w:b/>
      <w:b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semiHidden/>
    <w:rsid w:val="00B417FE"/>
    <w:rPr>
      <w:rFonts w:ascii="Times New Roman" w:eastAsia="Times New Roman" w:hAnsi="Times New Roman" w:cs="Times New Roman"/>
      <w:b/>
      <w:bCs/>
      <w:sz w:val="24"/>
      <w:szCs w:val="24"/>
      <w:lang w:val="ru-RU" w:eastAsia="en-US"/>
    </w:rPr>
  </w:style>
  <w:style w:type="paragraph" w:customStyle="1" w:styleId="Annexref">
    <w:name w:val="Annex_ref"/>
    <w:basedOn w:val="Normal"/>
    <w:next w:val="Normal"/>
    <w:rsid w:val="00B417FE"/>
    <w:pPr>
      <w:keepNext/>
      <w:keepLines/>
      <w:spacing w:after="280"/>
      <w:jc w:val="center"/>
    </w:pPr>
  </w:style>
  <w:style w:type="paragraph" w:customStyle="1" w:styleId="Call">
    <w:name w:val="Call"/>
    <w:basedOn w:val="Normal"/>
    <w:next w:val="Normal"/>
    <w:link w:val="CallChar"/>
    <w:rsid w:val="00B417FE"/>
    <w:pPr>
      <w:keepNext/>
      <w:keepLines/>
      <w:spacing w:before="16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B417F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Normalaftertitle">
    <w:name w:val="Normal_after_title"/>
    <w:basedOn w:val="Normal"/>
    <w:next w:val="Normal"/>
    <w:rsid w:val="00B417FE"/>
    <w:pPr>
      <w:spacing w:before="360"/>
    </w:pPr>
  </w:style>
  <w:style w:type="paragraph" w:customStyle="1" w:styleId="AnnexNotitle">
    <w:name w:val="Annex_No &amp; title"/>
    <w:basedOn w:val="Normal"/>
    <w:next w:val="Normalaftertitle"/>
    <w:rsid w:val="00B417FE"/>
    <w:pPr>
      <w:keepNext/>
      <w:keepLines/>
      <w:spacing w:before="480"/>
      <w:jc w:val="center"/>
    </w:pPr>
    <w:rPr>
      <w:b/>
      <w:sz w:val="28"/>
    </w:rPr>
  </w:style>
  <w:style w:type="character" w:styleId="FootnoteReference">
    <w:name w:val="footnote reference"/>
    <w:basedOn w:val="DefaultParagraphFont"/>
    <w:semiHidden/>
    <w:unhideWhenUsed/>
    <w:rsid w:val="00B417FE"/>
    <w:rPr>
      <w:position w:val="6"/>
      <w:sz w:val="18"/>
    </w:rPr>
  </w:style>
  <w:style w:type="paragraph" w:styleId="Footer">
    <w:name w:val="footer"/>
    <w:basedOn w:val="Normal"/>
    <w:link w:val="FooterChar"/>
    <w:uiPriority w:val="99"/>
    <w:unhideWhenUsed/>
    <w:rsid w:val="00B417F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17FE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allChar">
    <w:name w:val="Call Char"/>
    <w:basedOn w:val="DefaultParagraphFont"/>
    <w:link w:val="Call"/>
    <w:locked/>
    <w:rsid w:val="00DB5E47"/>
    <w:rPr>
      <w:rFonts w:ascii="Times New Roman" w:eastAsia="Times New Roman" w:hAnsi="Times New Roman" w:cs="Times New Roman"/>
      <w:i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2407</Characters>
  <Application>Microsoft Office Word</Application>
  <DocSecurity>0</DocSecurity>
  <Lines>20</Lines>
  <Paragraphs>5</Paragraphs>
  <ScaleCrop>false</ScaleCrop>
  <Company>ITU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4</cp:revision>
  <dcterms:created xsi:type="dcterms:W3CDTF">2015-06-18T12:40:00Z</dcterms:created>
  <dcterms:modified xsi:type="dcterms:W3CDTF">2015-08-20T12:58:00Z</dcterms:modified>
</cp:coreProperties>
</file>