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5C00" w14:textId="77777777" w:rsidR="00154D16" w:rsidRPr="00BE0427" w:rsidRDefault="00154D16" w:rsidP="00036CB6">
      <w:pPr>
        <w:pStyle w:val="QuestionNo"/>
        <w:rPr>
          <w:caps/>
          <w:w w:val="120"/>
          <w:position w:val="2"/>
          <w:sz w:val="28"/>
          <w:szCs w:val="40"/>
        </w:rPr>
      </w:pPr>
      <w:proofErr w:type="spellStart"/>
      <w:r w:rsidRPr="00BE0427">
        <w:rPr>
          <w:rFonts w:hint="cs"/>
          <w:caps/>
          <w:w w:val="120"/>
          <w:position w:val="2"/>
          <w:sz w:val="28"/>
          <w:szCs w:val="40"/>
          <w:rtl/>
        </w:rPr>
        <w:t>ال‍مسألة</w:t>
      </w:r>
      <w:proofErr w:type="spellEnd"/>
      <w:r w:rsidRPr="00BE0427">
        <w:rPr>
          <w:rFonts w:hint="cs"/>
          <w:caps/>
          <w:w w:val="120"/>
          <w:position w:val="2"/>
          <w:sz w:val="28"/>
          <w:szCs w:val="40"/>
          <w:rtl/>
        </w:rPr>
        <w:t xml:space="preserve"> </w:t>
      </w:r>
      <w:r w:rsidRPr="00BE0427">
        <w:rPr>
          <w:caps/>
          <w:w w:val="120"/>
          <w:position w:val="2"/>
          <w:sz w:val="28"/>
          <w:szCs w:val="40"/>
        </w:rPr>
        <w:t>itu-r 231-1/3</w:t>
      </w:r>
      <w:r w:rsidRPr="00BE0427">
        <w:rPr>
          <w:caps/>
          <w:w w:val="120"/>
          <w:position w:val="2"/>
          <w:sz w:val="12"/>
          <w:szCs w:val="24"/>
          <w:rtl/>
        </w:rPr>
        <w:footnoteReference w:customMarkFollows="1" w:id="1"/>
        <w:t>*</w:t>
      </w:r>
    </w:p>
    <w:p w14:paraId="2ABF695B" w14:textId="77777777" w:rsidR="00154D16" w:rsidRPr="00BE0427" w:rsidRDefault="00154D16" w:rsidP="00036CB6">
      <w:pPr>
        <w:pStyle w:val="Questiontitle"/>
        <w:spacing w:after="240"/>
        <w:rPr>
          <w:b w:val="0"/>
          <w:bCs w:val="0"/>
          <w:rtl/>
        </w:rPr>
      </w:pPr>
      <w:r w:rsidRPr="00BE0427">
        <w:rPr>
          <w:rFonts w:hint="cs"/>
          <w:rtl/>
        </w:rPr>
        <w:t xml:space="preserve">أثر الإرسالات </w:t>
      </w:r>
      <w:proofErr w:type="spellStart"/>
      <w:r w:rsidRPr="00BE0427">
        <w:rPr>
          <w:rFonts w:hint="cs"/>
          <w:rtl/>
        </w:rPr>
        <w:t>الكهرمغنطيسية</w:t>
      </w:r>
      <w:proofErr w:type="spellEnd"/>
      <w:r w:rsidRPr="00BE0427">
        <w:rPr>
          <w:rFonts w:hint="cs"/>
          <w:rtl/>
        </w:rPr>
        <w:t xml:space="preserve"> من المصادر الاصطناعية</w:t>
      </w:r>
      <w:r w:rsidRPr="00BE0427">
        <w:rPr>
          <w:rtl/>
        </w:rPr>
        <w:br/>
      </w:r>
      <w:r w:rsidRPr="00BE0427">
        <w:rPr>
          <w:rFonts w:hint="cs"/>
          <w:rtl/>
        </w:rPr>
        <w:t>على أنظمة وشبكات الاتصالات الراديوية</w:t>
      </w:r>
    </w:p>
    <w:p w14:paraId="0C399D8E" w14:textId="77777777" w:rsidR="00154D16" w:rsidRPr="00BE0427" w:rsidRDefault="00154D16" w:rsidP="00036CB6">
      <w:pPr>
        <w:spacing w:before="240"/>
        <w:jc w:val="right"/>
      </w:pPr>
      <w:r w:rsidRPr="00BE0427">
        <w:t>(2015-2007)</w:t>
      </w:r>
    </w:p>
    <w:p w14:paraId="195E0DBB" w14:textId="77777777" w:rsidR="00154D16" w:rsidRPr="00BE0427" w:rsidRDefault="00154D16" w:rsidP="00036CB6">
      <w:pPr>
        <w:pStyle w:val="Normalaftertitle"/>
        <w:rPr>
          <w:rFonts w:ascii="Calibri" w:hAnsi="Calibri"/>
          <w:rtl/>
          <w:lang w:bidi="ar-EG"/>
        </w:rPr>
      </w:pPr>
      <w:r w:rsidRPr="00BE0427">
        <w:rPr>
          <w:rFonts w:ascii="Calibri" w:hAnsi="Calibri" w:hint="cs"/>
          <w:rtl/>
          <w:lang w:bidi="ar-EG"/>
        </w:rPr>
        <w:t>إن جمعية الاتصالات الراديوية للاتحاد الدولي للاتصالات،</w:t>
      </w:r>
    </w:p>
    <w:p w14:paraId="48417ACD" w14:textId="77777777" w:rsidR="00154D16" w:rsidRPr="00BE0427" w:rsidRDefault="00154D16" w:rsidP="00036CB6">
      <w:pPr>
        <w:pStyle w:val="Call"/>
        <w:rPr>
          <w:i w:val="0"/>
          <w:iCs w:val="0"/>
          <w:rtl/>
        </w:rPr>
      </w:pPr>
      <w:r w:rsidRPr="00BE0427">
        <w:rPr>
          <w:rFonts w:hint="cs"/>
          <w:i w:val="0"/>
          <w:rtl/>
        </w:rPr>
        <w:t>إذ تضع في اعتبارها</w:t>
      </w:r>
    </w:p>
    <w:p w14:paraId="1310E956" w14:textId="77777777" w:rsidR="00154D16" w:rsidRPr="00BE0427" w:rsidRDefault="00154D16" w:rsidP="00036CB6">
      <w:pPr>
        <w:rPr>
          <w:position w:val="2"/>
          <w:rtl/>
        </w:rPr>
      </w:pPr>
      <w:r w:rsidRPr="00BE0427">
        <w:rPr>
          <w:rFonts w:hint="cs"/>
          <w:position w:val="2"/>
          <w:rtl/>
        </w:rPr>
        <w:t xml:space="preserve"> </w:t>
      </w:r>
      <w:proofErr w:type="gramStart"/>
      <w:r w:rsidRPr="00BE0427">
        <w:rPr>
          <w:rFonts w:hint="cs"/>
          <w:i/>
          <w:iCs/>
          <w:position w:val="2"/>
          <w:rtl/>
        </w:rPr>
        <w:t>أ )</w:t>
      </w:r>
      <w:proofErr w:type="gramEnd"/>
      <w:r w:rsidRPr="00BE0427">
        <w:rPr>
          <w:rFonts w:hint="cs"/>
          <w:position w:val="2"/>
          <w:rtl/>
        </w:rPr>
        <w:tab/>
        <w:t xml:space="preserve">أن الإرسالات </w:t>
      </w:r>
      <w:proofErr w:type="spellStart"/>
      <w:r w:rsidRPr="00BE0427">
        <w:rPr>
          <w:rFonts w:hint="cs"/>
          <w:position w:val="2"/>
          <w:rtl/>
        </w:rPr>
        <w:t>الكهرمغنطيسية</w:t>
      </w:r>
      <w:proofErr w:type="spellEnd"/>
      <w:r w:rsidRPr="00BE0427">
        <w:rPr>
          <w:rFonts w:hint="cs"/>
          <w:position w:val="2"/>
          <w:rtl/>
        </w:rPr>
        <w:t xml:space="preserve"> تحدث من مصادر اصطناعية شديدة التنوّع، مثل أنظمة الإشعال في آلات الاحتراق الداخلي والآلات الكهربائية والمعدات والأجهزة الإلكترونية ومعدات تكنولوجيا المعلومات والاتصالات ومعدات الاتصالات وما</w:t>
      </w:r>
      <w:r w:rsidRPr="00BE0427">
        <w:rPr>
          <w:rFonts w:hint="eastAsia"/>
          <w:position w:val="2"/>
          <w:rtl/>
        </w:rPr>
        <w:t> </w:t>
      </w:r>
      <w:r w:rsidRPr="00BE0427">
        <w:rPr>
          <w:rFonts w:hint="cs"/>
          <w:position w:val="2"/>
          <w:rtl/>
        </w:rPr>
        <w:t>إلى</w:t>
      </w:r>
      <w:r w:rsidRPr="00BE0427">
        <w:rPr>
          <w:rFonts w:hint="eastAsia"/>
          <w:position w:val="2"/>
          <w:rtl/>
        </w:rPr>
        <w:t> </w:t>
      </w:r>
      <w:r w:rsidRPr="00BE0427">
        <w:rPr>
          <w:rFonts w:hint="cs"/>
          <w:position w:val="2"/>
          <w:rtl/>
        </w:rPr>
        <w:t>ذلك؛</w:t>
      </w:r>
    </w:p>
    <w:p w14:paraId="0AD43A13" w14:textId="77777777" w:rsidR="00154D16" w:rsidRPr="00BE0427" w:rsidRDefault="00154D16" w:rsidP="00036CB6">
      <w:pPr>
        <w:rPr>
          <w:position w:val="2"/>
          <w:rtl/>
        </w:rPr>
      </w:pPr>
      <w:r w:rsidRPr="00BE0427">
        <w:rPr>
          <w:rFonts w:hint="cs"/>
          <w:i/>
          <w:iCs/>
          <w:position w:val="2"/>
          <w:rtl/>
        </w:rPr>
        <w:t>ب)</w:t>
      </w:r>
      <w:r w:rsidRPr="00BE0427">
        <w:rPr>
          <w:rFonts w:hint="cs"/>
          <w:position w:val="2"/>
          <w:rtl/>
        </w:rPr>
        <w:tab/>
        <w:t>أن استقبال مثل هذه الإرسالات قد يؤثر على أداء أنظمة وشبكات الاتصالات الراديوية؛</w:t>
      </w:r>
    </w:p>
    <w:p w14:paraId="0AC4965D" w14:textId="77777777" w:rsidR="00154D16" w:rsidRPr="00BE0427" w:rsidRDefault="00154D16" w:rsidP="00036CB6">
      <w:pPr>
        <w:rPr>
          <w:position w:val="2"/>
          <w:rtl/>
          <w:lang w:val="fr-FR"/>
        </w:rPr>
      </w:pPr>
      <w:r w:rsidRPr="00BE0427">
        <w:rPr>
          <w:rFonts w:hint="cs"/>
          <w:i/>
          <w:iCs/>
          <w:position w:val="2"/>
          <w:rtl/>
        </w:rPr>
        <w:t>ج)</w:t>
      </w:r>
      <w:r w:rsidRPr="00BE0427">
        <w:rPr>
          <w:rFonts w:hint="cs"/>
          <w:position w:val="2"/>
          <w:rtl/>
        </w:rPr>
        <w:tab/>
        <w:t xml:space="preserve">أن المعلومات عن الضوضاء الاصطناعية في التوصية </w:t>
      </w:r>
      <w:r w:rsidRPr="00BE0427">
        <w:rPr>
          <w:position w:val="2"/>
          <w:lang w:val="fr-FR"/>
        </w:rPr>
        <w:t>ITU-R P.372</w:t>
      </w:r>
      <w:r w:rsidRPr="00BE0427">
        <w:rPr>
          <w:rFonts w:hint="cs"/>
          <w:position w:val="2"/>
          <w:rtl/>
          <w:lang w:val="fr-FR"/>
        </w:rPr>
        <w:t xml:space="preserve"> تتعلق بمجمل الضوضاء من جميع المصادر الاصطناعية في البيئات النمطية ولا توفر معلومات عن الإرسالات المستقبَلة من مصادر فردية أو مصادر يمكن استبانتها؛</w:t>
      </w:r>
    </w:p>
    <w:p w14:paraId="32C92EC0" w14:textId="77777777" w:rsidR="00154D16" w:rsidRPr="00BE0427" w:rsidRDefault="00154D16" w:rsidP="00036CB6">
      <w:pPr>
        <w:rPr>
          <w:position w:val="2"/>
          <w:rtl/>
          <w:lang w:val="fr-FR"/>
        </w:rPr>
      </w:pPr>
      <w:proofErr w:type="gramStart"/>
      <w:r w:rsidRPr="00BE0427">
        <w:rPr>
          <w:rFonts w:hint="cs"/>
          <w:i/>
          <w:iCs/>
          <w:position w:val="2"/>
          <w:rtl/>
          <w:lang w:val="fr-FR"/>
        </w:rPr>
        <w:t>د )</w:t>
      </w:r>
      <w:proofErr w:type="gramEnd"/>
      <w:r w:rsidRPr="00BE0427">
        <w:rPr>
          <w:rFonts w:hint="cs"/>
          <w:position w:val="2"/>
          <w:rtl/>
          <w:lang w:val="fr-FR"/>
        </w:rPr>
        <w:tab/>
        <w:t xml:space="preserve">أن هذه الإرسالات قد تكون ذات طبيعة </w:t>
      </w:r>
      <w:proofErr w:type="spellStart"/>
      <w:r w:rsidRPr="00BE0427">
        <w:rPr>
          <w:rFonts w:hint="cs"/>
          <w:position w:val="2"/>
          <w:rtl/>
          <w:lang w:val="fr-FR"/>
        </w:rPr>
        <w:t>نبضية</w:t>
      </w:r>
      <w:proofErr w:type="spellEnd"/>
      <w:r w:rsidRPr="00BE0427">
        <w:rPr>
          <w:rFonts w:hint="cs"/>
          <w:position w:val="2"/>
          <w:rtl/>
          <w:lang w:val="fr-FR"/>
        </w:rPr>
        <w:t xml:space="preserve"> ولا</w:t>
      </w:r>
      <w:r>
        <w:rPr>
          <w:rFonts w:hint="eastAsia"/>
          <w:position w:val="2"/>
          <w:rtl/>
          <w:lang w:val="fr-FR"/>
        </w:rPr>
        <w:t> </w:t>
      </w:r>
      <w:r w:rsidRPr="00BE0427">
        <w:rPr>
          <w:rFonts w:hint="cs"/>
          <w:position w:val="2"/>
          <w:rtl/>
          <w:lang w:val="fr-FR"/>
        </w:rPr>
        <w:t>يمكن وصفها على نحو كاف بدلالة عامل ضوضاء خارجي؛</w:t>
      </w:r>
    </w:p>
    <w:p w14:paraId="6B1341BB" w14:textId="77777777" w:rsidR="00154D16" w:rsidRPr="00BE0427" w:rsidRDefault="00154D16" w:rsidP="00036CB6">
      <w:pPr>
        <w:rPr>
          <w:position w:val="2"/>
          <w:rtl/>
          <w:lang w:val="fr-FR"/>
        </w:rPr>
      </w:pPr>
      <w:proofErr w:type="gramStart"/>
      <w:r w:rsidRPr="00BE0427">
        <w:rPr>
          <w:rFonts w:hint="cs"/>
          <w:i/>
          <w:iCs/>
          <w:position w:val="2"/>
          <w:rtl/>
          <w:lang w:val="fr-FR"/>
        </w:rPr>
        <w:t>ﻫ )</w:t>
      </w:r>
      <w:proofErr w:type="gramEnd"/>
      <w:r w:rsidRPr="00BE0427">
        <w:rPr>
          <w:rFonts w:hint="cs"/>
          <w:position w:val="2"/>
          <w:rtl/>
          <w:lang w:val="fr-FR"/>
        </w:rPr>
        <w:tab/>
        <w:t>أن الإرسالات من المصادر الفردية قد تزداد أهميتها فيما يتعلق بتحديد أداء الأنظمة والشبكات الراديوية،</w:t>
      </w:r>
    </w:p>
    <w:p w14:paraId="5CCD95CC" w14:textId="77777777" w:rsidR="00154D16" w:rsidRPr="0049043B" w:rsidRDefault="00154D16" w:rsidP="00036CB6">
      <w:pPr>
        <w:pStyle w:val="Call"/>
        <w:rPr>
          <w:rtl/>
          <w:lang w:val="fr-FR"/>
        </w:rPr>
      </w:pPr>
      <w:r w:rsidRPr="00BE0427">
        <w:rPr>
          <w:rFonts w:hint="cs"/>
          <w:i w:val="0"/>
          <w:rtl/>
        </w:rPr>
        <w:t>تقـرر</w:t>
      </w:r>
      <w:r w:rsidRPr="00BE0427">
        <w:rPr>
          <w:rFonts w:hint="cs"/>
          <w:rtl/>
          <w:lang w:val="fr-FR"/>
        </w:rPr>
        <w:t xml:space="preserve"> دراسة المسألة التالية</w:t>
      </w:r>
    </w:p>
    <w:p w14:paraId="55F89E7B" w14:textId="77777777" w:rsidR="00154D16" w:rsidRPr="00BE0427" w:rsidRDefault="00154D16" w:rsidP="00036CB6">
      <w:pPr>
        <w:rPr>
          <w:position w:val="2"/>
          <w:rtl/>
          <w:lang w:val="fr-FR"/>
        </w:rPr>
      </w:pPr>
      <w:r w:rsidRPr="00BE0427">
        <w:rPr>
          <w:rFonts w:hint="cs"/>
          <w:position w:val="2"/>
          <w:rtl/>
          <w:lang w:val="fr-FR"/>
        </w:rPr>
        <w:t>كيف يمكن وصف وقياس توزيع الإشعاع المنبعث من فرادى المصادر؟</w:t>
      </w:r>
    </w:p>
    <w:p w14:paraId="3DE4B9B0" w14:textId="77777777" w:rsidR="00154D16" w:rsidRPr="00BE0427" w:rsidRDefault="00154D16" w:rsidP="00036CB6">
      <w:pPr>
        <w:pStyle w:val="Call"/>
        <w:rPr>
          <w:i w:val="0"/>
          <w:iCs w:val="0"/>
          <w:rtl/>
        </w:rPr>
      </w:pPr>
      <w:r w:rsidRPr="00BE0427">
        <w:rPr>
          <w:rFonts w:hint="cs"/>
          <w:i w:val="0"/>
          <w:rtl/>
        </w:rPr>
        <w:t>تقرر كذلك</w:t>
      </w:r>
    </w:p>
    <w:p w14:paraId="0AB46916" w14:textId="77777777" w:rsidR="00154D16" w:rsidRPr="00BE0427" w:rsidRDefault="00154D16" w:rsidP="00036CB6">
      <w:pPr>
        <w:rPr>
          <w:position w:val="2"/>
          <w:rtl/>
          <w:lang w:val="fr-FR"/>
        </w:rPr>
      </w:pPr>
      <w:r w:rsidRPr="00BE0427">
        <w:rPr>
          <w:position w:val="2"/>
        </w:rPr>
        <w:t>1</w:t>
      </w:r>
      <w:r w:rsidRPr="00BE0427">
        <w:rPr>
          <w:position w:val="2"/>
          <w:rtl/>
        </w:rPr>
        <w:tab/>
      </w:r>
      <w:r w:rsidRPr="00BE0427">
        <w:rPr>
          <w:rFonts w:hint="cs"/>
          <w:position w:val="2"/>
          <w:rtl/>
          <w:lang w:val="fr-FR"/>
        </w:rPr>
        <w:t>إدراج نتائج الدراسات في توصيات و/أو تقارير؛</w:t>
      </w:r>
    </w:p>
    <w:p w14:paraId="463023CB" w14:textId="73ED790C" w:rsidR="00154D16" w:rsidRPr="00BE0427" w:rsidRDefault="00154D16" w:rsidP="00036CB6">
      <w:pPr>
        <w:rPr>
          <w:position w:val="2"/>
          <w:rtl/>
          <w:lang w:val="fr-FR"/>
        </w:rPr>
      </w:pPr>
      <w:r w:rsidRPr="00BE0427">
        <w:rPr>
          <w:position w:val="2"/>
        </w:rPr>
        <w:t>2</w:t>
      </w:r>
      <w:r w:rsidRPr="00BE0427">
        <w:rPr>
          <w:position w:val="2"/>
          <w:rtl/>
        </w:rPr>
        <w:tab/>
      </w:r>
      <w:r w:rsidRPr="00BE0427">
        <w:rPr>
          <w:rFonts w:hint="cs"/>
          <w:position w:val="2"/>
          <w:rtl/>
          <w:lang w:val="fr-FR"/>
        </w:rPr>
        <w:t xml:space="preserve">أنه ينبغي الانتهاء من الدراسات المذكورة أعلاه بحلول عام </w:t>
      </w:r>
      <w:r>
        <w:rPr>
          <w:position w:val="2"/>
          <w:lang w:val="fr-FR"/>
        </w:rPr>
        <w:t>202</w:t>
      </w:r>
      <w:r w:rsidR="00127F86">
        <w:rPr>
          <w:position w:val="2"/>
          <w:lang w:val="fr-FR"/>
        </w:rPr>
        <w:t>7</w:t>
      </w:r>
      <w:r w:rsidRPr="00BE0427">
        <w:rPr>
          <w:rFonts w:hint="cs"/>
          <w:position w:val="2"/>
          <w:rtl/>
          <w:lang w:val="fr-FR"/>
        </w:rPr>
        <w:t>.</w:t>
      </w:r>
    </w:p>
    <w:p w14:paraId="3FDA026E" w14:textId="77777777" w:rsidR="00154D16" w:rsidRPr="00BE0427" w:rsidRDefault="00154D16" w:rsidP="00036CB6">
      <w:pPr>
        <w:rPr>
          <w:position w:val="2"/>
          <w:rtl/>
        </w:rPr>
      </w:pPr>
    </w:p>
    <w:p w14:paraId="299C0E14" w14:textId="77777777" w:rsidR="00154D16" w:rsidRPr="00BE0427" w:rsidRDefault="00154D16" w:rsidP="00036CB6">
      <w:pPr>
        <w:rPr>
          <w:position w:val="2"/>
          <w:rtl/>
        </w:rPr>
      </w:pPr>
      <w:r w:rsidRPr="00BE0427">
        <w:rPr>
          <w:rFonts w:hint="cs"/>
          <w:position w:val="2"/>
          <w:rtl/>
        </w:rPr>
        <w:t xml:space="preserve">الفئة: </w:t>
      </w:r>
      <w:r w:rsidRPr="00BE0427">
        <w:rPr>
          <w:position w:val="2"/>
        </w:rPr>
        <w:t>S2</w:t>
      </w:r>
    </w:p>
    <w:sectPr w:rsidR="00154D16" w:rsidRPr="00BE0427" w:rsidSect="004D4AE6">
      <w:headerReference w:type="even" r:id="rId12"/>
      <w:headerReference w:type="default" r:id="rId13"/>
      <w:footerReference w:type="defaul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65A6" w14:textId="77777777" w:rsidR="0013042F" w:rsidRDefault="0013042F" w:rsidP="002919E1">
      <w:r>
        <w:separator/>
      </w:r>
    </w:p>
    <w:p w14:paraId="17667D81" w14:textId="77777777" w:rsidR="0013042F" w:rsidRDefault="0013042F" w:rsidP="002919E1"/>
    <w:p w14:paraId="51E97C6D" w14:textId="77777777" w:rsidR="0013042F" w:rsidRDefault="0013042F" w:rsidP="002919E1"/>
    <w:p w14:paraId="05575524" w14:textId="77777777" w:rsidR="0013042F" w:rsidRDefault="0013042F"/>
  </w:endnote>
  <w:endnote w:type="continuationSeparator" w:id="0">
    <w:p w14:paraId="371BC84F" w14:textId="77777777" w:rsidR="0013042F" w:rsidRDefault="0013042F" w:rsidP="002919E1">
      <w:r>
        <w:continuationSeparator/>
      </w:r>
    </w:p>
    <w:p w14:paraId="3FE05A57" w14:textId="77777777" w:rsidR="0013042F" w:rsidRDefault="0013042F" w:rsidP="002919E1"/>
    <w:p w14:paraId="1CF68BB5" w14:textId="77777777" w:rsidR="0013042F" w:rsidRDefault="0013042F" w:rsidP="002919E1"/>
    <w:p w14:paraId="395A58E6" w14:textId="77777777" w:rsidR="0013042F" w:rsidRDefault="00130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2789" w14:textId="60696D64" w:rsidR="00281F5F" w:rsidRPr="0012545F" w:rsidRDefault="0012545F" w:rsidP="0012545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3042F">
      <w:rPr>
        <w:noProof/>
      </w:rPr>
      <w:t>Document32</w:t>
    </w:r>
    <w:r>
      <w:fldChar w:fldCharType="end"/>
    </w:r>
    <w:r w:rsidRPr="00A809E8">
      <w:t xml:space="preserve">   (</w:t>
    </w:r>
    <w:proofErr w:type="spellStart"/>
    <w:r>
      <w:t>xxxxxx</w:t>
    </w:r>
    <w:proofErr w:type="spellEnd"/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127F86">
      <w:rPr>
        <w:noProof/>
      </w:rPr>
      <w:t>16.01.24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13042F">
      <w:rPr>
        <w:noProof/>
      </w:rPr>
      <w:t>26.06.19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6668" w14:textId="77777777" w:rsidR="0013042F" w:rsidRDefault="0013042F" w:rsidP="002919E1">
      <w:r>
        <w:t>___________________</w:t>
      </w:r>
    </w:p>
  </w:footnote>
  <w:footnote w:type="continuationSeparator" w:id="0">
    <w:p w14:paraId="232ED55D" w14:textId="77777777" w:rsidR="0013042F" w:rsidRDefault="0013042F" w:rsidP="002919E1">
      <w:r>
        <w:continuationSeparator/>
      </w:r>
    </w:p>
    <w:p w14:paraId="56BC10B3" w14:textId="77777777" w:rsidR="0013042F" w:rsidRDefault="0013042F" w:rsidP="002919E1"/>
    <w:p w14:paraId="07D97A8C" w14:textId="77777777" w:rsidR="0013042F" w:rsidRDefault="0013042F" w:rsidP="002919E1"/>
    <w:p w14:paraId="3D3F0654" w14:textId="77777777" w:rsidR="0013042F" w:rsidRDefault="0013042F"/>
  </w:footnote>
  <w:footnote w:id="1">
    <w:p w14:paraId="1BA6CA59" w14:textId="77777777" w:rsidR="00154D16" w:rsidRPr="00360D1B" w:rsidRDefault="00154D16" w:rsidP="00036CB6">
      <w:pPr>
        <w:pStyle w:val="FootnoteText"/>
        <w:spacing w:line="180" w:lineRule="auto"/>
        <w:rPr>
          <w:rtl/>
        </w:rPr>
      </w:pPr>
      <w:r w:rsidRPr="00C63725">
        <w:rPr>
          <w:sz w:val="18"/>
          <w:szCs w:val="24"/>
          <w:rtl/>
        </w:rPr>
        <w:t>*</w:t>
      </w:r>
      <w:r w:rsidRPr="00360D1B">
        <w:rPr>
          <w:rtl/>
        </w:rPr>
        <w:t xml:space="preserve"> </w:t>
      </w:r>
      <w:r w:rsidRPr="00360D1B">
        <w:tab/>
      </w:r>
      <w:r w:rsidRPr="00360D1B">
        <w:rPr>
          <w:rFonts w:hint="cs"/>
          <w:rtl/>
        </w:rPr>
        <w:t xml:space="preserve">ينبغي استرعاء انتباه لجنة الدراسات </w:t>
      </w:r>
      <w:r w:rsidRPr="00360D1B">
        <w:t>1</w:t>
      </w:r>
      <w:r w:rsidRPr="00360D1B">
        <w:rPr>
          <w:rFonts w:hint="cs"/>
          <w:rtl/>
        </w:rPr>
        <w:t xml:space="preserve"> </w:t>
      </w:r>
      <w:r>
        <w:rPr>
          <w:rFonts w:hint="cs"/>
          <w:rtl/>
        </w:rPr>
        <w:t>للاتصالات</w:t>
      </w:r>
      <w:r w:rsidRPr="00360D1B">
        <w:rPr>
          <w:rFonts w:hint="cs"/>
          <w:rtl/>
        </w:rPr>
        <w:t xml:space="preserve"> الراديوية لهذه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7C77" w14:textId="77777777" w:rsidR="00281F5F" w:rsidRDefault="00281F5F" w:rsidP="002919E1"/>
  <w:p w14:paraId="3557D0CD" w14:textId="77777777" w:rsidR="00281F5F" w:rsidRDefault="00281F5F" w:rsidP="002919E1"/>
  <w:p w14:paraId="04F20DB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CDC1" w14:textId="77777777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A0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0F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4A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095327519">
    <w:abstractNumId w:val="9"/>
  </w:num>
  <w:num w:numId="2" w16cid:durableId="1957710363">
    <w:abstractNumId w:val="11"/>
  </w:num>
  <w:num w:numId="3" w16cid:durableId="129400025">
    <w:abstractNumId w:val="10"/>
  </w:num>
  <w:num w:numId="4" w16cid:durableId="1871721566">
    <w:abstractNumId w:val="12"/>
  </w:num>
  <w:num w:numId="5" w16cid:durableId="1574579131">
    <w:abstractNumId w:val="7"/>
  </w:num>
  <w:num w:numId="6" w16cid:durableId="425199710">
    <w:abstractNumId w:val="6"/>
  </w:num>
  <w:num w:numId="7" w16cid:durableId="170070656">
    <w:abstractNumId w:val="5"/>
  </w:num>
  <w:num w:numId="8" w16cid:durableId="748237220">
    <w:abstractNumId w:val="4"/>
  </w:num>
  <w:num w:numId="9" w16cid:durableId="1273903637">
    <w:abstractNumId w:val="8"/>
  </w:num>
  <w:num w:numId="10" w16cid:durableId="630864566">
    <w:abstractNumId w:val="3"/>
  </w:num>
  <w:num w:numId="11" w16cid:durableId="1664772908">
    <w:abstractNumId w:val="2"/>
  </w:num>
  <w:num w:numId="12" w16cid:durableId="1944533380">
    <w:abstractNumId w:val="1"/>
  </w:num>
  <w:num w:numId="13" w16cid:durableId="21366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2F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27F86"/>
    <w:rsid w:val="0013042F"/>
    <w:rsid w:val="00136B82"/>
    <w:rsid w:val="001464F2"/>
    <w:rsid w:val="00154D16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CB0F6"/>
  <w15:docId w15:val="{380E87EC-8F73-438E-A9EF-9DA2DDCB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qFormat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Questiontitle">
    <w:name w:val="Question_title"/>
    <w:basedOn w:val="Normal"/>
    <w:next w:val="Normal"/>
    <w:link w:val="QuestiontitleChar"/>
    <w:rsid w:val="00154D1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 w:cs="Traditional Arabic"/>
      <w:b/>
      <w:bCs/>
      <w:sz w:val="28"/>
      <w:szCs w:val="40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154D16"/>
    <w:rPr>
      <w:rFonts w:ascii="Calibri" w:hAnsi="Calibri" w:cs="Traditional Arabic"/>
      <w:b/>
      <w:bCs/>
      <w:sz w:val="28"/>
      <w:szCs w:val="40"/>
      <w:lang w:eastAsia="en-US" w:bidi="ar-EG"/>
    </w:rPr>
  </w:style>
  <w:style w:type="paragraph" w:customStyle="1" w:styleId="QuestionNo">
    <w:name w:val="Question No"/>
    <w:basedOn w:val="Normal"/>
    <w:qFormat/>
    <w:rsid w:val="00154D1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ascii="Calibri" w:eastAsiaTheme="minorEastAsia" w:hAnsi="Calibri" w:cs="Traditional Arabic"/>
      <w:sz w:val="26"/>
      <w:szCs w:val="3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1</TotalTime>
  <Pages>1</Pages>
  <Words>179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Author</cp:lastModifiedBy>
  <cp:revision>3</cp:revision>
  <cp:lastPrinted>2019-06-26T10:10:00Z</cp:lastPrinted>
  <dcterms:created xsi:type="dcterms:W3CDTF">2024-01-16T10:43:00Z</dcterms:created>
  <dcterms:modified xsi:type="dcterms:W3CDTF">2024-01-26T10:34:00Z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