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41D2" w14:textId="77777777" w:rsidR="005D1FE7" w:rsidRDefault="005D1FE7" w:rsidP="00B402C9">
      <w:pPr>
        <w:pStyle w:val="QuestionNo"/>
      </w:pPr>
      <w:r>
        <w:t>ВОПРОС 234/3 МСЭ-R</w:t>
      </w:r>
    </w:p>
    <w:p w14:paraId="60BBD414" w14:textId="77777777" w:rsidR="005D1FE7" w:rsidRDefault="005D1FE7" w:rsidP="00B402C9">
      <w:pPr>
        <w:pStyle w:val="Questiontitle"/>
      </w:pPr>
      <w:r>
        <w:t>Расчет индексов ионосферного мерцания</w:t>
      </w:r>
    </w:p>
    <w:p w14:paraId="20C3E559" w14:textId="77777777" w:rsidR="005D1FE7" w:rsidRDefault="005D1FE7" w:rsidP="00B402C9">
      <w:pPr>
        <w:pStyle w:val="Questiondate"/>
      </w:pPr>
      <w:r>
        <w:t>(2017 г.)</w:t>
      </w:r>
    </w:p>
    <w:p w14:paraId="16425842" w14:textId="77777777" w:rsidR="005D1FE7" w:rsidRDefault="005D1FE7" w:rsidP="00AF6942">
      <w:pPr>
        <w:pStyle w:val="Normalaftertitle0"/>
        <w:jc w:val="both"/>
      </w:pPr>
      <w:r>
        <w:t>Ассамблея радиосвязи МСЭ,</w:t>
      </w:r>
    </w:p>
    <w:p w14:paraId="0A40960D" w14:textId="77777777" w:rsidR="005D1FE7" w:rsidRDefault="005D1FE7" w:rsidP="00AF6942">
      <w:pPr>
        <w:pStyle w:val="Call"/>
        <w:jc w:val="both"/>
      </w:pPr>
      <w:r>
        <w:t>учитыва</w:t>
      </w:r>
      <w:r>
        <w:rPr>
          <w:i w:val="0"/>
          <w:iCs/>
        </w:rPr>
        <w:t>я,</w:t>
      </w:r>
    </w:p>
    <w:p w14:paraId="6AC91B6E" w14:textId="77777777" w:rsidR="005D1FE7" w:rsidRDefault="005D1FE7" w:rsidP="00AF6942">
      <w:pPr>
        <w:jc w:val="both"/>
      </w:pPr>
      <w:r>
        <w:rPr>
          <w:i/>
          <w:iCs/>
          <w:lang w:val="en-US"/>
        </w:rPr>
        <w:t>a</w:t>
      </w:r>
      <w:r>
        <w:rPr>
          <w:i/>
          <w:iCs/>
        </w:rPr>
        <w:t>)</w:t>
      </w:r>
      <w:r>
        <w:tab/>
        <w:t>что в случае некоторых систем с улучшенными характеристиками, использующих спутники, следует учитывать влияние ионосферного мерцания в сигналах на частотах до 3 ГГц, и это явление может временами наблюдаться на частотах до 10 ГГц;</w:t>
      </w:r>
    </w:p>
    <w:p w14:paraId="402E3955" w14:textId="77777777" w:rsidR="005D1FE7" w:rsidRDefault="005D1FE7" w:rsidP="00AF6942">
      <w:pPr>
        <w:jc w:val="both"/>
      </w:pPr>
      <w:r>
        <w:rPr>
          <w:i/>
          <w:iCs/>
        </w:rPr>
        <w:t>b)</w:t>
      </w:r>
      <w:r>
        <w:tab/>
        <w:t>что различные спутниковые системы, включая подвижные и радионавигационные спутниковые службы, используют негеостационарные спутниковые сети;</w:t>
      </w:r>
    </w:p>
    <w:p w14:paraId="485A3AC9" w14:textId="77777777" w:rsidR="005D1FE7" w:rsidRDefault="005D1FE7" w:rsidP="00AF6942">
      <w:pPr>
        <w:jc w:val="both"/>
        <w:rPr>
          <w:rFonts w:cstheme="majorBidi"/>
        </w:rPr>
      </w:pPr>
      <w:r>
        <w:rPr>
          <w:rFonts w:cstheme="majorBidi"/>
          <w:i/>
          <w:iCs/>
          <w:lang w:val="en-US"/>
        </w:rPr>
        <w:t>c</w:t>
      </w:r>
      <w:r>
        <w:rPr>
          <w:rFonts w:cstheme="majorBidi"/>
          <w:i/>
          <w:iCs/>
        </w:rPr>
        <w:t>)</w:t>
      </w:r>
      <w:r>
        <w:rPr>
          <w:rFonts w:cstheme="majorBidi"/>
        </w:rPr>
        <w:tab/>
        <w:t>что в случае возникновения мерцания наблюдаются быстрые флуктуации амплитуды и фазы, а также изменения свойств временной когерентности сигнала;</w:t>
      </w:r>
    </w:p>
    <w:p w14:paraId="488E00BE" w14:textId="77777777" w:rsidR="005D1FE7" w:rsidRDefault="005D1FE7" w:rsidP="00AF6942">
      <w:pPr>
        <w:jc w:val="both"/>
        <w:rPr>
          <w:rFonts w:cstheme="majorBidi"/>
        </w:rPr>
      </w:pPr>
      <w:r>
        <w:rPr>
          <w:rFonts w:cstheme="majorBidi"/>
          <w:i/>
          <w:iCs/>
          <w:lang w:val="en-US"/>
        </w:rPr>
        <w:t>d</w:t>
      </w:r>
      <w:r>
        <w:rPr>
          <w:rFonts w:cstheme="majorBidi"/>
          <w:i/>
          <w:iCs/>
        </w:rPr>
        <w:t>)</w:t>
      </w:r>
      <w:r>
        <w:rPr>
          <w:rFonts w:cstheme="majorBidi"/>
        </w:rPr>
        <w:tab/>
        <w:t>что в случае радионавигационных спутниковых служб мерцание может вызывать проскальзывание цикла и ухудшать точность определения местоположения, а при сильном мерцании может происходить полная потеря захвата сигнала,</w:t>
      </w:r>
    </w:p>
    <w:p w14:paraId="0ABF5D0E" w14:textId="77777777" w:rsidR="005D1FE7" w:rsidRDefault="005D1FE7" w:rsidP="00AF6942">
      <w:pPr>
        <w:pStyle w:val="Call"/>
        <w:jc w:val="both"/>
        <w:rPr>
          <w:i w:val="0"/>
          <w:iCs/>
        </w:rPr>
      </w:pPr>
      <w:r>
        <w:t>решает</w:t>
      </w:r>
      <w:r>
        <w:rPr>
          <w:i w:val="0"/>
          <w:iCs/>
        </w:rPr>
        <w:t>, что следует изучить следующий Вопрос:</w:t>
      </w:r>
    </w:p>
    <w:p w14:paraId="6A61A85E" w14:textId="77777777" w:rsidR="005D1FE7" w:rsidRDefault="005D1FE7" w:rsidP="00AF6942">
      <w:pPr>
        <w:jc w:val="both"/>
        <w:rPr>
          <w:rFonts w:ascii="Calibri" w:hAnsi="Calibri" w:cstheme="majorBidi"/>
        </w:rPr>
      </w:pPr>
      <w:r>
        <w:rPr>
          <w:rFonts w:ascii="Calibri" w:hAnsi="Calibri" w:cstheme="majorBidi"/>
        </w:rPr>
        <w:t xml:space="preserve">Какое влияние при расчете ионосферных индексов </w:t>
      </w:r>
      <w:r>
        <w:rPr>
          <w:rFonts w:ascii="Calibri" w:hAnsi="Calibri" w:cstheme="majorBidi"/>
          <w:lang w:val="en-US"/>
        </w:rPr>
        <w:t>S</w:t>
      </w:r>
      <w:r>
        <w:rPr>
          <w:rFonts w:ascii="Calibri" w:hAnsi="Calibri" w:cstheme="majorBidi"/>
        </w:rPr>
        <w:t xml:space="preserve">4 и </w:t>
      </w:r>
      <w:proofErr w:type="spellStart"/>
      <w:r>
        <w:rPr>
          <w:rFonts w:ascii="Calibri" w:hAnsi="Calibri" w:cstheme="majorBidi"/>
        </w:rPr>
        <w:t>σ</w:t>
      </w:r>
      <w:r>
        <w:rPr>
          <w:rFonts w:asciiTheme="majorBidi" w:hAnsiTheme="majorBidi" w:cstheme="majorBidi"/>
          <w:vertAlign w:val="subscript"/>
        </w:rPr>
        <w:t>φ</w:t>
      </w:r>
      <w:proofErr w:type="spellEnd"/>
      <w:r>
        <w:rPr>
          <w:rFonts w:ascii="Calibri" w:hAnsi="Calibri" w:cstheme="majorBidi"/>
        </w:rPr>
        <w:t xml:space="preserve"> оказывают следующие факторы:</w:t>
      </w:r>
    </w:p>
    <w:p w14:paraId="3F850686" w14:textId="77777777" w:rsidR="005D1FE7" w:rsidRDefault="005D1FE7" w:rsidP="00AF6942">
      <w:pPr>
        <w:pStyle w:val="enumlev1"/>
        <w:jc w:val="both"/>
        <w:rPr>
          <w:rFonts w:ascii="Calibri" w:hAnsi="Calibri" w:cstheme="majorBidi"/>
        </w:rPr>
      </w:pPr>
      <w:r>
        <w:rPr>
          <w:rFonts w:ascii="Calibri" w:hAnsi="Calibri" w:cstheme="majorBidi"/>
        </w:rPr>
        <w:t>–</w:t>
      </w:r>
      <w:r>
        <w:rPr>
          <w:rFonts w:ascii="Calibri" w:hAnsi="Calibri" w:cstheme="majorBidi"/>
        </w:rPr>
        <w:tab/>
        <w:t>процедура исключения тренда;</w:t>
      </w:r>
    </w:p>
    <w:p w14:paraId="6D581D7E" w14:textId="77777777" w:rsidR="005D1FE7" w:rsidRDefault="005D1FE7" w:rsidP="00AF6942">
      <w:pPr>
        <w:pStyle w:val="enumlev1"/>
        <w:jc w:val="both"/>
        <w:rPr>
          <w:rFonts w:ascii="Calibri" w:hAnsi="Calibri" w:cstheme="majorBidi"/>
        </w:rPr>
      </w:pPr>
      <w:r>
        <w:rPr>
          <w:rFonts w:ascii="Calibri" w:hAnsi="Calibri" w:cstheme="majorBidi"/>
        </w:rPr>
        <w:t>–</w:t>
      </w:r>
      <w:r>
        <w:rPr>
          <w:rFonts w:ascii="Calibri" w:hAnsi="Calibri" w:cstheme="majorBidi"/>
        </w:rPr>
        <w:tab/>
        <w:t>граничные частоты спектральной плотности мощности сигнала;</w:t>
      </w:r>
    </w:p>
    <w:p w14:paraId="68704A4E" w14:textId="77777777" w:rsidR="005D1FE7" w:rsidRDefault="005D1FE7" w:rsidP="00AF6942">
      <w:pPr>
        <w:pStyle w:val="enumlev1"/>
        <w:jc w:val="both"/>
        <w:rPr>
          <w:rFonts w:ascii="Calibri" w:hAnsi="Calibri" w:cstheme="majorBidi"/>
        </w:rPr>
      </w:pPr>
      <w:r>
        <w:rPr>
          <w:rFonts w:ascii="Calibri" w:hAnsi="Calibri" w:cstheme="majorBidi"/>
        </w:rPr>
        <w:t>–</w:t>
      </w:r>
      <w:r>
        <w:rPr>
          <w:rFonts w:ascii="Calibri" w:hAnsi="Calibri" w:cstheme="majorBidi"/>
        </w:rPr>
        <w:tab/>
        <w:t>частота дискретизации спектральной плотности мощности сигнала;</w:t>
      </w:r>
    </w:p>
    <w:p w14:paraId="36DF82F4" w14:textId="77777777" w:rsidR="005D1FE7" w:rsidRDefault="005D1FE7" w:rsidP="00AF6942">
      <w:pPr>
        <w:pStyle w:val="enumlev1"/>
        <w:jc w:val="both"/>
        <w:rPr>
          <w:rFonts w:ascii="Calibri" w:hAnsi="Calibri" w:cstheme="majorBidi"/>
        </w:rPr>
      </w:pPr>
      <w:r>
        <w:rPr>
          <w:rFonts w:ascii="Calibri" w:hAnsi="Calibri" w:cstheme="majorBidi"/>
        </w:rPr>
        <w:t>–</w:t>
      </w:r>
      <w:r>
        <w:rPr>
          <w:rFonts w:ascii="Calibri" w:hAnsi="Calibri" w:cstheme="majorBidi"/>
        </w:rPr>
        <w:tab/>
        <w:t>длительность сигнала;</w:t>
      </w:r>
    </w:p>
    <w:p w14:paraId="37AFA4B5" w14:textId="77777777" w:rsidR="005D1FE7" w:rsidRDefault="005D1FE7" w:rsidP="00AF6942">
      <w:pPr>
        <w:pStyle w:val="enumlev1"/>
        <w:jc w:val="both"/>
        <w:rPr>
          <w:rFonts w:ascii="Calibri" w:hAnsi="Calibri" w:cstheme="majorBidi"/>
        </w:rPr>
      </w:pPr>
      <w:r>
        <w:rPr>
          <w:rFonts w:ascii="Calibri" w:hAnsi="Calibri" w:cstheme="majorBidi"/>
        </w:rPr>
        <w:t>–</w:t>
      </w:r>
      <w:r>
        <w:rPr>
          <w:rFonts w:ascii="Calibri" w:hAnsi="Calibri" w:cstheme="majorBidi"/>
        </w:rPr>
        <w:tab/>
        <w:t xml:space="preserve">приемник </w:t>
      </w:r>
      <w:proofErr w:type="spellStart"/>
      <w:r>
        <w:rPr>
          <w:rFonts w:ascii="Calibri" w:hAnsi="Calibri" w:cstheme="majorBidi"/>
        </w:rPr>
        <w:t>ГНСС</w:t>
      </w:r>
      <w:proofErr w:type="spellEnd"/>
      <w:r>
        <w:rPr>
          <w:rFonts w:ascii="Calibri" w:hAnsi="Calibri" w:cstheme="majorBidi"/>
        </w:rPr>
        <w:t>,</w:t>
      </w:r>
    </w:p>
    <w:p w14:paraId="684E73F7" w14:textId="77777777" w:rsidR="005D1FE7" w:rsidRDefault="005D1FE7" w:rsidP="00AF6942">
      <w:pPr>
        <w:pStyle w:val="Call"/>
        <w:jc w:val="both"/>
        <w:rPr>
          <w:i w:val="0"/>
          <w:iCs/>
        </w:rPr>
      </w:pPr>
      <w:r>
        <w:t>далее решает</w:t>
      </w:r>
      <w:r>
        <w:rPr>
          <w:i w:val="0"/>
          <w:iCs/>
        </w:rPr>
        <w:t>,</w:t>
      </w:r>
    </w:p>
    <w:p w14:paraId="24C3BE1F" w14:textId="77777777" w:rsidR="005D1FE7" w:rsidRDefault="005D1FE7" w:rsidP="00AF6942">
      <w:pPr>
        <w:jc w:val="both"/>
      </w:pPr>
      <w:r>
        <w:rPr>
          <w:bCs/>
        </w:rPr>
        <w:t>1</w:t>
      </w:r>
      <w:r>
        <w:tab/>
        <w:t>что на основе имеющейся информации следует подготовить новые Рекомендации или пересмотры существующих Рекомендаций;</w:t>
      </w:r>
    </w:p>
    <w:p w14:paraId="04617A9D" w14:textId="6A5E79B2" w:rsidR="005D1FE7" w:rsidRDefault="005D1FE7" w:rsidP="00AF6942">
      <w:pPr>
        <w:jc w:val="both"/>
      </w:pPr>
      <w:r>
        <w:rPr>
          <w:bCs/>
        </w:rPr>
        <w:t>2</w:t>
      </w:r>
      <w:r>
        <w:tab/>
        <w:t>что вышеуказанные исследования следует завершить к 20</w:t>
      </w:r>
      <w:r w:rsidRPr="005D1FE7">
        <w:t>2</w:t>
      </w:r>
      <w:bookmarkStart w:id="0" w:name="_GoBack"/>
      <w:bookmarkEnd w:id="0"/>
      <w:r w:rsidR="00757C38" w:rsidRPr="00757C38">
        <w:t>7</w:t>
      </w:r>
      <w:r>
        <w:t> году.</w:t>
      </w:r>
    </w:p>
    <w:p w14:paraId="2AA99A39" w14:textId="77777777" w:rsidR="005D1FE7" w:rsidRDefault="005D1FE7" w:rsidP="00AF6942">
      <w:pPr>
        <w:spacing w:before="240"/>
        <w:jc w:val="both"/>
      </w:pPr>
      <w:r>
        <w:t xml:space="preserve">Категория: </w:t>
      </w:r>
      <w:proofErr w:type="spellStart"/>
      <w:r>
        <w:t>S3</w:t>
      </w:r>
      <w:proofErr w:type="spellEnd"/>
    </w:p>
    <w:p w14:paraId="5E91E82D" w14:textId="77777777" w:rsidR="00D316DA" w:rsidRPr="00D316DA" w:rsidRDefault="00D316DA" w:rsidP="00D316DA">
      <w:pPr>
        <w:rPr>
          <w:lang w:val="en-US"/>
        </w:rPr>
      </w:pPr>
    </w:p>
    <w:sectPr w:rsidR="00D316DA" w:rsidRPr="00D316DA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DC8"/>
    <w:rsid w:val="00514FC8"/>
    <w:rsid w:val="00583ED3"/>
    <w:rsid w:val="005A5758"/>
    <w:rsid w:val="005D1FE7"/>
    <w:rsid w:val="005F5F47"/>
    <w:rsid w:val="00662E04"/>
    <w:rsid w:val="006A6DE7"/>
    <w:rsid w:val="006E5646"/>
    <w:rsid w:val="007067F2"/>
    <w:rsid w:val="00712141"/>
    <w:rsid w:val="00735824"/>
    <w:rsid w:val="00747E54"/>
    <w:rsid w:val="00757C38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234F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0</TotalTime>
  <Pages>1</Pages>
  <Words>172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2024-01-26T10:47:00Z</dcterms:created>
  <dcterms:modified xsi:type="dcterms:W3CDTF">2024-01-26T10:47:00Z</dcterms:modified>
</cp:coreProperties>
</file>