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56E4" w14:textId="77777777" w:rsidR="00BF2CBD" w:rsidRPr="00097A10" w:rsidRDefault="00BF2CBD" w:rsidP="005B7DD6">
      <w:pPr>
        <w:pStyle w:val="QuestionNoBR"/>
        <w:rPr>
          <w:lang w:val="en-US"/>
        </w:rPr>
      </w:pPr>
      <w:r w:rsidRPr="00097A10">
        <w:rPr>
          <w:lang w:val="en-US"/>
        </w:rPr>
        <w:t>QUESTION ITU-R 201-1/</w:t>
      </w:r>
      <w:r>
        <w:rPr>
          <w:lang w:val="en-US"/>
        </w:rPr>
        <w:t>4</w:t>
      </w:r>
      <w:r w:rsidRPr="00097A10">
        <w:rPr>
          <w:rStyle w:val="FootnoteReference"/>
          <w:lang w:val="en-US"/>
        </w:rPr>
        <w:footnoteReference w:customMarkFollows="1" w:id="1"/>
        <w:t>*</w:t>
      </w:r>
    </w:p>
    <w:p w14:paraId="3C8F2D03" w14:textId="77777777" w:rsidR="00BF2CBD" w:rsidRDefault="00BF2CBD">
      <w:pPr>
        <w:pStyle w:val="Questiontitle"/>
      </w:pPr>
      <w:r>
        <w:t>Frequency sharing between mobile-satellite services and other services</w:t>
      </w:r>
    </w:p>
    <w:p w14:paraId="5BBEB12B" w14:textId="77777777" w:rsidR="00BF2CBD" w:rsidRPr="005841FD" w:rsidRDefault="00BF2CBD">
      <w:pPr>
        <w:pStyle w:val="Questiondate"/>
        <w:spacing w:before="240"/>
      </w:pPr>
      <w:r w:rsidRPr="005841FD">
        <w:t>(1993-2003)</w:t>
      </w:r>
    </w:p>
    <w:p w14:paraId="3D9F99BC" w14:textId="77777777" w:rsidR="00BF2CBD" w:rsidRDefault="00BF2CBD" w:rsidP="00FF79AD">
      <w:pPr>
        <w:pStyle w:val="Normalaftertitle0"/>
        <w:spacing w:before="0"/>
        <w:jc w:val="both"/>
      </w:pPr>
      <w:r>
        <w:t>The ITU Radiocommunication Assembly,</w:t>
      </w:r>
    </w:p>
    <w:p w14:paraId="2ED99658" w14:textId="77777777" w:rsidR="00BF2CBD" w:rsidRDefault="00BF2CBD" w:rsidP="00FF79AD">
      <w:pPr>
        <w:pStyle w:val="Call"/>
        <w:jc w:val="both"/>
      </w:pPr>
      <w:r>
        <w:t>considering</w:t>
      </w:r>
    </w:p>
    <w:p w14:paraId="6C6967A9" w14:textId="77777777" w:rsidR="00BF2CBD" w:rsidRDefault="00BF2CBD" w:rsidP="00FF79AD">
      <w:pPr>
        <w:jc w:val="both"/>
      </w:pPr>
      <w:r w:rsidRPr="000A2D1D">
        <w:rPr>
          <w:i/>
          <w:iCs/>
        </w:rPr>
        <w:t>a)</w:t>
      </w:r>
      <w:r>
        <w:tab/>
        <w:t>that there are frequency bands allocated to the mobile-satellite service (MSS) on a shared co-primary basis with other space and terrestrial services;</w:t>
      </w:r>
    </w:p>
    <w:p w14:paraId="22BAB95B" w14:textId="77777777" w:rsidR="00BF2CBD" w:rsidRDefault="00BF2CBD" w:rsidP="00FF79AD">
      <w:pPr>
        <w:jc w:val="both"/>
      </w:pPr>
      <w:r w:rsidRPr="000A2D1D">
        <w:rPr>
          <w:i/>
          <w:iCs/>
        </w:rPr>
        <w:t>b)</w:t>
      </w:r>
      <w:r>
        <w:tab/>
        <w:t>that sharing of both geostationary-satellite orbit (GSO) and non-GSO MSS systems with other services in shared spectrum allocations could be required and that the criteria and conditions for sharing between MSS and other services may be different for GSO and non-GSO MSS systems;</w:t>
      </w:r>
    </w:p>
    <w:p w14:paraId="70658E61" w14:textId="77777777" w:rsidR="00BF2CBD" w:rsidRDefault="00BF2CBD" w:rsidP="00FF79AD">
      <w:pPr>
        <w:jc w:val="both"/>
      </w:pPr>
      <w:r w:rsidRPr="000A2D1D">
        <w:rPr>
          <w:i/>
          <w:iCs/>
        </w:rPr>
        <w:t>c)</w:t>
      </w:r>
      <w:r>
        <w:tab/>
        <w:t>that the development of sharing conditions for the MSS with respect to other services would allow for coexistence of new mobile-satellite services and existing services particularly in developing countries and may minimize the need to transfer existing assignments;</w:t>
      </w:r>
    </w:p>
    <w:p w14:paraId="03141388" w14:textId="77777777" w:rsidR="00BF2CBD" w:rsidRDefault="00BF2CBD" w:rsidP="00FF79AD">
      <w:pPr>
        <w:jc w:val="both"/>
      </w:pPr>
      <w:r w:rsidRPr="000A2D1D">
        <w:rPr>
          <w:i/>
          <w:iCs/>
        </w:rPr>
        <w:t>d)</w:t>
      </w:r>
      <w:r>
        <w:tab/>
        <w:t>that efficient use of the radio-frequency spectrum would be promoted by maximizing frequency sharing by MSS and other space and terrestrial services;</w:t>
      </w:r>
    </w:p>
    <w:p w14:paraId="343DF849" w14:textId="77777777" w:rsidR="00BF2CBD" w:rsidRDefault="00BF2CBD" w:rsidP="00FF79AD">
      <w:pPr>
        <w:jc w:val="both"/>
      </w:pPr>
      <w:r w:rsidRPr="000A2D1D">
        <w:rPr>
          <w:i/>
          <w:iCs/>
        </w:rPr>
        <w:t>e)</w:t>
      </w:r>
      <w:r>
        <w:tab/>
        <w:t>that the difference in operating flux-density of MSS systems and of systems operating in adjacent frequency bands allocated to other services may result in mutual interference,</w:t>
      </w:r>
    </w:p>
    <w:p w14:paraId="486AE4FC" w14:textId="77777777" w:rsidR="00BF2CBD" w:rsidRDefault="00BF2CBD" w:rsidP="00FF79AD">
      <w:pPr>
        <w:pStyle w:val="call0"/>
        <w:tabs>
          <w:tab w:val="clear" w:pos="794"/>
        </w:tabs>
        <w:spacing w:before="240"/>
        <w:ind w:left="1134"/>
        <w:jc w:val="both"/>
      </w:pPr>
      <w:r>
        <w:t xml:space="preserve">decides </w:t>
      </w:r>
      <w:r>
        <w:rPr>
          <w:i w:val="0"/>
        </w:rPr>
        <w:t>that the following Question</w:t>
      </w:r>
      <w:r w:rsidR="002C2214">
        <w:rPr>
          <w:i w:val="0"/>
        </w:rPr>
        <w:t>s</w:t>
      </w:r>
      <w:r>
        <w:rPr>
          <w:i w:val="0"/>
        </w:rPr>
        <w:t xml:space="preserve"> should be studied</w:t>
      </w:r>
    </w:p>
    <w:p w14:paraId="47DF6792" w14:textId="77777777" w:rsidR="00BF2CBD" w:rsidRDefault="00BF2CBD" w:rsidP="00FF79AD">
      <w:pPr>
        <w:jc w:val="both"/>
      </w:pPr>
      <w:r w:rsidRPr="000A2D1D">
        <w:rPr>
          <w:bCs/>
        </w:rPr>
        <w:t>1</w:t>
      </w:r>
      <w:r>
        <w:tab/>
        <w:t>What are the suitable technical and operational means facilitating the sharing between the MSS and other services?</w:t>
      </w:r>
    </w:p>
    <w:p w14:paraId="60952594" w14:textId="77777777" w:rsidR="00BF2CBD" w:rsidRDefault="00BF2CBD" w:rsidP="00FF79AD">
      <w:pPr>
        <w:jc w:val="both"/>
      </w:pPr>
      <w:r w:rsidRPr="000A2D1D">
        <w:rPr>
          <w:bCs/>
        </w:rPr>
        <w:t>2</w:t>
      </w:r>
      <w:r>
        <w:tab/>
        <w:t xml:space="preserve">What are the appropriate criteria for sharing between the MSS and other services in the same frequency bands, including power limits, orbit avoidance limits and power flux-density limits as indicated in Articles </w:t>
      </w:r>
      <w:r w:rsidRPr="00F55878">
        <w:rPr>
          <w:b/>
          <w:bCs/>
        </w:rPr>
        <w:t>21</w:t>
      </w:r>
      <w:r>
        <w:t xml:space="preserve"> and </w:t>
      </w:r>
      <w:r w:rsidRPr="00F55878">
        <w:rPr>
          <w:b/>
          <w:bCs/>
        </w:rPr>
        <w:t>22</w:t>
      </w:r>
      <w:r>
        <w:t xml:space="preserve"> of the Radio Regulations, as well as the coordination thresholds related to Resolution </w:t>
      </w:r>
      <w:r w:rsidRPr="00F55878">
        <w:rPr>
          <w:b/>
          <w:bCs/>
        </w:rPr>
        <w:t>46 (Rev.WRC-97)</w:t>
      </w:r>
      <w:r>
        <w:t>, while placing minimum restrictions on the services operating in these bands?</w:t>
      </w:r>
    </w:p>
    <w:p w14:paraId="54CF7AED" w14:textId="77777777" w:rsidR="00BF2CBD" w:rsidRDefault="00BF2CBD" w:rsidP="00FF79AD">
      <w:pPr>
        <w:jc w:val="both"/>
      </w:pPr>
      <w:r w:rsidRPr="000A2D1D">
        <w:rPr>
          <w:bCs/>
        </w:rPr>
        <w:t>3</w:t>
      </w:r>
      <w:r>
        <w:tab/>
        <w:t>What is the impact on MSS of protection criteria associated with other services which operate in the same frequency bands as non-geostationary mobile-satellite systems?</w:t>
      </w:r>
    </w:p>
    <w:p w14:paraId="36ABBFF9" w14:textId="77777777" w:rsidR="00BF2CBD" w:rsidRDefault="00BF2CBD" w:rsidP="00FF79AD">
      <w:pPr>
        <w:jc w:val="both"/>
      </w:pPr>
      <w:r w:rsidRPr="000A2D1D">
        <w:rPr>
          <w:bCs/>
        </w:rPr>
        <w:t>4</w:t>
      </w:r>
      <w:r>
        <w:tab/>
        <w:t>What sharing techniques can be used by non-geostationary MSS systems in frequency bands shared with other services?</w:t>
      </w:r>
    </w:p>
    <w:p w14:paraId="75F0802E" w14:textId="77777777" w:rsidR="00BF2CBD" w:rsidRDefault="00BF2CBD" w:rsidP="00FF79AD">
      <w:pPr>
        <w:jc w:val="both"/>
      </w:pPr>
      <w:r w:rsidRPr="000A2D1D">
        <w:rPr>
          <w:bCs/>
        </w:rPr>
        <w:t>5</w:t>
      </w:r>
      <w:r>
        <w:tab/>
        <w:t>What are the suitable technical and operational means to avoid harmful interference between MSS systems and other systems which are operating geographically close to each other in the adjacent frequency bands?</w:t>
      </w:r>
    </w:p>
    <w:p w14:paraId="267264EA" w14:textId="77777777" w:rsidR="00BF2CBD" w:rsidRPr="002C2214" w:rsidRDefault="00BF2CBD" w:rsidP="00FF79AD">
      <w:pPr>
        <w:pStyle w:val="Call"/>
        <w:jc w:val="both"/>
      </w:pPr>
      <w:r w:rsidRPr="002C2214">
        <w:t>further decides</w:t>
      </w:r>
    </w:p>
    <w:p w14:paraId="0D9636C2" w14:textId="77777777" w:rsidR="00BF2CBD" w:rsidRDefault="00BF2CBD" w:rsidP="00FF79AD">
      <w:pPr>
        <w:jc w:val="both"/>
      </w:pPr>
      <w:r w:rsidRPr="000A2D1D">
        <w:rPr>
          <w:bCs/>
        </w:rPr>
        <w:t>1</w:t>
      </w:r>
      <w:r>
        <w:tab/>
        <w:t xml:space="preserve">that the results of the above studies should be included in </w:t>
      </w:r>
      <w:r w:rsidR="00A418DB">
        <w:t xml:space="preserve">appropriate </w:t>
      </w:r>
      <w:r w:rsidR="00A418DB" w:rsidRPr="000C4505">
        <w:t>Recommendations</w:t>
      </w:r>
      <w:r w:rsidR="00A418DB">
        <w:t xml:space="preserve"> and</w:t>
      </w:r>
      <w:r w:rsidR="00A418DB" w:rsidRPr="000C4505">
        <w:rPr>
          <w:lang w:eastAsia="ja-JP"/>
        </w:rPr>
        <w:t>/</w:t>
      </w:r>
      <w:r w:rsidR="00A418DB">
        <w:rPr>
          <w:lang w:eastAsia="ja-JP"/>
        </w:rPr>
        <w:t xml:space="preserve">or </w:t>
      </w:r>
      <w:r w:rsidR="00A418DB" w:rsidRPr="000C4505">
        <w:rPr>
          <w:lang w:eastAsia="ja-JP"/>
        </w:rPr>
        <w:t>Reports</w:t>
      </w:r>
      <w:r>
        <w:t>;</w:t>
      </w:r>
    </w:p>
    <w:p w14:paraId="56BF6A78" w14:textId="7A208496" w:rsidR="00BF2CBD" w:rsidRDefault="00BF2CBD" w:rsidP="00FF79AD">
      <w:pPr>
        <w:jc w:val="both"/>
      </w:pPr>
      <w:r w:rsidRPr="000A2D1D">
        <w:rPr>
          <w:bCs/>
        </w:rPr>
        <w:t>2</w:t>
      </w:r>
      <w:r>
        <w:tab/>
        <w:t xml:space="preserve">that the above studies should be completed by </w:t>
      </w:r>
      <w:r w:rsidR="005B215A">
        <w:t>202</w:t>
      </w:r>
      <w:r w:rsidR="005B7DD6">
        <w:t>7</w:t>
      </w:r>
      <w:r>
        <w:t>.</w:t>
      </w:r>
    </w:p>
    <w:p w14:paraId="08646E11" w14:textId="77777777" w:rsidR="00FF4DCA" w:rsidRDefault="00FF4DCA" w:rsidP="00FF79AD">
      <w:pPr>
        <w:spacing w:before="180"/>
        <w:jc w:val="both"/>
        <w:rPr>
          <w:lang w:eastAsia="ja-JP"/>
        </w:rPr>
      </w:pPr>
      <w:r w:rsidRPr="0069130A">
        <w:rPr>
          <w:lang w:eastAsia="ja-JP"/>
        </w:rPr>
        <w:t>Category: S</w:t>
      </w:r>
      <w:r>
        <w:rPr>
          <w:lang w:eastAsia="ja-JP"/>
        </w:rPr>
        <w:t>2</w:t>
      </w:r>
    </w:p>
    <w:sectPr w:rsidR="00FF4DCA" w:rsidSect="005335B4">
      <w:headerReference w:type="default" r:id="rId8"/>
      <w:footerReference w:type="default" r:id="rId9"/>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1840" w14:textId="77777777" w:rsidR="00A82CEA" w:rsidRDefault="00A82CEA">
      <w:r>
        <w:separator/>
      </w:r>
    </w:p>
  </w:endnote>
  <w:endnote w:type="continuationSeparator" w:id="0">
    <w:p w14:paraId="12BD39B2"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5B32" w14:textId="77777777"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27F1" w14:textId="77777777" w:rsidR="00A82CEA" w:rsidRDefault="00A82CEA">
      <w:r>
        <w:t>____________________</w:t>
      </w:r>
    </w:p>
  </w:footnote>
  <w:footnote w:type="continuationSeparator" w:id="0">
    <w:p w14:paraId="0CF54602" w14:textId="77777777" w:rsidR="00A82CEA" w:rsidRDefault="00A82CEA">
      <w:r>
        <w:continuationSeparator/>
      </w:r>
    </w:p>
  </w:footnote>
  <w:footnote w:id="1">
    <w:p w14:paraId="28A0E9C1" w14:textId="77777777" w:rsidR="00A82CEA" w:rsidRDefault="00A82CEA" w:rsidP="00C721B2">
      <w:pPr>
        <w:pStyle w:val="FootnoteText"/>
        <w:spacing w:before="0"/>
      </w:pPr>
      <w:r>
        <w:rPr>
          <w:rStyle w:val="FootnoteReference"/>
        </w:rPr>
        <w:t>*</w:t>
      </w:r>
      <w:r>
        <w:t xml:space="preserve"> </w:t>
      </w:r>
      <w:r>
        <w:tab/>
        <w:t>This Question should be brought to the attention of Radiocommunication Study Groups 5 and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AB43"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E1BB4">
      <w:rPr>
        <w:rStyle w:val="PageNumber"/>
        <w:noProof/>
      </w:rPr>
      <w:t>2</w:t>
    </w:r>
    <w:r>
      <w:rPr>
        <w:rStyle w:val="PageNumber"/>
      </w:rPr>
      <w:fldChar w:fldCharType="end"/>
    </w:r>
    <w:r>
      <w:rPr>
        <w:rStyle w:val="PageNumber"/>
      </w:rPr>
      <w:t xml:space="preserve"> -</w:t>
    </w:r>
  </w:p>
  <w:p w14:paraId="046E0488" w14:textId="77777777" w:rsidR="00A82CEA" w:rsidRDefault="00A82CEA">
    <w:pPr>
      <w:pStyle w:val="Header"/>
      <w:rPr>
        <w:lang w:val="en-US"/>
      </w:rPr>
    </w:pPr>
    <w:r>
      <w:rPr>
        <w:lang w:val="en-US"/>
      </w:rPr>
      <w:t>4/1-E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799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52AB6"/>
    <w:rsid w:val="00253786"/>
    <w:rsid w:val="00295A57"/>
    <w:rsid w:val="002A42EE"/>
    <w:rsid w:val="002A6A54"/>
    <w:rsid w:val="002A7FE2"/>
    <w:rsid w:val="002B6A74"/>
    <w:rsid w:val="002C2214"/>
    <w:rsid w:val="002D6CA9"/>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B215A"/>
    <w:rsid w:val="005B7DD6"/>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A63AD"/>
    <w:rsid w:val="007C3297"/>
    <w:rsid w:val="007C7AE0"/>
    <w:rsid w:val="008109FC"/>
    <w:rsid w:val="00822581"/>
    <w:rsid w:val="008309DD"/>
    <w:rsid w:val="00830C63"/>
    <w:rsid w:val="0083227A"/>
    <w:rsid w:val="00835FF2"/>
    <w:rsid w:val="008567F2"/>
    <w:rsid w:val="00866900"/>
    <w:rsid w:val="00881BA1"/>
    <w:rsid w:val="0089672A"/>
    <w:rsid w:val="008C26B8"/>
    <w:rsid w:val="008D5DD9"/>
    <w:rsid w:val="008E453D"/>
    <w:rsid w:val="00900ED3"/>
    <w:rsid w:val="00920645"/>
    <w:rsid w:val="00921F78"/>
    <w:rsid w:val="009266C6"/>
    <w:rsid w:val="009672B9"/>
    <w:rsid w:val="0097356F"/>
    <w:rsid w:val="00982084"/>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833AB"/>
    <w:rsid w:val="00A95775"/>
    <w:rsid w:val="00AA4B28"/>
    <w:rsid w:val="00AD717F"/>
    <w:rsid w:val="00AF173A"/>
    <w:rsid w:val="00B066A4"/>
    <w:rsid w:val="00B07A13"/>
    <w:rsid w:val="00B23795"/>
    <w:rsid w:val="00B3259A"/>
    <w:rsid w:val="00B41ADF"/>
    <w:rsid w:val="00B4279B"/>
    <w:rsid w:val="00B45FC9"/>
    <w:rsid w:val="00B52120"/>
    <w:rsid w:val="00B93B7D"/>
    <w:rsid w:val="00BA541C"/>
    <w:rsid w:val="00BC7CCF"/>
    <w:rsid w:val="00BD7099"/>
    <w:rsid w:val="00BE1BB4"/>
    <w:rsid w:val="00BE470B"/>
    <w:rsid w:val="00BF2CBD"/>
    <w:rsid w:val="00C01D34"/>
    <w:rsid w:val="00C414C7"/>
    <w:rsid w:val="00C43880"/>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6257C"/>
    <w:rsid w:val="00E63C59"/>
    <w:rsid w:val="00ED7630"/>
    <w:rsid w:val="00EE6D66"/>
    <w:rsid w:val="00EF04E3"/>
    <w:rsid w:val="00F55878"/>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 w:val="00FF7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16DF4"/>
  <w15:docId w15:val="{EF61E285-AFED-4C3B-BFE5-D0585878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55CF-1839-4006-ADFE-00B79EE7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Pages>
  <Words>378</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Author1</cp:lastModifiedBy>
  <cp:revision>7</cp:revision>
  <cp:lastPrinted>2012-03-08T09:44:00Z</cp:lastPrinted>
  <dcterms:created xsi:type="dcterms:W3CDTF">2012-04-26T09:22:00Z</dcterms:created>
  <dcterms:modified xsi:type="dcterms:W3CDTF">2024-01-26T15:22:00Z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