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A8A8" w14:textId="3D9D1DE3" w:rsidR="00676A5A" w:rsidRDefault="00676A5A" w:rsidP="00676A5A">
      <w:pPr>
        <w:pStyle w:val="QuestionNoBR"/>
      </w:pPr>
      <w:r>
        <w:t>CUESTIÓN uit-R 231/4</w:t>
      </w:r>
      <w:r w:rsidR="007E02FF">
        <w:rPr>
          <w:rStyle w:val="FootnoteReference"/>
        </w:rPr>
        <w:footnoteReference w:customMarkFollows="1" w:id="1"/>
        <w:t>*</w:t>
      </w:r>
    </w:p>
    <w:p w14:paraId="1FE71996" w14:textId="0284EBCA" w:rsidR="00676A5A" w:rsidRDefault="00676A5A" w:rsidP="00676A5A">
      <w:pPr>
        <w:pStyle w:val="Questiontitle"/>
      </w:pPr>
      <w:r>
        <w:t xml:space="preserve">Compartición entre </w:t>
      </w:r>
      <w:r w:rsidR="006B78F1">
        <w:t>sistemas</w:t>
      </w:r>
      <w:r>
        <w:t xml:space="preserve"> del servicio fijo por satélite que utilizan satélites</w:t>
      </w:r>
      <w:r>
        <w:br/>
        <w:t>no geoestacionarios y otras redes del servicio fijo por satélite</w:t>
      </w:r>
    </w:p>
    <w:p w14:paraId="7FCD6030" w14:textId="00CD66B3" w:rsidR="00676A5A" w:rsidRDefault="00676A5A" w:rsidP="00676A5A">
      <w:pPr>
        <w:pStyle w:val="Questiondate"/>
      </w:pPr>
      <w:r>
        <w:t>(1995)</w:t>
      </w:r>
    </w:p>
    <w:p w14:paraId="04F00355" w14:textId="77777777" w:rsidR="00676A5A" w:rsidRDefault="00676A5A" w:rsidP="00676A5A">
      <w:pPr>
        <w:pStyle w:val="Normalaftertitle0"/>
      </w:pPr>
      <w:r>
        <w:t>La Asamblea de Radiocomunicaciones de la UIT,</w:t>
      </w:r>
    </w:p>
    <w:p w14:paraId="06BC8AF4" w14:textId="77777777" w:rsidR="00676A5A" w:rsidRDefault="00676A5A" w:rsidP="00676A5A">
      <w:pPr>
        <w:pStyle w:val="Call"/>
      </w:pPr>
      <w:r>
        <w:t>considerando</w:t>
      </w:r>
    </w:p>
    <w:p w14:paraId="0A2B7987" w14:textId="218B32E2" w:rsidR="00676A5A" w:rsidRDefault="00676A5A" w:rsidP="00676A5A">
      <w:r w:rsidRPr="00676A5A">
        <w:rPr>
          <w:i/>
          <w:iCs/>
        </w:rPr>
        <w:t>a)</w:t>
      </w:r>
      <w:r>
        <w:tab/>
        <w:t xml:space="preserve">que </w:t>
      </w:r>
      <w:r w:rsidR="006B78F1">
        <w:t>se han implantado en el servicio fijo por satélite (SFS)</w:t>
      </w:r>
      <w:r>
        <w:t xml:space="preserve"> </w:t>
      </w:r>
      <w:r w:rsidR="006B78F1">
        <w:t>sistemas</w:t>
      </w:r>
      <w:r>
        <w:t xml:space="preserve"> de satélites que incluyen satélites no geoestacionarios y </w:t>
      </w:r>
      <w:r w:rsidR="006B78F1">
        <w:t>sus</w:t>
      </w:r>
      <w:r>
        <w:t xml:space="preserve"> estaciones terrenas asociadas utilizando las atribuciones de frecuencias </w:t>
      </w:r>
      <w:r w:rsidR="006B78F1">
        <w:t>pertinentes</w:t>
      </w:r>
      <w:r>
        <w:t>;</w:t>
      </w:r>
    </w:p>
    <w:p w14:paraId="33EB021D" w14:textId="77FF5013" w:rsidR="00676A5A" w:rsidRDefault="006B78F1" w:rsidP="00676A5A">
      <w:r>
        <w:rPr>
          <w:i/>
          <w:iCs/>
        </w:rPr>
        <w:t>b</w:t>
      </w:r>
      <w:r w:rsidR="00676A5A" w:rsidRPr="00676A5A">
        <w:rPr>
          <w:i/>
          <w:iCs/>
        </w:rPr>
        <w:t>)</w:t>
      </w:r>
      <w:r w:rsidR="00676A5A">
        <w:tab/>
        <w:t>que l</w:t>
      </w:r>
      <w:r>
        <w:t>o</w:t>
      </w:r>
      <w:r w:rsidR="00676A5A">
        <w:t xml:space="preserve">s </w:t>
      </w:r>
      <w:r>
        <w:t>sistemas</w:t>
      </w:r>
      <w:r w:rsidR="00676A5A">
        <w:t xml:space="preserve"> de satélite</w:t>
      </w:r>
      <w:r>
        <w:t>s</w:t>
      </w:r>
      <w:r w:rsidR="00676A5A">
        <w:t xml:space="preserve"> indicad</w:t>
      </w:r>
      <w:r>
        <w:t>o</w:t>
      </w:r>
      <w:r w:rsidR="00676A5A">
        <w:t xml:space="preserve">s en el </w:t>
      </w:r>
      <w:r w:rsidR="00676A5A">
        <w:rPr>
          <w:i/>
          <w:iCs/>
        </w:rPr>
        <w:t>considerando</w:t>
      </w:r>
      <w:r w:rsidR="00676A5A">
        <w:t> a) planten nuevas situaciones de compartición con otros sistemas del SFS que no han sido estudiadas a cabalidad;</w:t>
      </w:r>
    </w:p>
    <w:p w14:paraId="59BCCEB4" w14:textId="3068F8BA" w:rsidR="00676A5A" w:rsidRDefault="006B78F1" w:rsidP="00676A5A">
      <w:r>
        <w:rPr>
          <w:i/>
          <w:iCs/>
        </w:rPr>
        <w:t>c</w:t>
      </w:r>
      <w:r w:rsidR="00676A5A" w:rsidRPr="00676A5A">
        <w:rPr>
          <w:i/>
          <w:iCs/>
        </w:rPr>
        <w:t>)</w:t>
      </w:r>
      <w:r w:rsidR="00676A5A">
        <w:tab/>
        <w:t xml:space="preserve">que los criterios de compartición utilizados para determinar la interferencia entre redes del SFS con satélites geoestacionarios y otros sistemas del SFS pueden no ser aplicables en la situación de compartición a la que hace referencia el </w:t>
      </w:r>
      <w:r w:rsidR="00676A5A">
        <w:rPr>
          <w:i/>
          <w:iCs/>
        </w:rPr>
        <w:t>considerando</w:t>
      </w:r>
      <w:r w:rsidR="00676A5A">
        <w:t> </w:t>
      </w:r>
      <w:r>
        <w:t>b</w:t>
      </w:r>
      <w:r w:rsidR="00676A5A">
        <w:t>),</w:t>
      </w:r>
    </w:p>
    <w:p w14:paraId="3B52A3C3" w14:textId="77777777" w:rsidR="00676A5A" w:rsidRDefault="00676A5A" w:rsidP="00676A5A">
      <w:pPr>
        <w:pStyle w:val="Call"/>
        <w:rPr>
          <w:b/>
          <w:bCs/>
        </w:rPr>
      </w:pPr>
      <w:r>
        <w:t>decide</w:t>
      </w:r>
      <w:r>
        <w:rPr>
          <w:b/>
          <w:bCs/>
        </w:rPr>
        <w:t xml:space="preserve"> </w:t>
      </w:r>
      <w:r>
        <w:rPr>
          <w:i w:val="0"/>
          <w:iCs/>
        </w:rPr>
        <w:t>poner a estudio las siguientes Cuestiones</w:t>
      </w:r>
    </w:p>
    <w:p w14:paraId="6C61378B" w14:textId="461AD1A2" w:rsidR="00676A5A" w:rsidRDefault="00676A5A" w:rsidP="00676A5A">
      <w:r w:rsidRPr="00676A5A">
        <w:t>1</w:t>
      </w:r>
      <w:r>
        <w:rPr>
          <w:b/>
          <w:bCs/>
        </w:rPr>
        <w:tab/>
      </w:r>
      <w:r>
        <w:t>¿Cuáles son las características técnicas que probablemente serán utilizadas por l</w:t>
      </w:r>
      <w:r w:rsidR="006B78F1">
        <w:t>os sistemas</w:t>
      </w:r>
      <w:r>
        <w:t xml:space="preserve"> de satélites no geoestacionarios del servicio fijo por satélite?</w:t>
      </w:r>
    </w:p>
    <w:p w14:paraId="689CC92D" w14:textId="0DE91A6F" w:rsidR="00676A5A" w:rsidRDefault="00676A5A" w:rsidP="00676A5A">
      <w:r w:rsidRPr="00676A5A">
        <w:t>2</w:t>
      </w:r>
      <w:r>
        <w:rPr>
          <w:b/>
          <w:bCs/>
        </w:rPr>
        <w:tab/>
      </w:r>
      <w:r>
        <w:t>¿Cuáles son los criterios de interferencia admisible (a largo plazo y a corto plazo) entre l</w:t>
      </w:r>
      <w:r w:rsidR="006B78F1">
        <w:t>os sistemas</w:t>
      </w:r>
      <w:r>
        <w:t xml:space="preserve"> de satélites no geoestacionarios del servicio fijo por satélite y otros usos del SFS en las mismas bandas de frecuencia?</w:t>
      </w:r>
    </w:p>
    <w:p w14:paraId="61DEC2F3" w14:textId="42A7BAFD" w:rsidR="00676A5A" w:rsidRDefault="00676A5A" w:rsidP="00676A5A">
      <w:r w:rsidRPr="00676A5A">
        <w:t>3</w:t>
      </w:r>
      <w:r>
        <w:tab/>
        <w:t xml:space="preserve">¿Cuáles son los métodos de cálculo de la interferencia necesarios para analizar la posible interferencia entre </w:t>
      </w:r>
      <w:r w:rsidR="006B78F1">
        <w:t>sistemas</w:t>
      </w:r>
      <w:r>
        <w:t xml:space="preserve"> de satélites no geoestacionarios del SFS y otros usos del SFS en las mismas bandas de frecuencias?</w:t>
      </w:r>
    </w:p>
    <w:p w14:paraId="39E9CAEE" w14:textId="37BD4B43" w:rsidR="00676A5A" w:rsidRDefault="00676A5A" w:rsidP="00676A5A">
      <w:pPr>
        <w:rPr>
          <w:spacing w:val="-4"/>
        </w:rPr>
      </w:pPr>
      <w:r w:rsidRPr="00676A5A">
        <w:rPr>
          <w:spacing w:val="-4"/>
        </w:rPr>
        <w:t>4</w:t>
      </w:r>
      <w:r>
        <w:rPr>
          <w:b/>
          <w:bCs/>
          <w:spacing w:val="-4"/>
        </w:rPr>
        <w:tab/>
      </w:r>
      <w:r>
        <w:rPr>
          <w:spacing w:val="-4"/>
        </w:rPr>
        <w:t xml:space="preserve">¿Cuáles son las posibilidades de compartición del espectro y las soluciones técnicas de que se dispone para permitir la compartición de frecuencias entre </w:t>
      </w:r>
      <w:r w:rsidR="006B78F1">
        <w:rPr>
          <w:spacing w:val="-4"/>
        </w:rPr>
        <w:t>sistemas</w:t>
      </w:r>
      <w:r>
        <w:rPr>
          <w:spacing w:val="-4"/>
        </w:rPr>
        <w:t xml:space="preserve"> de satélites no geoestacionarios del servicio fijo por satélite y otros usos del servicio fijo por satélite en las mismas bandas de frecuencias?</w:t>
      </w:r>
    </w:p>
    <w:p w14:paraId="591AE074" w14:textId="77777777" w:rsidR="00676A5A" w:rsidRDefault="00676A5A" w:rsidP="00676A5A">
      <w:pPr>
        <w:pStyle w:val="Call"/>
      </w:pPr>
      <w:r>
        <w:t>decide también</w:t>
      </w:r>
    </w:p>
    <w:p w14:paraId="7721B3BB" w14:textId="77777777" w:rsidR="00676A5A" w:rsidRDefault="00676A5A" w:rsidP="00676A5A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62F8F4DB" w14:textId="73FD0A86" w:rsidR="00676A5A" w:rsidRDefault="00676A5A" w:rsidP="00676A5A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F52CA5">
        <w:t>hos estudios se terminen en 202</w:t>
      </w:r>
      <w:r w:rsidR="006B78F1">
        <w:t>7</w:t>
      </w:r>
      <w:r>
        <w:t xml:space="preserve"> como muy tarde.</w:t>
      </w:r>
    </w:p>
    <w:p w14:paraId="03D6735E" w14:textId="77777777" w:rsidR="00676A5A" w:rsidRDefault="00676A5A" w:rsidP="005117BE">
      <w:pPr>
        <w:spacing w:before="240"/>
      </w:pPr>
      <w:r>
        <w:t>NOTA – Véanse las Recomendaciones UIT-R S.1255, UIT-R S.1257, UIT-R S.1323, UIT</w:t>
      </w:r>
      <w:r>
        <w:noBreakHyphen/>
        <w:t>R S.1325 y UIT-R S.1328.</w:t>
      </w:r>
    </w:p>
    <w:p w14:paraId="55148FA6" w14:textId="77777777" w:rsidR="00676A5A" w:rsidRDefault="00676A5A" w:rsidP="00676A5A">
      <w:pPr>
        <w:spacing w:before="240"/>
      </w:pPr>
      <w:r>
        <w:rPr>
          <w:lang w:val="es-ES"/>
        </w:rPr>
        <w:t>Categoría: S2</w:t>
      </w:r>
    </w:p>
    <w:sectPr w:rsidR="00676A5A" w:rsidSect="00641ACD">
      <w:headerReference w:type="default" r:id="rId7"/>
      <w:footerReference w:type="default" r:id="rId8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F358" w14:textId="77777777" w:rsidR="00C44CD8" w:rsidRDefault="00C44CD8">
      <w:r>
        <w:separator/>
      </w:r>
    </w:p>
  </w:endnote>
  <w:endnote w:type="continuationSeparator" w:id="0">
    <w:p w14:paraId="4D75A288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395A" w14:textId="651FC2D7" w:rsidR="00C44CD8" w:rsidRPr="00A022BA" w:rsidRDefault="00C44CD8" w:rsidP="00A022BA">
    <w:pPr>
      <w:pStyle w:val="Footer"/>
      <w:rPr>
        <w:lang w:val="en-US"/>
      </w:rPr>
    </w:pPr>
    <w:r>
      <w:fldChar w:fldCharType="begin"/>
    </w:r>
    <w:r w:rsidRPr="00A022BA">
      <w:rPr>
        <w:lang w:val="en-US"/>
      </w:rPr>
      <w:instrText xml:space="preserve"> FILENAME  \p  \* MERGEFORMAT </w:instrText>
    </w:r>
    <w:r>
      <w:fldChar w:fldCharType="separate"/>
    </w:r>
    <w:r w:rsidR="006B78F1">
      <w:rPr>
        <w:lang w:val="en-US"/>
      </w:rPr>
      <w:t>P:\TRAD\S\ITU-R\BR\SGD\527981S_LS.docx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BD7B" w14:textId="77777777" w:rsidR="00C44CD8" w:rsidRDefault="00C44CD8">
      <w:r>
        <w:t>____________________</w:t>
      </w:r>
    </w:p>
  </w:footnote>
  <w:footnote w:type="continuationSeparator" w:id="0">
    <w:p w14:paraId="1990FC18" w14:textId="77777777" w:rsidR="00C44CD8" w:rsidRDefault="00C44CD8">
      <w:r>
        <w:continuationSeparator/>
      </w:r>
    </w:p>
  </w:footnote>
  <w:footnote w:id="1">
    <w:p w14:paraId="4F905146" w14:textId="77777777" w:rsidR="007E02FF" w:rsidRPr="00CA6D59" w:rsidRDefault="007E02FF" w:rsidP="007E02FF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ab/>
      </w:r>
      <w:r>
        <w:rPr>
          <w:lang w:val="es-ES"/>
        </w:rPr>
        <w:t>La Comisión de Estudio 4 de Radiocomunicaciones modificó formalmente esta Cuestión en el año 2023 de conformidad con la Resolución UIT-R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909E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AC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375E0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9540A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0F73"/>
    <w:rsid w:val="002B2B3E"/>
    <w:rsid w:val="002B6DE8"/>
    <w:rsid w:val="002C08B4"/>
    <w:rsid w:val="002D1F79"/>
    <w:rsid w:val="002D7604"/>
    <w:rsid w:val="002E0CE6"/>
    <w:rsid w:val="002F7AB6"/>
    <w:rsid w:val="002F7E23"/>
    <w:rsid w:val="00324C9B"/>
    <w:rsid w:val="003366F2"/>
    <w:rsid w:val="00344C92"/>
    <w:rsid w:val="0037142C"/>
    <w:rsid w:val="003730AE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72AC"/>
    <w:rsid w:val="004D30A2"/>
    <w:rsid w:val="005036A8"/>
    <w:rsid w:val="00503900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C5492"/>
    <w:rsid w:val="005E2666"/>
    <w:rsid w:val="005F7698"/>
    <w:rsid w:val="00601209"/>
    <w:rsid w:val="00611F89"/>
    <w:rsid w:val="006120F7"/>
    <w:rsid w:val="00641ACD"/>
    <w:rsid w:val="00644C9A"/>
    <w:rsid w:val="00647EE7"/>
    <w:rsid w:val="00647F90"/>
    <w:rsid w:val="00667028"/>
    <w:rsid w:val="00673CD6"/>
    <w:rsid w:val="00676A5A"/>
    <w:rsid w:val="00676E4B"/>
    <w:rsid w:val="006B5304"/>
    <w:rsid w:val="006B78F1"/>
    <w:rsid w:val="006C0E1A"/>
    <w:rsid w:val="006C170D"/>
    <w:rsid w:val="006D3FA0"/>
    <w:rsid w:val="006F7F46"/>
    <w:rsid w:val="00703420"/>
    <w:rsid w:val="00741252"/>
    <w:rsid w:val="00746176"/>
    <w:rsid w:val="00747E62"/>
    <w:rsid w:val="0075006A"/>
    <w:rsid w:val="00757BC6"/>
    <w:rsid w:val="007601E8"/>
    <w:rsid w:val="007840B0"/>
    <w:rsid w:val="007A695F"/>
    <w:rsid w:val="007A6B85"/>
    <w:rsid w:val="007B13A4"/>
    <w:rsid w:val="007C13F5"/>
    <w:rsid w:val="007C227E"/>
    <w:rsid w:val="007E02FF"/>
    <w:rsid w:val="007F1776"/>
    <w:rsid w:val="007F4ABF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35A7C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210"/>
    <w:rsid w:val="00BF7CCC"/>
    <w:rsid w:val="00C41B2B"/>
    <w:rsid w:val="00C44CD8"/>
    <w:rsid w:val="00C706C6"/>
    <w:rsid w:val="00C73011"/>
    <w:rsid w:val="00C76327"/>
    <w:rsid w:val="00C8236A"/>
    <w:rsid w:val="00C86DF5"/>
    <w:rsid w:val="00CC6B5F"/>
    <w:rsid w:val="00CE47FD"/>
    <w:rsid w:val="00CE7533"/>
    <w:rsid w:val="00CF4DCC"/>
    <w:rsid w:val="00D11A24"/>
    <w:rsid w:val="00D1218A"/>
    <w:rsid w:val="00D152E4"/>
    <w:rsid w:val="00D2543D"/>
    <w:rsid w:val="00D26587"/>
    <w:rsid w:val="00D754E1"/>
    <w:rsid w:val="00D76C10"/>
    <w:rsid w:val="00DB0FA6"/>
    <w:rsid w:val="00DD7D50"/>
    <w:rsid w:val="00DF36F5"/>
    <w:rsid w:val="00E23304"/>
    <w:rsid w:val="00E302E3"/>
    <w:rsid w:val="00E31F8D"/>
    <w:rsid w:val="00E60DB2"/>
    <w:rsid w:val="00E72B69"/>
    <w:rsid w:val="00E80010"/>
    <w:rsid w:val="00E82059"/>
    <w:rsid w:val="00EF1EF9"/>
    <w:rsid w:val="00F27EB2"/>
    <w:rsid w:val="00F46BD5"/>
    <w:rsid w:val="00F52CA5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EE2357"/>
  <w15:docId w15:val="{242AD20E-C488-4D79-A818-9292CF9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styleId="Revision">
    <w:name w:val="Revision"/>
    <w:hidden/>
    <w:uiPriority w:val="99"/>
    <w:semiHidden/>
    <w:rsid w:val="006B78F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E268-4674-44E3-8CAC-9FB101F7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1</TotalTime>
  <Pages>1</Pages>
  <Words>326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BRSGD</cp:lastModifiedBy>
  <cp:revision>5</cp:revision>
  <cp:lastPrinted>2012-03-12T15:13:00Z</cp:lastPrinted>
  <dcterms:created xsi:type="dcterms:W3CDTF">2023-09-18T07:15:00Z</dcterms:created>
  <dcterms:modified xsi:type="dcterms:W3CDTF">2023-09-29T09:39:00Z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