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18CF" w14:textId="77777777" w:rsidR="00FA501D" w:rsidRDefault="00FA501D">
      <w:pPr>
        <w:tabs>
          <w:tab w:val="clear" w:pos="794"/>
          <w:tab w:val="clear" w:pos="1191"/>
          <w:tab w:val="clear" w:pos="1588"/>
          <w:tab w:val="clear" w:pos="1985"/>
        </w:tabs>
        <w:overflowPunct/>
        <w:autoSpaceDE/>
        <w:autoSpaceDN/>
        <w:bidi w:val="0"/>
        <w:adjustRightInd/>
        <w:spacing w:before="0" w:line="240" w:lineRule="auto"/>
        <w:jc w:val="left"/>
        <w:textAlignment w:val="auto"/>
        <w:rPr>
          <w:bCs/>
          <w:noProof/>
          <w:lang w:val="fr-FR"/>
        </w:rPr>
      </w:pPr>
    </w:p>
    <w:p w14:paraId="5B6492C4" w14:textId="77777777" w:rsidR="00B621F7" w:rsidRPr="00C33A14" w:rsidRDefault="00B621F7" w:rsidP="00B621F7">
      <w:pPr>
        <w:pStyle w:val="QuestionNo"/>
        <w:jc w:val="center"/>
        <w:rPr>
          <w:rFonts w:ascii="Times New Roman" w:cs="Times New Roman"/>
          <w:b w:val="0"/>
          <w:rtl/>
          <w:lang w:val="en-US" w:bidi="ar-EG"/>
        </w:rPr>
      </w:pPr>
      <w:r w:rsidRPr="00C33A14">
        <w:rPr>
          <w:rFonts w:ascii="Times New Roman" w:hint="cs"/>
          <w:b w:val="0"/>
          <w:rtl/>
          <w:lang w:val="en-US" w:bidi="ar-EG"/>
        </w:rPr>
        <w:t xml:space="preserve">المسألة </w:t>
      </w:r>
      <w:r w:rsidRPr="00D01A58">
        <w:rPr>
          <w:rFonts w:ascii="Times New Roman"/>
          <w:b w:val="0"/>
          <w:lang w:val="fr-FR" w:bidi="ar-EG"/>
        </w:rPr>
        <w:t>ITU-R</w:t>
      </w:r>
      <w:r w:rsidRPr="00D01A58">
        <w:rPr>
          <w:rFonts w:ascii="Times New Roman"/>
          <w:b w:val="0"/>
          <w:lang w:val="fr-FR" w:bidi="ar-EG"/>
        </w:rPr>
        <w:t> </w:t>
      </w:r>
      <w:r w:rsidRPr="00D01A58">
        <w:rPr>
          <w:rFonts w:ascii="Times New Roman"/>
          <w:b w:val="0"/>
          <w:lang w:val="fr-FR" w:bidi="ar-EG"/>
        </w:rPr>
        <w:t>273/4</w:t>
      </w:r>
      <w:r w:rsidRPr="00C33A14">
        <w:rPr>
          <w:rStyle w:val="FootnoteReference"/>
          <w:rFonts w:ascii="Times New Roman"/>
          <w:b w:val="0"/>
          <w:position w:val="-6"/>
          <w:vertAlign w:val="superscript"/>
          <w:rtl/>
          <w:lang w:val="en-US" w:bidi="ar-EG"/>
        </w:rPr>
        <w:footnoteReference w:customMarkFollows="1" w:id="1"/>
        <w:t>*</w:t>
      </w:r>
    </w:p>
    <w:p w14:paraId="3C5F53AD" w14:textId="77777777" w:rsidR="00B621F7" w:rsidRPr="00C33A14" w:rsidRDefault="00B621F7" w:rsidP="00B621F7">
      <w:pPr>
        <w:pStyle w:val="Questiontitle"/>
        <w:rPr>
          <w:b w:val="0"/>
          <w:bCs/>
          <w:sz w:val="12"/>
          <w:rtl/>
          <w:lang w:val="en-US"/>
        </w:rPr>
      </w:pPr>
      <w:r w:rsidRPr="00C33A14">
        <w:rPr>
          <w:rFonts w:hint="cs"/>
          <w:b w:val="0"/>
          <w:bCs/>
          <w:rtl/>
        </w:rPr>
        <w:t>دعم تحديث أنظمة اتصالات الطيران المدني</w:t>
      </w:r>
      <w:r w:rsidRPr="00C33A14">
        <w:rPr>
          <w:b w:val="0"/>
          <w:bCs/>
          <w:rtl/>
        </w:rPr>
        <w:br/>
      </w:r>
      <w:r w:rsidRPr="00C33A14">
        <w:rPr>
          <w:rFonts w:hint="cs"/>
          <w:b w:val="0"/>
          <w:bCs/>
          <w:rtl/>
        </w:rPr>
        <w:t>وتمديد أنظمة الاتصالات لتشمل المناطق النائية والنامية</w:t>
      </w:r>
      <w:r w:rsidRPr="00C33A14">
        <w:rPr>
          <w:b w:val="0"/>
          <w:bCs/>
          <w:rtl/>
        </w:rPr>
        <w:br/>
      </w:r>
      <w:r w:rsidRPr="00C33A14">
        <w:rPr>
          <w:rFonts w:hint="cs"/>
          <w:b w:val="0"/>
          <w:bCs/>
          <w:rtl/>
        </w:rPr>
        <w:t>من خلال شبكات السواتل الحالية والمخطط لها</w:t>
      </w:r>
    </w:p>
    <w:p w14:paraId="3019F1F5" w14:textId="77777777" w:rsidR="00B621F7" w:rsidRPr="00C33A14" w:rsidRDefault="00B621F7" w:rsidP="00B621F7">
      <w:pPr>
        <w:pStyle w:val="Questiondate"/>
        <w:rPr>
          <w:i w:val="0"/>
          <w:lang w:val="en-US" w:bidi="ar-EG"/>
        </w:rPr>
      </w:pPr>
      <w:r w:rsidRPr="00C33A14">
        <w:rPr>
          <w:i w:val="0"/>
          <w:lang w:val="en-US" w:bidi="ar-EG"/>
        </w:rPr>
        <w:t>(</w:t>
      </w:r>
      <w:r>
        <w:rPr>
          <w:i w:val="0"/>
          <w:lang w:val="en-US" w:bidi="ar-EG"/>
        </w:rPr>
        <w:t>2007</w:t>
      </w:r>
      <w:r w:rsidRPr="00C33A14">
        <w:rPr>
          <w:i w:val="0"/>
          <w:lang w:val="en-US" w:bidi="ar-EG"/>
        </w:rPr>
        <w:t>)</w:t>
      </w:r>
    </w:p>
    <w:p w14:paraId="6E64233C" w14:textId="77777777" w:rsidR="00B621F7" w:rsidRDefault="00B621F7" w:rsidP="00B621F7">
      <w:pPr>
        <w:pStyle w:val="Normalaftertitle"/>
        <w:rPr>
          <w:rtl/>
          <w:lang w:val="en-US" w:bidi="ar-EG"/>
        </w:rPr>
      </w:pPr>
      <w:r>
        <w:rPr>
          <w:rFonts w:hint="cs"/>
          <w:rtl/>
          <w:lang w:val="en-US" w:bidi="ar-EG"/>
        </w:rPr>
        <w:t>إن جمعية الاتصالات الراديوية للاتحاد الدولي للاتصالات،</w:t>
      </w:r>
    </w:p>
    <w:p w14:paraId="12A8AFD5" w14:textId="77777777" w:rsidR="00B621F7" w:rsidRPr="00EF734B" w:rsidRDefault="00B621F7" w:rsidP="00B621F7">
      <w:pPr>
        <w:pStyle w:val="Call"/>
        <w:spacing w:before="240"/>
        <w:rPr>
          <w:i w:val="0"/>
          <w:iCs/>
          <w:rtl/>
          <w:lang w:val="en-US" w:bidi="ar-EG"/>
        </w:rPr>
      </w:pPr>
      <w:r w:rsidRPr="00EF734B">
        <w:rPr>
          <w:rFonts w:hint="cs"/>
          <w:i w:val="0"/>
          <w:iCs/>
          <w:rtl/>
          <w:lang w:val="en-US" w:bidi="ar-EG"/>
        </w:rPr>
        <w:t>إذ تضع في اعتبارها</w:t>
      </w:r>
    </w:p>
    <w:p w14:paraId="6C6E3BBE" w14:textId="77777777" w:rsidR="00B621F7" w:rsidRDefault="00B621F7" w:rsidP="00B621F7">
      <w:pPr>
        <w:rPr>
          <w:rtl/>
          <w:lang w:val="en-US" w:bidi="ar-EG"/>
        </w:rPr>
      </w:pPr>
      <w:r w:rsidRPr="00B621F7">
        <w:rPr>
          <w:rFonts w:hint="cs"/>
          <w:i/>
          <w:iCs/>
          <w:rtl/>
          <w:lang w:val="en-US" w:bidi="ar-EG"/>
        </w:rPr>
        <w:t xml:space="preserve"> أ )</w:t>
      </w:r>
      <w:r>
        <w:rPr>
          <w:rFonts w:hint="cs"/>
          <w:rtl/>
          <w:lang w:val="en-US" w:bidi="ar-EG"/>
        </w:rPr>
        <w:tab/>
        <w:t>أن هناك حاجة إلى دراسة توزيع نطاقات ترددات السواتل الحالية التي يمكن أن تفي بمتطلبات الطيران من أجل دعم عملية تحديث أنظمة اتصالات الطيران المدني؛</w:t>
      </w:r>
    </w:p>
    <w:p w14:paraId="5BF6DF28" w14:textId="77777777" w:rsidR="00B621F7" w:rsidRDefault="00B621F7" w:rsidP="00B621F7">
      <w:pPr>
        <w:rPr>
          <w:rtl/>
          <w:lang w:val="en-US" w:bidi="ar-EG"/>
        </w:rPr>
      </w:pPr>
      <w:r w:rsidRPr="00B621F7">
        <w:rPr>
          <w:rFonts w:hint="cs"/>
          <w:i/>
          <w:iCs/>
          <w:rtl/>
          <w:lang w:val="en-US" w:bidi="ar-EG"/>
        </w:rPr>
        <w:t>ب)</w:t>
      </w:r>
      <w:r>
        <w:rPr>
          <w:rFonts w:hint="cs"/>
          <w:rtl/>
          <w:lang w:val="en-US" w:bidi="ar-EG"/>
        </w:rPr>
        <w:tab/>
        <w:t>أن هناك حاجة، بوجه خاص في بعض البلدان النامية، إلى تلبية المتطلبات المتطورة للطيران المدني الحديث؛</w:t>
      </w:r>
    </w:p>
    <w:p w14:paraId="28DBFA8B" w14:textId="77777777" w:rsidR="00B621F7" w:rsidRDefault="00B621F7" w:rsidP="00B621F7">
      <w:pPr>
        <w:rPr>
          <w:rtl/>
          <w:lang w:val="en-US" w:bidi="ar-EG"/>
        </w:rPr>
      </w:pPr>
      <w:r w:rsidRPr="00B621F7">
        <w:rPr>
          <w:rFonts w:hint="cs"/>
          <w:i/>
          <w:iCs/>
          <w:rtl/>
          <w:lang w:val="en-US" w:bidi="ar-EG"/>
        </w:rPr>
        <w:t>ج)</w:t>
      </w:r>
      <w:r>
        <w:rPr>
          <w:rFonts w:hint="cs"/>
          <w:rtl/>
          <w:lang w:val="en-US" w:bidi="ar-EG"/>
        </w:rPr>
        <w:tab/>
        <w:t xml:space="preserve">أن أنظمة الاتصالات القائمة على السواتل توفر إمكانية حقيقية لتلبية متطلبات منظمة الطيران المدني الدولي </w:t>
      </w:r>
      <w:r>
        <w:rPr>
          <w:lang w:val="en-US" w:bidi="ar-EG"/>
        </w:rPr>
        <w:t>(ICAO)</w:t>
      </w:r>
      <w:r>
        <w:rPr>
          <w:rFonts w:hint="cs"/>
          <w:rtl/>
          <w:lang w:val="en-US" w:bidi="ar-EG"/>
        </w:rPr>
        <w:t xml:space="preserve"> في مجالات الاتصالات والملاحة والمراقبة وإدارة الحركة الجوية </w:t>
      </w:r>
      <w:r>
        <w:rPr>
          <w:lang w:val="en-US" w:bidi="ar-EG"/>
        </w:rPr>
        <w:t>(CNS/ATM)</w:t>
      </w:r>
      <w:r>
        <w:rPr>
          <w:rFonts w:hint="cs"/>
          <w:rtl/>
          <w:lang w:val="en-US" w:bidi="ar-EG"/>
        </w:rPr>
        <w:t>، وخصوصاً في المناطق التي لا تتيسر فيها بنية تحتية أرضية للاتصالات؛</w:t>
      </w:r>
    </w:p>
    <w:p w14:paraId="1A276763" w14:textId="77777777" w:rsidR="00B621F7" w:rsidRDefault="00B621F7" w:rsidP="00B621F7">
      <w:pPr>
        <w:rPr>
          <w:rtl/>
          <w:lang w:val="en-US" w:bidi="ar-EG"/>
        </w:rPr>
      </w:pPr>
      <w:r w:rsidRPr="00B621F7">
        <w:rPr>
          <w:rFonts w:hint="cs"/>
          <w:i/>
          <w:iCs/>
          <w:rtl/>
          <w:lang w:val="en-US" w:bidi="ar-EG"/>
        </w:rPr>
        <w:t>د )</w:t>
      </w:r>
      <w:r>
        <w:rPr>
          <w:rFonts w:hint="cs"/>
          <w:rtl/>
          <w:lang w:val="en-US" w:bidi="ar-EG"/>
        </w:rPr>
        <w:tab/>
        <w:t>أن فوائد إقامة أنظمة اتصالات بالسواتل واستخدامها من أجل الطيران المدني من شأنها أن تحقق أيضاً فوائد إضافية للبلدان النامية والبلدان المتناثرة السكان عن طريق إقامة أنظمة اتصالات مقترنة بأنظمة الطيران المدني،</w:t>
      </w:r>
    </w:p>
    <w:p w14:paraId="74B5FFFA" w14:textId="77777777" w:rsidR="00B621F7" w:rsidRPr="00E270E4" w:rsidRDefault="00B621F7" w:rsidP="00B621F7">
      <w:pPr>
        <w:pStyle w:val="Call"/>
        <w:spacing w:before="240"/>
        <w:rPr>
          <w:i w:val="0"/>
          <w:iCs/>
          <w:rtl/>
          <w:lang w:bidi="ar-EG"/>
        </w:rPr>
      </w:pPr>
      <w:r>
        <w:rPr>
          <w:rFonts w:hint="cs"/>
          <w:rtl/>
          <w:lang w:bidi="ar-EG"/>
        </w:rPr>
        <w:t xml:space="preserve">تقرر </w:t>
      </w:r>
      <w:r w:rsidRPr="00CD0A48">
        <w:rPr>
          <w:rFonts w:hint="cs"/>
          <w:i w:val="0"/>
          <w:iCs/>
          <w:rtl/>
          <w:lang w:bidi="ar-EG"/>
        </w:rPr>
        <w:t>أنه ينبغي دراسة المسألة التالية</w:t>
      </w:r>
    </w:p>
    <w:p w14:paraId="052A10CF" w14:textId="77777777" w:rsidR="00B621F7" w:rsidRDefault="00B621F7" w:rsidP="00B621F7">
      <w:pPr>
        <w:rPr>
          <w:rtl/>
          <w:lang w:val="en-US" w:bidi="ar-EG"/>
        </w:rPr>
      </w:pPr>
      <w:r w:rsidRPr="00B621F7">
        <w:rPr>
          <w:lang w:val="en-US" w:bidi="ar-EG"/>
        </w:rPr>
        <w:t>1</w:t>
      </w:r>
      <w:r>
        <w:rPr>
          <w:rFonts w:hint="cs"/>
          <w:rtl/>
          <w:lang w:val="en-US" w:bidi="ar-EG"/>
        </w:rPr>
        <w:tab/>
        <w:t xml:space="preserve">ما هي الخصائص التقنية والتشغيلية لخدمات اتصالات الطيران الحديث لا سيما فيما يتعلق بالمناطق النامية والمناطق النائية التي يتعين أخذها في الاعتبار في شبكات الخدمة المتنقلة الساتلية </w:t>
      </w:r>
      <w:r>
        <w:rPr>
          <w:lang w:val="en-US" w:bidi="ar-EG"/>
        </w:rPr>
        <w:t>(MSS)</w:t>
      </w:r>
      <w:r>
        <w:rPr>
          <w:rFonts w:hint="cs"/>
          <w:rtl/>
          <w:lang w:val="en-US" w:bidi="ar-EG"/>
        </w:rPr>
        <w:t xml:space="preserve"> و/أو الخدمة الثابتة الساتلية </w:t>
      </w:r>
      <w:r>
        <w:rPr>
          <w:lang w:val="en-US" w:bidi="ar-EG"/>
        </w:rPr>
        <w:t>(FSS)</w:t>
      </w:r>
      <w:r>
        <w:rPr>
          <w:rFonts w:hint="cs"/>
          <w:rtl/>
          <w:lang w:val="en-US" w:bidi="ar-EG"/>
        </w:rPr>
        <w:t xml:space="preserve"> التي توفر هذه الخدمات؟</w:t>
      </w:r>
    </w:p>
    <w:p w14:paraId="39D399C2" w14:textId="77777777" w:rsidR="00B621F7" w:rsidRDefault="00B621F7" w:rsidP="00B621F7">
      <w:pPr>
        <w:rPr>
          <w:rtl/>
          <w:lang w:val="en-US" w:bidi="ar-EG"/>
        </w:rPr>
      </w:pPr>
      <w:r w:rsidRPr="00B621F7">
        <w:rPr>
          <w:lang w:val="en-US" w:bidi="ar-EG"/>
        </w:rPr>
        <w:t>2</w:t>
      </w:r>
      <w:r>
        <w:rPr>
          <w:lang w:val="en-US" w:bidi="ar-EG"/>
        </w:rPr>
        <w:tab/>
      </w:r>
      <w:r>
        <w:rPr>
          <w:rFonts w:hint="cs"/>
          <w:rtl/>
          <w:lang w:val="en-US" w:bidi="ar-EG"/>
        </w:rPr>
        <w:t>كيف يمكن مواءمة تقاسم تسهيلات محطة أرضية ما بين الأجزاء من الشبكات الخاصة بالطيران، والأجزاء العمومية من الشبكات؟</w:t>
      </w:r>
    </w:p>
    <w:p w14:paraId="05BE8909" w14:textId="77777777" w:rsidR="00B621F7" w:rsidRPr="00EF734B" w:rsidRDefault="00B621F7" w:rsidP="00B621F7">
      <w:pPr>
        <w:pStyle w:val="Call"/>
        <w:spacing w:before="240"/>
        <w:rPr>
          <w:i w:val="0"/>
          <w:iCs/>
          <w:rtl/>
          <w:lang w:val="en-US" w:bidi="ar-EG"/>
        </w:rPr>
      </w:pPr>
      <w:r w:rsidRPr="00EF734B">
        <w:rPr>
          <w:rFonts w:hint="cs"/>
          <w:i w:val="0"/>
          <w:iCs/>
          <w:rtl/>
          <w:lang w:val="en-US" w:bidi="ar-EG"/>
        </w:rPr>
        <w:t>تقرر كذلك</w:t>
      </w:r>
    </w:p>
    <w:p w14:paraId="799BE4C6" w14:textId="77777777" w:rsidR="00F472F3" w:rsidRDefault="00F472F3" w:rsidP="00F472F3">
      <w:pPr>
        <w:rPr>
          <w:rtl/>
          <w:lang w:val="en-US" w:bidi="ar-EG"/>
        </w:rPr>
      </w:pPr>
      <w:r>
        <w:rPr>
          <w:lang w:val="en-US" w:bidi="ar-EG"/>
        </w:rPr>
        <w:t>1</w:t>
      </w:r>
      <w:r>
        <w:rPr>
          <w:rtl/>
          <w:lang w:val="en-US" w:bidi="ar-EG"/>
        </w:rPr>
        <w:tab/>
        <w:t>أن تدرج نتائج الدراسات سالفة الذكر في توصيات و/أو تقارير مناسبة؛</w:t>
      </w:r>
    </w:p>
    <w:p w14:paraId="6CA47D35" w14:textId="34C63454" w:rsidR="00F472F3" w:rsidRDefault="00F472F3" w:rsidP="00F472F3">
      <w:pPr>
        <w:rPr>
          <w:rtl/>
          <w:lang w:val="en-US"/>
        </w:rPr>
      </w:pPr>
      <w:r>
        <w:rPr>
          <w:lang w:val="en-US" w:bidi="ar-EG"/>
        </w:rPr>
        <w:t>2</w:t>
      </w:r>
      <w:r>
        <w:rPr>
          <w:rtl/>
          <w:lang w:val="en-US" w:bidi="ar-EG"/>
        </w:rPr>
        <w:tab/>
        <w:t xml:space="preserve">أنه ينبغي إنجاز الدراسات سالفة الذكر بحلول عام </w:t>
      </w:r>
      <w:r w:rsidR="00B60456">
        <w:rPr>
          <w:lang w:val="en-US" w:bidi="ar-EG"/>
        </w:rPr>
        <w:t>202</w:t>
      </w:r>
      <w:r w:rsidR="00D01A58">
        <w:rPr>
          <w:lang w:val="en-US" w:bidi="ar-EG"/>
        </w:rPr>
        <w:t>5</w:t>
      </w:r>
      <w:r>
        <w:rPr>
          <w:rtl/>
          <w:lang w:val="en-US" w:bidi="ar-EG"/>
        </w:rPr>
        <w:t>.</w:t>
      </w:r>
    </w:p>
    <w:p w14:paraId="7D644F10" w14:textId="77777777" w:rsidR="005C628B" w:rsidRPr="00AA0547" w:rsidRDefault="00B621F7" w:rsidP="00AA0547">
      <w:pPr>
        <w:spacing w:before="240"/>
        <w:rPr>
          <w:rtl/>
          <w:lang w:val="en-US" w:bidi="ar-EG"/>
        </w:rPr>
      </w:pPr>
      <w:r>
        <w:rPr>
          <w:rFonts w:hint="cs"/>
          <w:rtl/>
          <w:lang w:val="en-US" w:bidi="ar-EG"/>
        </w:rPr>
        <w:t xml:space="preserve">الفئة: </w:t>
      </w:r>
      <w:r>
        <w:rPr>
          <w:lang w:val="en-US" w:bidi="ar-EG"/>
        </w:rPr>
        <w:t>S1</w:t>
      </w:r>
    </w:p>
    <w:sectPr w:rsidR="005C628B" w:rsidRPr="00AA0547" w:rsidSect="00246FD3">
      <w:headerReference w:type="default" r:id="rId8"/>
      <w:footerReference w:type="default" r:id="rId9"/>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0D1D" w14:textId="77777777" w:rsidR="009E7AF1" w:rsidRDefault="009E7AF1">
      <w:r>
        <w:separator/>
      </w:r>
    </w:p>
  </w:endnote>
  <w:endnote w:type="continuationSeparator" w:id="0">
    <w:p w14:paraId="44C20AC1"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2284" w14:textId="77777777" w:rsidR="009E7AF1" w:rsidRDefault="00B60456" w:rsidP="00A85EC1">
    <w:pPr>
      <w:pStyle w:val="Footer"/>
      <w:bidi w:val="0"/>
    </w:pPr>
    <w:fldSimple w:instr=" FILENAME \p \* MERGEFORMAT ">
      <w:r w:rsidR="00C60DA5">
        <w:t>M:\BRSGD\TEXT2012\SG04\000\001a.docx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1FE9" w14:textId="77777777" w:rsidR="009E7AF1" w:rsidRDefault="009E7AF1">
      <w:r>
        <w:t>____________________</w:t>
      </w:r>
    </w:p>
  </w:footnote>
  <w:footnote w:type="continuationSeparator" w:id="0">
    <w:p w14:paraId="333712D4" w14:textId="77777777" w:rsidR="009E7AF1" w:rsidRDefault="009E7AF1">
      <w:r>
        <w:continuationSeparator/>
      </w:r>
    </w:p>
  </w:footnote>
  <w:footnote w:id="1">
    <w:p w14:paraId="2D63B600" w14:textId="77777777" w:rsidR="009E7AF1" w:rsidRPr="00B666CE" w:rsidRDefault="009E7AF1" w:rsidP="00B621F7">
      <w:pPr>
        <w:pStyle w:val="FootnoteText"/>
        <w:spacing w:after="240"/>
        <w:rPr>
          <w:rtl/>
          <w:lang w:val="en-US" w:bidi="ar-EG"/>
        </w:rPr>
      </w:pPr>
      <w:r w:rsidRPr="00B666CE">
        <w:rPr>
          <w:rStyle w:val="FootnoteReference"/>
          <w:rtl/>
        </w:rPr>
        <w:t>*</w:t>
      </w:r>
      <w:r w:rsidRPr="00B666CE">
        <w:rPr>
          <w:rtl/>
        </w:rPr>
        <w:t xml:space="preserve"> </w:t>
      </w:r>
      <w:r w:rsidRPr="00B666CE">
        <w:tab/>
      </w:r>
      <w:r w:rsidRPr="00B666CE">
        <w:rPr>
          <w:rFonts w:hint="cs"/>
          <w:rtl/>
        </w:rPr>
        <w:t xml:space="preserve">ينبغي أن توجه عناية </w:t>
      </w:r>
      <w:r w:rsidRPr="00B666CE">
        <w:rPr>
          <w:rFonts w:hint="cs"/>
          <w:rtl/>
          <w:lang w:val="en-US"/>
        </w:rPr>
        <w:t xml:space="preserve">منظمة الطيران المدني الدولي </w:t>
      </w:r>
      <w:r w:rsidRPr="00B666CE">
        <w:rPr>
          <w:lang w:val="en-US"/>
        </w:rPr>
        <w:t>(ICAO)</w:t>
      </w:r>
      <w:r w:rsidRPr="00B666CE">
        <w:rPr>
          <w:rFonts w:hint="cs"/>
          <w:rtl/>
          <w:lang w:val="en-US"/>
        </w:rPr>
        <w:t xml:space="preserve"> إلى 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2243" w14:textId="77777777" w:rsidR="009E7AF1" w:rsidRPr="008F010C" w:rsidRDefault="009E7AF1" w:rsidP="00B849AA">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AA0547">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t>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901795">
    <w:abstractNumId w:val="11"/>
  </w:num>
  <w:num w:numId="2" w16cid:durableId="2053309592">
    <w:abstractNumId w:val="6"/>
  </w:num>
  <w:num w:numId="3" w16cid:durableId="2116703641">
    <w:abstractNumId w:val="5"/>
  </w:num>
  <w:num w:numId="4" w16cid:durableId="1077046473">
    <w:abstractNumId w:val="4"/>
  </w:num>
  <w:num w:numId="5" w16cid:durableId="2064014118">
    <w:abstractNumId w:val="8"/>
  </w:num>
  <w:num w:numId="6" w16cid:durableId="1704866592">
    <w:abstractNumId w:val="3"/>
  </w:num>
  <w:num w:numId="7" w16cid:durableId="2114477490">
    <w:abstractNumId w:val="2"/>
  </w:num>
  <w:num w:numId="8" w16cid:durableId="338891780">
    <w:abstractNumId w:val="1"/>
  </w:num>
  <w:num w:numId="9" w16cid:durableId="406147129">
    <w:abstractNumId w:val="0"/>
  </w:num>
  <w:num w:numId="10" w16cid:durableId="1403680804">
    <w:abstractNumId w:val="9"/>
  </w:num>
  <w:num w:numId="11" w16cid:durableId="798643228">
    <w:abstractNumId w:val="7"/>
  </w:num>
  <w:num w:numId="12" w16cid:durableId="2100827746">
    <w:abstractNumId w:val="10"/>
  </w:num>
  <w:num w:numId="13" w16cid:durableId="1798139795">
    <w:abstractNumId w:val="10"/>
  </w:num>
  <w:num w:numId="14" w16cid:durableId="855584990">
    <w:abstractNumId w:val="10"/>
  </w:num>
  <w:num w:numId="15" w16cid:durableId="1823503504">
    <w:abstractNumId w:val="10"/>
  </w:num>
  <w:num w:numId="16" w16cid:durableId="1254632773">
    <w:abstractNumId w:val="10"/>
  </w:num>
  <w:num w:numId="17" w16cid:durableId="1738474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5347"/>
    <w:rsid w:val="00035AFC"/>
    <w:rsid w:val="00040518"/>
    <w:rsid w:val="0004289E"/>
    <w:rsid w:val="0004705F"/>
    <w:rsid w:val="000632A4"/>
    <w:rsid w:val="00083BC9"/>
    <w:rsid w:val="000A1BF8"/>
    <w:rsid w:val="000A3338"/>
    <w:rsid w:val="000A3CB7"/>
    <w:rsid w:val="000B5C8F"/>
    <w:rsid w:val="000C66E0"/>
    <w:rsid w:val="000D75EE"/>
    <w:rsid w:val="000E0002"/>
    <w:rsid w:val="000E0C98"/>
    <w:rsid w:val="00106428"/>
    <w:rsid w:val="00117D84"/>
    <w:rsid w:val="001324CA"/>
    <w:rsid w:val="00183B46"/>
    <w:rsid w:val="001A3685"/>
    <w:rsid w:val="001C6C78"/>
    <w:rsid w:val="00216F56"/>
    <w:rsid w:val="00224D05"/>
    <w:rsid w:val="00225842"/>
    <w:rsid w:val="00236F33"/>
    <w:rsid w:val="00246FD3"/>
    <w:rsid w:val="00267A16"/>
    <w:rsid w:val="00273A08"/>
    <w:rsid w:val="00275E01"/>
    <w:rsid w:val="002965CA"/>
    <w:rsid w:val="00297B13"/>
    <w:rsid w:val="002B024F"/>
    <w:rsid w:val="002B629C"/>
    <w:rsid w:val="002B7694"/>
    <w:rsid w:val="002F017E"/>
    <w:rsid w:val="0030680C"/>
    <w:rsid w:val="0031051E"/>
    <w:rsid w:val="00311941"/>
    <w:rsid w:val="003206A2"/>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32FC7"/>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769B0"/>
    <w:rsid w:val="006A7575"/>
    <w:rsid w:val="007019BF"/>
    <w:rsid w:val="007178B1"/>
    <w:rsid w:val="00741FA0"/>
    <w:rsid w:val="00742FB4"/>
    <w:rsid w:val="00755FD1"/>
    <w:rsid w:val="00757E6A"/>
    <w:rsid w:val="00762597"/>
    <w:rsid w:val="00771893"/>
    <w:rsid w:val="00776C4D"/>
    <w:rsid w:val="00780EE7"/>
    <w:rsid w:val="00785D40"/>
    <w:rsid w:val="00791DAE"/>
    <w:rsid w:val="007A2301"/>
    <w:rsid w:val="007C2F77"/>
    <w:rsid w:val="007D57F1"/>
    <w:rsid w:val="007F5751"/>
    <w:rsid w:val="008177B1"/>
    <w:rsid w:val="0082287C"/>
    <w:rsid w:val="008338CA"/>
    <w:rsid w:val="00844BF0"/>
    <w:rsid w:val="00846A88"/>
    <w:rsid w:val="00876DE8"/>
    <w:rsid w:val="00881647"/>
    <w:rsid w:val="00883EF1"/>
    <w:rsid w:val="00883F05"/>
    <w:rsid w:val="00892D87"/>
    <w:rsid w:val="00894F59"/>
    <w:rsid w:val="008A596C"/>
    <w:rsid w:val="008B5F89"/>
    <w:rsid w:val="008B6174"/>
    <w:rsid w:val="008C7385"/>
    <w:rsid w:val="008D275A"/>
    <w:rsid w:val="008D5EB7"/>
    <w:rsid w:val="008E4924"/>
    <w:rsid w:val="008F010C"/>
    <w:rsid w:val="00936A63"/>
    <w:rsid w:val="009608CA"/>
    <w:rsid w:val="00973616"/>
    <w:rsid w:val="00973636"/>
    <w:rsid w:val="009847EF"/>
    <w:rsid w:val="00987124"/>
    <w:rsid w:val="00994CC2"/>
    <w:rsid w:val="009A660B"/>
    <w:rsid w:val="009B20B2"/>
    <w:rsid w:val="009C1499"/>
    <w:rsid w:val="009C3992"/>
    <w:rsid w:val="009D006F"/>
    <w:rsid w:val="009D14B2"/>
    <w:rsid w:val="009E7AF1"/>
    <w:rsid w:val="00A00338"/>
    <w:rsid w:val="00A058A4"/>
    <w:rsid w:val="00A13D6D"/>
    <w:rsid w:val="00A5655B"/>
    <w:rsid w:val="00A57230"/>
    <w:rsid w:val="00A621D9"/>
    <w:rsid w:val="00A85EC1"/>
    <w:rsid w:val="00AA0547"/>
    <w:rsid w:val="00AA1E04"/>
    <w:rsid w:val="00AA32F4"/>
    <w:rsid w:val="00AB25C8"/>
    <w:rsid w:val="00AB55DF"/>
    <w:rsid w:val="00AC196B"/>
    <w:rsid w:val="00AD62AE"/>
    <w:rsid w:val="00B239F2"/>
    <w:rsid w:val="00B53AC5"/>
    <w:rsid w:val="00B548A1"/>
    <w:rsid w:val="00B55350"/>
    <w:rsid w:val="00B60456"/>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71FF5"/>
    <w:rsid w:val="00C8174E"/>
    <w:rsid w:val="00C83D4D"/>
    <w:rsid w:val="00CC7424"/>
    <w:rsid w:val="00CE7136"/>
    <w:rsid w:val="00CF6799"/>
    <w:rsid w:val="00D01A58"/>
    <w:rsid w:val="00D1263B"/>
    <w:rsid w:val="00D24A2F"/>
    <w:rsid w:val="00D4009A"/>
    <w:rsid w:val="00D42782"/>
    <w:rsid w:val="00D56ACA"/>
    <w:rsid w:val="00D65208"/>
    <w:rsid w:val="00DB63E4"/>
    <w:rsid w:val="00DB7288"/>
    <w:rsid w:val="00DC4005"/>
    <w:rsid w:val="00DC5EBF"/>
    <w:rsid w:val="00DD0E38"/>
    <w:rsid w:val="00DF6675"/>
    <w:rsid w:val="00DF7E84"/>
    <w:rsid w:val="00E43547"/>
    <w:rsid w:val="00E731D1"/>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5B92344"/>
  <w15:docId w15:val="{072FB03D-BE23-4FF6-9EBD-D79421A9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1451-8ECC-4809-9CD3-E47E7C47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ITU</cp:lastModifiedBy>
  <cp:revision>4</cp:revision>
  <cp:lastPrinted>2012-03-14T13:56:00Z</cp:lastPrinted>
  <dcterms:created xsi:type="dcterms:W3CDTF">2012-05-03T07:16:00Z</dcterms:created>
  <dcterms:modified xsi:type="dcterms:W3CDTF">2024-01-30T09:22:00Z</dcterms:modified>
</cp:coreProperties>
</file>