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4F52" w14:textId="208DE4B8" w:rsidR="00AE07F8" w:rsidRPr="00C2224C" w:rsidRDefault="00AE07F8" w:rsidP="00AE07F8">
      <w:pPr>
        <w:pStyle w:val="QuestionNoBR"/>
        <w:rPr>
          <w:vertAlign w:val="superscript"/>
          <w:lang w:val="ru-RU" w:eastAsia="zh-CN"/>
        </w:rPr>
      </w:pPr>
      <w:r w:rsidRPr="00C2224C">
        <w:rPr>
          <w:rStyle w:val="QuestionNoBRChar"/>
          <w:caps/>
          <w:lang w:val="ru-RU"/>
        </w:rPr>
        <w:t>вопрос мсэ-R</w:t>
      </w:r>
      <w:r w:rsidRPr="00C2224C">
        <w:rPr>
          <w:lang w:val="ru-RU"/>
        </w:rPr>
        <w:t xml:space="preserve"> 278/4</w:t>
      </w:r>
      <w:r w:rsidR="00D15E00" w:rsidRPr="00C2224C">
        <w:rPr>
          <w:rStyle w:val="FootnoteReference"/>
          <w:caps w:val="0"/>
          <w:lang w:val="ru-RU"/>
        </w:rPr>
        <w:footnoteReference w:customMarkFollows="1" w:id="1"/>
        <w:sym w:font="Symbol" w:char="F02A"/>
      </w:r>
    </w:p>
    <w:p w14:paraId="14A6F4D4" w14:textId="6FF3C034" w:rsidR="00AE07F8" w:rsidRPr="00C2224C" w:rsidRDefault="00AE07F8" w:rsidP="00AE07F8">
      <w:pPr>
        <w:pStyle w:val="Questiontitle"/>
        <w:rPr>
          <w:lang w:val="ru-RU"/>
        </w:rPr>
      </w:pPr>
      <w:r w:rsidRPr="00C2224C">
        <w:rPr>
          <w:lang w:val="ru-RU"/>
        </w:rPr>
        <w:t xml:space="preserve">Использование эксплуатационных </w:t>
      </w:r>
      <w:r w:rsidR="00D15E00" w:rsidRPr="00C2224C">
        <w:rPr>
          <w:lang w:val="ru-RU"/>
        </w:rPr>
        <w:t>мер</w:t>
      </w:r>
      <w:r w:rsidRPr="00C2224C">
        <w:rPr>
          <w:lang w:val="ru-RU"/>
        </w:rPr>
        <w:t xml:space="preserve"> для соблюдения ограничений </w:t>
      </w:r>
      <w:r w:rsidRPr="00C2224C">
        <w:rPr>
          <w:lang w:val="ru-RU"/>
        </w:rPr>
        <w:br/>
        <w:t>на величину плотности потока мощности в соответствии со Статьей 21</w:t>
      </w:r>
      <w:r w:rsidRPr="00C2224C">
        <w:rPr>
          <w:lang w:val="ru-RU"/>
        </w:rPr>
        <w:br/>
        <w:t xml:space="preserve">Регламента радиосвязи </w:t>
      </w:r>
    </w:p>
    <w:p w14:paraId="640B1C31" w14:textId="77777777" w:rsidR="00AE07F8" w:rsidRPr="00C2224C" w:rsidRDefault="00AE07F8" w:rsidP="00AE07F8">
      <w:pPr>
        <w:pStyle w:val="Questiondate"/>
        <w:spacing w:before="360"/>
        <w:rPr>
          <w:i w:val="0"/>
          <w:iCs/>
          <w:lang w:val="ru-RU"/>
        </w:rPr>
      </w:pPr>
      <w:r w:rsidRPr="00C2224C">
        <w:rPr>
          <w:i w:val="0"/>
          <w:iCs/>
          <w:lang w:val="ru-RU"/>
        </w:rPr>
        <w:t>(2009)</w:t>
      </w:r>
    </w:p>
    <w:p w14:paraId="19455FF7" w14:textId="77777777" w:rsidR="00AE07F8" w:rsidRPr="00C2224C" w:rsidRDefault="00AE07F8" w:rsidP="00AE07F8">
      <w:pPr>
        <w:pStyle w:val="Normalaftertitle0"/>
        <w:rPr>
          <w:szCs w:val="22"/>
        </w:rPr>
      </w:pPr>
      <w:r w:rsidRPr="00C2224C">
        <w:rPr>
          <w:szCs w:val="22"/>
        </w:rPr>
        <w:t>Ассамблея радиосвязи МСЭ,</w:t>
      </w:r>
    </w:p>
    <w:p w14:paraId="157F4A3E" w14:textId="74380931" w:rsidR="00AE07F8" w:rsidRPr="00C2224C" w:rsidRDefault="00AE07F8" w:rsidP="00AE07F8">
      <w:pPr>
        <w:pStyle w:val="Call"/>
        <w:rPr>
          <w:i w:val="0"/>
          <w:iCs/>
          <w:szCs w:val="22"/>
          <w:lang w:val="ru-RU"/>
        </w:rPr>
      </w:pPr>
      <w:r w:rsidRPr="00C2224C">
        <w:rPr>
          <w:szCs w:val="22"/>
          <w:lang w:val="ru-RU"/>
        </w:rPr>
        <w:t>учитывая</w:t>
      </w:r>
      <w:r w:rsidR="003C7D8E" w:rsidRPr="00C2224C">
        <w:rPr>
          <w:i w:val="0"/>
          <w:iCs/>
          <w:szCs w:val="22"/>
          <w:lang w:val="ru-RU"/>
        </w:rPr>
        <w:t>,</w:t>
      </w:r>
    </w:p>
    <w:p w14:paraId="4F4FF940" w14:textId="4841D235" w:rsidR="00AE07F8" w:rsidRPr="00C2224C" w:rsidRDefault="00AE07F8" w:rsidP="00AE07F8">
      <w:pPr>
        <w:rPr>
          <w:lang w:val="ru-RU"/>
        </w:rPr>
      </w:pPr>
      <w:r w:rsidRPr="00C2224C">
        <w:rPr>
          <w:i/>
          <w:iCs/>
          <w:lang w:val="ru-RU"/>
        </w:rPr>
        <w:t>a)</w:t>
      </w:r>
      <w:r w:rsidRPr="00C2224C">
        <w:rPr>
          <w:lang w:val="ru-RU"/>
        </w:rPr>
        <w:tab/>
        <w:t>что в п</w:t>
      </w:r>
      <w:r w:rsidR="00D15E00" w:rsidRPr="00C2224C">
        <w:rPr>
          <w:lang w:val="ru-RU"/>
        </w:rPr>
        <w:t xml:space="preserve">. </w:t>
      </w:r>
      <w:r w:rsidRPr="00C2224C">
        <w:rPr>
          <w:b/>
          <w:bCs/>
          <w:lang w:val="ru-RU"/>
        </w:rPr>
        <w:t>11.31</w:t>
      </w:r>
      <w:r w:rsidRPr="00C2224C">
        <w:rPr>
          <w:lang w:val="ru-RU"/>
        </w:rPr>
        <w:t xml:space="preserve"> Регламента радиосвязи (РР) требуется, чтобы Бюро радиосвязи (БР) рассматривало заявленные частотные присвоения в соответствии со Статьей </w:t>
      </w:r>
      <w:r w:rsidR="00D15E00" w:rsidRPr="00C2224C">
        <w:rPr>
          <w:b/>
          <w:bCs/>
          <w:lang w:val="ru-RU"/>
        </w:rPr>
        <w:t>1</w:t>
      </w:r>
      <w:r w:rsidRPr="00C2224C">
        <w:rPr>
          <w:b/>
          <w:bCs/>
          <w:lang w:val="ru-RU"/>
        </w:rPr>
        <w:t>1</w:t>
      </w:r>
      <w:r w:rsidRPr="00C2224C">
        <w:rPr>
          <w:lang w:val="ru-RU"/>
        </w:rPr>
        <w:t xml:space="preserve"> РР, в том числе в отношении их соответствия Статье 21 (пределы плотности потока мощности);</w:t>
      </w:r>
    </w:p>
    <w:p w14:paraId="4A19E617" w14:textId="77777777" w:rsidR="00AE07F8" w:rsidRPr="00C2224C" w:rsidRDefault="00AE07F8" w:rsidP="00AE07F8">
      <w:pPr>
        <w:rPr>
          <w:lang w:val="ru-RU"/>
        </w:rPr>
      </w:pPr>
      <w:r w:rsidRPr="00C2224C">
        <w:rPr>
          <w:i/>
          <w:iCs/>
          <w:lang w:val="ru-RU"/>
        </w:rPr>
        <w:t>b)</w:t>
      </w:r>
      <w:r w:rsidRPr="00C2224C">
        <w:rPr>
          <w:lang w:val="ru-RU"/>
        </w:rPr>
        <w:tab/>
        <w:t>что БР получало в прошлом и все еще получает представления от администраций, для которых рассмотрение плотности потока мощности показывает превышение, первоначально изменявшееся от 0 до 9 дБ, а в последнее время до 10 дБ и выше, в пределах определенного диапазона углов места прихода;</w:t>
      </w:r>
    </w:p>
    <w:p w14:paraId="5E9CD207" w14:textId="77777777" w:rsidR="00AE07F8" w:rsidRPr="00C2224C" w:rsidRDefault="00AE07F8" w:rsidP="00AE07F8">
      <w:pPr>
        <w:rPr>
          <w:lang w:val="ru-RU"/>
        </w:rPr>
      </w:pPr>
      <w:r w:rsidRPr="00C2224C">
        <w:rPr>
          <w:i/>
          <w:iCs/>
          <w:lang w:val="ru-RU"/>
        </w:rPr>
        <w:t>c)</w:t>
      </w:r>
      <w:r w:rsidRPr="00C2224C">
        <w:rPr>
          <w:lang w:val="ru-RU"/>
        </w:rPr>
        <w:tab/>
        <w:t xml:space="preserve">что после консультации с заявляющими администрациями БР было проинформировано о том, что плотность потока мощности может быть скорректирована до уровня, указанного в РР, путем применения таких технических средств, как рассеяние энергии и управление потерей мощности; </w:t>
      </w:r>
    </w:p>
    <w:p w14:paraId="41322FEF" w14:textId="25D9A28E" w:rsidR="00AE07F8" w:rsidRPr="00C2224C" w:rsidRDefault="00AE07F8" w:rsidP="00AE07F8">
      <w:pPr>
        <w:rPr>
          <w:lang w:val="ru-RU"/>
        </w:rPr>
      </w:pPr>
      <w:r w:rsidRPr="00C2224C">
        <w:rPr>
          <w:i/>
          <w:iCs/>
          <w:lang w:val="ru-RU"/>
        </w:rPr>
        <w:t>d)</w:t>
      </w:r>
      <w:r w:rsidRPr="00C2224C">
        <w:rPr>
          <w:lang w:val="ru-RU"/>
        </w:rPr>
        <w:tab/>
        <w:t xml:space="preserve">что при рассмотрении таких случаев Бюро </w:t>
      </w:r>
      <w:r w:rsidR="00D15E00" w:rsidRPr="00C2224C">
        <w:rPr>
          <w:lang w:val="ru-RU"/>
        </w:rPr>
        <w:t xml:space="preserve">вынесло </w:t>
      </w:r>
      <w:r w:rsidRPr="00C2224C">
        <w:rPr>
          <w:lang w:val="ru-RU"/>
        </w:rPr>
        <w:t xml:space="preserve">благоприятные заключения </w:t>
      </w:r>
      <w:r w:rsidR="00D15E00" w:rsidRPr="00C2224C">
        <w:rPr>
          <w:lang w:val="ru-RU"/>
        </w:rPr>
        <w:t xml:space="preserve">согласно </w:t>
      </w:r>
      <w:r w:rsidRPr="00C2224C">
        <w:rPr>
          <w:lang w:val="ru-RU"/>
        </w:rPr>
        <w:t xml:space="preserve">пункту </w:t>
      </w:r>
      <w:r w:rsidRPr="00C2224C">
        <w:rPr>
          <w:b/>
          <w:bCs/>
          <w:lang w:val="ru-RU"/>
        </w:rPr>
        <w:t>11.31</w:t>
      </w:r>
      <w:r w:rsidRPr="00C2224C">
        <w:rPr>
          <w:lang w:val="ru-RU"/>
        </w:rPr>
        <w:t xml:space="preserve"> для представлений, упомянутых в пункте </w:t>
      </w:r>
      <w:r w:rsidRPr="00C2224C">
        <w:rPr>
          <w:i/>
          <w:iCs/>
          <w:lang w:val="ru-RU"/>
        </w:rPr>
        <w:t>b)</w:t>
      </w:r>
      <w:r w:rsidRPr="00C2224C">
        <w:rPr>
          <w:lang w:val="ru-RU"/>
        </w:rPr>
        <w:t>, выше, когда рассматриваемая заявка содержала подробные данные об эксплуатационн</w:t>
      </w:r>
      <w:r w:rsidR="00D15E00" w:rsidRPr="00C2224C">
        <w:rPr>
          <w:lang w:val="ru-RU"/>
        </w:rPr>
        <w:t>ых</w:t>
      </w:r>
      <w:r w:rsidRPr="00C2224C">
        <w:rPr>
          <w:lang w:val="ru-RU"/>
        </w:rPr>
        <w:t>/техническ</w:t>
      </w:r>
      <w:r w:rsidR="00D15E00" w:rsidRPr="00C2224C">
        <w:rPr>
          <w:lang w:val="ru-RU"/>
        </w:rPr>
        <w:t>их</w:t>
      </w:r>
      <w:r w:rsidRPr="00C2224C">
        <w:rPr>
          <w:lang w:val="ru-RU"/>
        </w:rPr>
        <w:t xml:space="preserve"> </w:t>
      </w:r>
      <w:r w:rsidR="00D15E00" w:rsidRPr="00C2224C">
        <w:rPr>
          <w:lang w:val="ru-RU"/>
        </w:rPr>
        <w:t xml:space="preserve">мерах </w:t>
      </w:r>
      <w:r w:rsidRPr="00C2224C">
        <w:rPr>
          <w:lang w:val="ru-RU"/>
        </w:rPr>
        <w:t>для обеспечения соответствия плотности потока мощности обязательным пределам, приведенным в Статье 21 РР;</w:t>
      </w:r>
    </w:p>
    <w:p w14:paraId="3D65B20D" w14:textId="77777777" w:rsidR="00AE07F8" w:rsidRPr="00C2224C" w:rsidRDefault="00AE07F8" w:rsidP="00AE07F8">
      <w:pPr>
        <w:rPr>
          <w:lang w:val="ru-RU"/>
        </w:rPr>
      </w:pPr>
      <w:r w:rsidRPr="00C2224C">
        <w:rPr>
          <w:i/>
          <w:iCs/>
          <w:lang w:val="ru-RU"/>
        </w:rPr>
        <w:t>e)</w:t>
      </w:r>
      <w:r w:rsidRPr="00C2224C">
        <w:rPr>
          <w:lang w:val="ru-RU"/>
        </w:rPr>
        <w:tab/>
        <w:t>что БР при выполнении своих обязательных задач, относящихся к применению вышеупомянутых положений, рассматривает, в какой степени применение таких эксплуатационных мер к космическим службам могло бы быть приемлемым без создания препятствий другим службам, которые совместно используют те же полосы частот;</w:t>
      </w:r>
    </w:p>
    <w:p w14:paraId="016C687B" w14:textId="77777777" w:rsidR="00AE07F8" w:rsidRPr="00C2224C" w:rsidRDefault="00AE07F8" w:rsidP="00AE07F8">
      <w:pPr>
        <w:rPr>
          <w:lang w:val="ru-RU"/>
        </w:rPr>
      </w:pPr>
      <w:r w:rsidRPr="00C2224C">
        <w:rPr>
          <w:i/>
          <w:iCs/>
          <w:lang w:val="ru-RU"/>
        </w:rPr>
        <w:t>f)</w:t>
      </w:r>
      <w:r w:rsidRPr="00C2224C">
        <w:rPr>
          <w:lang w:val="ru-RU"/>
        </w:rPr>
        <w:tab/>
        <w:t>что в Статье 21 не содержатся пределы плотности потока мощности для каких-либо полос частот выше 50,2 ГГц и что есть более высокие полосы частот, имеющие распределения на равной первичной основе радиовещательной спутниковой и фиксированной спутниковой службам (космос</w:t>
      </w:r>
      <w:r w:rsidRPr="00C2224C">
        <w:rPr>
          <w:lang w:val="ru-RU"/>
        </w:rPr>
        <w:noBreakHyphen/>
        <w:t xml:space="preserve">Земля) и наземным службам, для которых не существует </w:t>
      </w:r>
      <w:proofErr w:type="spellStart"/>
      <w:r w:rsidRPr="00C2224C">
        <w:rPr>
          <w:lang w:val="ru-RU"/>
        </w:rPr>
        <w:t>регламентарного</w:t>
      </w:r>
      <w:proofErr w:type="spellEnd"/>
      <w:r w:rsidRPr="00C2224C">
        <w:rPr>
          <w:lang w:val="ru-RU"/>
        </w:rPr>
        <w:t xml:space="preserve"> механизма совместного использования частот, </w:t>
      </w:r>
    </w:p>
    <w:p w14:paraId="36F0DC4C" w14:textId="24C58F85" w:rsidR="00AE07F8" w:rsidRPr="00C2224C" w:rsidRDefault="00AE07F8" w:rsidP="00AE07F8">
      <w:pPr>
        <w:pStyle w:val="Call"/>
        <w:rPr>
          <w:szCs w:val="22"/>
          <w:lang w:val="ru-RU"/>
        </w:rPr>
      </w:pPr>
      <w:r w:rsidRPr="00C2224C">
        <w:rPr>
          <w:szCs w:val="22"/>
          <w:lang w:val="ru-RU"/>
        </w:rPr>
        <w:t>решает</w:t>
      </w:r>
      <w:r w:rsidRPr="00C2224C">
        <w:rPr>
          <w:i w:val="0"/>
          <w:iCs/>
          <w:szCs w:val="22"/>
          <w:lang w:val="ru-RU"/>
        </w:rPr>
        <w:t>, что необходимо изучить следующие Вопросы</w:t>
      </w:r>
      <w:r w:rsidR="003C7D8E" w:rsidRPr="00C2224C">
        <w:rPr>
          <w:i w:val="0"/>
          <w:iCs/>
          <w:szCs w:val="22"/>
          <w:lang w:val="ru-RU"/>
        </w:rPr>
        <w:t>:</w:t>
      </w:r>
    </w:p>
    <w:p w14:paraId="5140307E" w14:textId="3AA9C54C" w:rsidR="00AE07F8" w:rsidRPr="00C2224C" w:rsidRDefault="00AE07F8" w:rsidP="00AE07F8">
      <w:pPr>
        <w:rPr>
          <w:lang w:val="ru-RU"/>
        </w:rPr>
      </w:pPr>
      <w:r w:rsidRPr="00C2224C">
        <w:rPr>
          <w:bCs/>
          <w:lang w:val="ru-RU"/>
        </w:rPr>
        <w:t>1</w:t>
      </w:r>
      <w:r w:rsidRPr="00C2224C">
        <w:rPr>
          <w:lang w:val="ru-RU"/>
        </w:rPr>
        <w:tab/>
        <w:t xml:space="preserve">Каковы фактические проектируемые возможности космических систем в отношении использования таких эксплуатационных </w:t>
      </w:r>
      <w:r w:rsidR="003C7D8E" w:rsidRPr="00C2224C">
        <w:rPr>
          <w:lang w:val="ru-RU"/>
        </w:rPr>
        <w:t>мер</w:t>
      </w:r>
      <w:r w:rsidRPr="00C2224C">
        <w:rPr>
          <w:lang w:val="ru-RU"/>
        </w:rPr>
        <w:t>, как рассеяние энергии, управление потерей мощности и другие методы, для коррекции уровней плотности потока мощности?</w:t>
      </w:r>
    </w:p>
    <w:p w14:paraId="269131C2" w14:textId="5BBF65DA" w:rsidR="00AE07F8" w:rsidRPr="00C2224C" w:rsidRDefault="00AE07F8" w:rsidP="00AE07F8">
      <w:pPr>
        <w:rPr>
          <w:lang w:val="ru-RU"/>
        </w:rPr>
      </w:pPr>
      <w:r w:rsidRPr="00C2224C">
        <w:rPr>
          <w:bCs/>
          <w:lang w:val="ru-RU"/>
        </w:rPr>
        <w:t>2</w:t>
      </w:r>
      <w:r w:rsidRPr="00C2224C">
        <w:rPr>
          <w:lang w:val="ru-RU"/>
        </w:rPr>
        <w:tab/>
        <w:t xml:space="preserve">Каковы пределы, выше которых использование таких </w:t>
      </w:r>
      <w:r w:rsidR="003C7D8E" w:rsidRPr="00C2224C">
        <w:rPr>
          <w:lang w:val="ru-RU"/>
        </w:rPr>
        <w:t xml:space="preserve">мер </w:t>
      </w:r>
      <w:r w:rsidRPr="00C2224C">
        <w:rPr>
          <w:lang w:val="ru-RU"/>
        </w:rPr>
        <w:t>коррекции мощности уже более нецелесообразно?</w:t>
      </w:r>
    </w:p>
    <w:p w14:paraId="2B2EAD1B" w14:textId="4BA0AD17" w:rsidR="00AE07F8" w:rsidRPr="00C2224C" w:rsidRDefault="00AE07F8" w:rsidP="00AE07F8">
      <w:pPr>
        <w:rPr>
          <w:lang w:val="ru-RU"/>
        </w:rPr>
      </w:pPr>
      <w:r w:rsidRPr="00C2224C">
        <w:rPr>
          <w:bCs/>
          <w:lang w:val="ru-RU"/>
        </w:rPr>
        <w:t>3</w:t>
      </w:r>
      <w:r w:rsidRPr="00C2224C">
        <w:rPr>
          <w:lang w:val="ru-RU"/>
        </w:rPr>
        <w:tab/>
        <w:t xml:space="preserve">Каковы технические средства, с помощью которых такие </w:t>
      </w:r>
      <w:r w:rsidR="003C7D8E" w:rsidRPr="00C2224C">
        <w:rPr>
          <w:lang w:val="ru-RU"/>
        </w:rPr>
        <w:t xml:space="preserve">меры </w:t>
      </w:r>
      <w:r w:rsidRPr="00C2224C">
        <w:rPr>
          <w:lang w:val="ru-RU"/>
        </w:rPr>
        <w:t>коррекции могут быть использованы в данной зоне обслуживания и в пределах определенного диапазона углов прихода?</w:t>
      </w:r>
    </w:p>
    <w:p w14:paraId="38B39F2E" w14:textId="77777777" w:rsidR="00AE07F8" w:rsidRPr="00C2224C" w:rsidRDefault="00AE07F8" w:rsidP="00AE07F8">
      <w:pPr>
        <w:rPr>
          <w:lang w:val="ru-RU"/>
        </w:rPr>
      </w:pPr>
      <w:r w:rsidRPr="00C2224C">
        <w:rPr>
          <w:bCs/>
          <w:lang w:val="ru-RU"/>
        </w:rPr>
        <w:lastRenderedPageBreak/>
        <w:t>4</w:t>
      </w:r>
      <w:r w:rsidRPr="00C2224C">
        <w:rPr>
          <w:lang w:val="ru-RU"/>
        </w:rPr>
        <w:tab/>
        <w:t>Каким образом такие эксплуатационные меры (например, увеличение потери мощности для недопущения превышения плотности потока мощности) влияют на качество работы рассматриваемых спутниковых сетей в соответствующей зоне обслуживания?</w:t>
      </w:r>
    </w:p>
    <w:p w14:paraId="5DEE6E4B" w14:textId="0B003604" w:rsidR="00AE07F8" w:rsidRPr="00C2224C" w:rsidRDefault="003C7D8E" w:rsidP="00AE07F8">
      <w:pPr>
        <w:pStyle w:val="Call"/>
        <w:rPr>
          <w:i w:val="0"/>
          <w:iCs/>
          <w:szCs w:val="22"/>
          <w:lang w:val="ru-RU"/>
        </w:rPr>
      </w:pPr>
      <w:r w:rsidRPr="00C2224C">
        <w:rPr>
          <w:szCs w:val="22"/>
          <w:lang w:val="ru-RU"/>
        </w:rPr>
        <w:t xml:space="preserve">далее </w:t>
      </w:r>
      <w:r w:rsidR="00AE07F8" w:rsidRPr="00C2224C">
        <w:rPr>
          <w:szCs w:val="22"/>
          <w:lang w:val="ru-RU"/>
        </w:rPr>
        <w:t>решает</w:t>
      </w:r>
      <w:r w:rsidRPr="00C2224C">
        <w:rPr>
          <w:i w:val="0"/>
          <w:iCs/>
          <w:szCs w:val="22"/>
          <w:lang w:val="ru-RU"/>
        </w:rPr>
        <w:t>,</w:t>
      </w:r>
    </w:p>
    <w:p w14:paraId="1F0A1122" w14:textId="77777777" w:rsidR="00AE07F8" w:rsidRPr="00C2224C" w:rsidRDefault="00AE07F8" w:rsidP="00AE07F8">
      <w:pPr>
        <w:rPr>
          <w:szCs w:val="22"/>
          <w:lang w:val="ru-RU"/>
        </w:rPr>
      </w:pPr>
      <w:r w:rsidRPr="00C2224C">
        <w:rPr>
          <w:bCs/>
          <w:szCs w:val="22"/>
          <w:lang w:val="ru-RU"/>
        </w:rPr>
        <w:t>1</w:t>
      </w:r>
      <w:r w:rsidRPr="00C2224C">
        <w:rPr>
          <w:b/>
          <w:szCs w:val="22"/>
          <w:lang w:val="ru-RU"/>
        </w:rPr>
        <w:tab/>
      </w:r>
      <w:r w:rsidRPr="00C2224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60400FAE" w14:textId="32F1B0F5" w:rsidR="00AE07F8" w:rsidRPr="00C2224C" w:rsidRDefault="00AE07F8" w:rsidP="00AE07F8">
      <w:pPr>
        <w:rPr>
          <w:szCs w:val="22"/>
          <w:lang w:val="ru-RU"/>
        </w:rPr>
      </w:pPr>
      <w:r w:rsidRPr="00C2224C">
        <w:rPr>
          <w:bCs/>
          <w:szCs w:val="22"/>
          <w:lang w:val="ru-RU"/>
        </w:rPr>
        <w:t>2</w:t>
      </w:r>
      <w:r w:rsidRPr="00C2224C">
        <w:rPr>
          <w:b/>
          <w:szCs w:val="22"/>
          <w:lang w:val="ru-RU"/>
        </w:rPr>
        <w:tab/>
      </w:r>
      <w:r w:rsidRPr="00C2224C">
        <w:rPr>
          <w:szCs w:val="22"/>
          <w:lang w:val="ru-RU"/>
        </w:rPr>
        <w:t>что вышеуказанные иссл</w:t>
      </w:r>
      <w:r w:rsidR="002143FE" w:rsidRPr="00C2224C">
        <w:rPr>
          <w:szCs w:val="22"/>
          <w:lang w:val="ru-RU"/>
        </w:rPr>
        <w:t>едования следует завершить к 202</w:t>
      </w:r>
      <w:r w:rsidR="003C7D8E" w:rsidRPr="00C2224C">
        <w:rPr>
          <w:szCs w:val="22"/>
          <w:lang w:val="ru-RU"/>
        </w:rPr>
        <w:t>5</w:t>
      </w:r>
      <w:r w:rsidRPr="00C2224C">
        <w:rPr>
          <w:szCs w:val="22"/>
          <w:lang w:val="ru-RU"/>
        </w:rPr>
        <w:t xml:space="preserve"> году.</w:t>
      </w:r>
    </w:p>
    <w:p w14:paraId="14A6673F" w14:textId="77777777" w:rsidR="00AE07F8" w:rsidRPr="00C2224C" w:rsidRDefault="00AE07F8" w:rsidP="00C2224C">
      <w:pPr>
        <w:spacing w:before="480"/>
        <w:rPr>
          <w:szCs w:val="22"/>
          <w:lang w:val="ru-RU"/>
        </w:rPr>
      </w:pPr>
      <w:r w:rsidRPr="00C2224C">
        <w:rPr>
          <w:szCs w:val="22"/>
          <w:lang w:val="ru-RU"/>
        </w:rPr>
        <w:t>Категория: S1</w:t>
      </w:r>
    </w:p>
    <w:sectPr w:rsidR="00AE07F8" w:rsidRPr="00C2224C" w:rsidSect="00BE7B06">
      <w:headerReference w:type="default" r:id="rId8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B94E" w14:textId="77777777" w:rsidR="0030333D" w:rsidRDefault="0030333D">
      <w:r>
        <w:separator/>
      </w:r>
    </w:p>
  </w:endnote>
  <w:endnote w:type="continuationSeparator" w:id="0">
    <w:p w14:paraId="57B96201" w14:textId="77777777" w:rsidR="0030333D" w:rsidRDefault="0030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1A1A" w14:textId="77777777" w:rsidR="0030333D" w:rsidRDefault="0030333D">
      <w:r>
        <w:t>____________________</w:t>
      </w:r>
    </w:p>
  </w:footnote>
  <w:footnote w:type="continuationSeparator" w:id="0">
    <w:p w14:paraId="49037CA0" w14:textId="77777777" w:rsidR="0030333D" w:rsidRDefault="0030333D">
      <w:r>
        <w:continuationSeparator/>
      </w:r>
    </w:p>
  </w:footnote>
  <w:footnote w:id="1">
    <w:p w14:paraId="7E8C1778" w14:textId="68ECED0A" w:rsidR="00D15E00" w:rsidRPr="00D15E00" w:rsidRDefault="00D15E00" w:rsidP="00D15E00">
      <w:pPr>
        <w:pStyle w:val="FootnoteText"/>
        <w:rPr>
          <w:lang w:val="ru-RU"/>
        </w:rPr>
      </w:pPr>
      <w:r w:rsidRPr="00D15E00">
        <w:rPr>
          <w:rStyle w:val="FootnoteReference"/>
          <w:lang w:val="ru-RU"/>
        </w:rPr>
        <w:sym w:font="Symbol" w:char="F02A"/>
      </w:r>
      <w:r w:rsidR="00C2224C">
        <w:rPr>
          <w:lang w:val="ru-RU"/>
        </w:rPr>
        <w:tab/>
      </w:r>
      <w:r w:rsidRPr="00D15E00">
        <w:rPr>
          <w:lang w:val="ru-RU"/>
        </w:rPr>
        <w:t>В 2023 году 4-я Исследовательская комиссия по радиосвязи внесла редакционные поправки в текст настоящего Вопроса в соответствии с Резолюцией МСЭ-R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5AB0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2143FE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028554">
    <w:abstractNumId w:val="3"/>
  </w:num>
  <w:num w:numId="2" w16cid:durableId="1269503863">
    <w:abstractNumId w:val="5"/>
  </w:num>
  <w:num w:numId="3" w16cid:durableId="1895193881">
    <w:abstractNumId w:val="0"/>
  </w:num>
  <w:num w:numId="4" w16cid:durableId="1198202023">
    <w:abstractNumId w:val="4"/>
  </w:num>
  <w:num w:numId="5" w16cid:durableId="164052097">
    <w:abstractNumId w:val="7"/>
  </w:num>
  <w:num w:numId="6" w16cid:durableId="1010372746">
    <w:abstractNumId w:val="1"/>
  </w:num>
  <w:num w:numId="7" w16cid:durableId="1877738286">
    <w:abstractNumId w:val="8"/>
  </w:num>
  <w:num w:numId="8" w16cid:durableId="708846096">
    <w:abstractNumId w:val="6"/>
  </w:num>
  <w:num w:numId="9" w16cid:durableId="1329286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61"/>
    <w:rsid w:val="00006F77"/>
    <w:rsid w:val="000179B0"/>
    <w:rsid w:val="000254B4"/>
    <w:rsid w:val="0004009F"/>
    <w:rsid w:val="00040908"/>
    <w:rsid w:val="00044980"/>
    <w:rsid w:val="00057F69"/>
    <w:rsid w:val="0007270D"/>
    <w:rsid w:val="000827A6"/>
    <w:rsid w:val="000924EC"/>
    <w:rsid w:val="000F373B"/>
    <w:rsid w:val="0012517E"/>
    <w:rsid w:val="0013691C"/>
    <w:rsid w:val="001433B7"/>
    <w:rsid w:val="00154B35"/>
    <w:rsid w:val="001968FF"/>
    <w:rsid w:val="001B3CC4"/>
    <w:rsid w:val="001B42BC"/>
    <w:rsid w:val="001B5C19"/>
    <w:rsid w:val="001E4380"/>
    <w:rsid w:val="001E7A2A"/>
    <w:rsid w:val="001F1882"/>
    <w:rsid w:val="00203E88"/>
    <w:rsid w:val="00214057"/>
    <w:rsid w:val="002143FE"/>
    <w:rsid w:val="00293363"/>
    <w:rsid w:val="002D0376"/>
    <w:rsid w:val="0030333D"/>
    <w:rsid w:val="0034275C"/>
    <w:rsid w:val="0035067B"/>
    <w:rsid w:val="00367EF3"/>
    <w:rsid w:val="00387576"/>
    <w:rsid w:val="00397131"/>
    <w:rsid w:val="003A60EC"/>
    <w:rsid w:val="003A6EC9"/>
    <w:rsid w:val="003C739F"/>
    <w:rsid w:val="003C7D8E"/>
    <w:rsid w:val="003D1856"/>
    <w:rsid w:val="003F2DC8"/>
    <w:rsid w:val="003F7EAB"/>
    <w:rsid w:val="00415E4F"/>
    <w:rsid w:val="00442545"/>
    <w:rsid w:val="0044484E"/>
    <w:rsid w:val="004830D3"/>
    <w:rsid w:val="00491A1B"/>
    <w:rsid w:val="004A7F92"/>
    <w:rsid w:val="004D3C48"/>
    <w:rsid w:val="004D5D9F"/>
    <w:rsid w:val="004E3E56"/>
    <w:rsid w:val="004F0BBF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1430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57C4"/>
    <w:rsid w:val="007067F2"/>
    <w:rsid w:val="00706AF3"/>
    <w:rsid w:val="00712141"/>
    <w:rsid w:val="00726A3D"/>
    <w:rsid w:val="00747E54"/>
    <w:rsid w:val="007915C7"/>
    <w:rsid w:val="007A0CC3"/>
    <w:rsid w:val="007D08E5"/>
    <w:rsid w:val="007D6685"/>
    <w:rsid w:val="007E355A"/>
    <w:rsid w:val="008018F7"/>
    <w:rsid w:val="0080275E"/>
    <w:rsid w:val="00804F7F"/>
    <w:rsid w:val="0083065B"/>
    <w:rsid w:val="00837F0F"/>
    <w:rsid w:val="00840B1C"/>
    <w:rsid w:val="00871504"/>
    <w:rsid w:val="00881B4D"/>
    <w:rsid w:val="00882774"/>
    <w:rsid w:val="008838B2"/>
    <w:rsid w:val="008863D3"/>
    <w:rsid w:val="00895A11"/>
    <w:rsid w:val="008B2A4D"/>
    <w:rsid w:val="008F4DBC"/>
    <w:rsid w:val="00904980"/>
    <w:rsid w:val="00911C8E"/>
    <w:rsid w:val="009245ED"/>
    <w:rsid w:val="0093544E"/>
    <w:rsid w:val="0093740C"/>
    <w:rsid w:val="009439E3"/>
    <w:rsid w:val="00947E2C"/>
    <w:rsid w:val="009602F7"/>
    <w:rsid w:val="00962F37"/>
    <w:rsid w:val="009A7E8C"/>
    <w:rsid w:val="009B3CCD"/>
    <w:rsid w:val="009B4F35"/>
    <w:rsid w:val="009C7AD8"/>
    <w:rsid w:val="009D47DD"/>
    <w:rsid w:val="009E62CE"/>
    <w:rsid w:val="009F2ACB"/>
    <w:rsid w:val="009F5E49"/>
    <w:rsid w:val="009F6430"/>
    <w:rsid w:val="00A0013D"/>
    <w:rsid w:val="00A03A81"/>
    <w:rsid w:val="00A3239B"/>
    <w:rsid w:val="00A36428"/>
    <w:rsid w:val="00A6209D"/>
    <w:rsid w:val="00A659DB"/>
    <w:rsid w:val="00A76639"/>
    <w:rsid w:val="00A86F6C"/>
    <w:rsid w:val="00A972C6"/>
    <w:rsid w:val="00AB15E8"/>
    <w:rsid w:val="00AC3545"/>
    <w:rsid w:val="00AC6B03"/>
    <w:rsid w:val="00AD2A24"/>
    <w:rsid w:val="00AD79E8"/>
    <w:rsid w:val="00AE07F8"/>
    <w:rsid w:val="00AF0ADC"/>
    <w:rsid w:val="00B07D32"/>
    <w:rsid w:val="00B27A30"/>
    <w:rsid w:val="00B665E3"/>
    <w:rsid w:val="00B815E7"/>
    <w:rsid w:val="00B82B07"/>
    <w:rsid w:val="00B904CE"/>
    <w:rsid w:val="00B9554E"/>
    <w:rsid w:val="00B978F8"/>
    <w:rsid w:val="00BC3633"/>
    <w:rsid w:val="00BE4FE8"/>
    <w:rsid w:val="00BE7B06"/>
    <w:rsid w:val="00BF1F8E"/>
    <w:rsid w:val="00C20719"/>
    <w:rsid w:val="00C2224C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D398F"/>
    <w:rsid w:val="00CE66F2"/>
    <w:rsid w:val="00CF5441"/>
    <w:rsid w:val="00D11B04"/>
    <w:rsid w:val="00D143A6"/>
    <w:rsid w:val="00D147F6"/>
    <w:rsid w:val="00D15E00"/>
    <w:rsid w:val="00D316DA"/>
    <w:rsid w:val="00D61487"/>
    <w:rsid w:val="00D63763"/>
    <w:rsid w:val="00D723AA"/>
    <w:rsid w:val="00DB0313"/>
    <w:rsid w:val="00DB1E89"/>
    <w:rsid w:val="00DC401E"/>
    <w:rsid w:val="00DC6561"/>
    <w:rsid w:val="00E11986"/>
    <w:rsid w:val="00E2657F"/>
    <w:rsid w:val="00E3358B"/>
    <w:rsid w:val="00E36B77"/>
    <w:rsid w:val="00E46D27"/>
    <w:rsid w:val="00E47270"/>
    <w:rsid w:val="00E57529"/>
    <w:rsid w:val="00E808F3"/>
    <w:rsid w:val="00E92BF0"/>
    <w:rsid w:val="00E9573D"/>
    <w:rsid w:val="00EA7797"/>
    <w:rsid w:val="00EB77E8"/>
    <w:rsid w:val="00F0742E"/>
    <w:rsid w:val="00F1515C"/>
    <w:rsid w:val="00F163A6"/>
    <w:rsid w:val="00F577D7"/>
    <w:rsid w:val="00F61B74"/>
    <w:rsid w:val="00F6693F"/>
    <w:rsid w:val="00FB2FD4"/>
    <w:rsid w:val="00FC3847"/>
    <w:rsid w:val="00FC4DBA"/>
    <w:rsid w:val="00FC68FE"/>
    <w:rsid w:val="00FC778A"/>
    <w:rsid w:val="00FD1E3F"/>
    <w:rsid w:val="00FD4D54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A0A6F"/>
  <w15:docId w15:val="{067BC3F2-8C03-44CE-88D1-EAE9B898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C2224C"/>
    <w:pPr>
      <w:keepLines/>
      <w:tabs>
        <w:tab w:val="left" w:pos="284"/>
      </w:tabs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2224C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0E28C-59EC-4B1A-B570-904320C2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397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Fernandez Virginia</dc:creator>
  <cp:keywords/>
  <dc:description/>
  <cp:lastModifiedBy>BRSGD</cp:lastModifiedBy>
  <cp:revision>5</cp:revision>
  <cp:lastPrinted>2012-03-15T14:58:00Z</cp:lastPrinted>
  <dcterms:created xsi:type="dcterms:W3CDTF">2023-09-17T18:00:00Z</dcterms:created>
  <dcterms:modified xsi:type="dcterms:W3CDTF">2023-09-29T09:47:00Z</dcterms:modified>
</cp:coreProperties>
</file>