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8226" w14:textId="77777777" w:rsidR="00C06D9A" w:rsidRPr="005D61CF" w:rsidRDefault="00C06D9A" w:rsidP="00C06D9A">
      <w:pPr>
        <w:pStyle w:val="QuestionNoBR"/>
        <w:rPr>
          <w:rFonts w:ascii="Dubai" w:hAnsi="Dubai" w:cs="Dubai"/>
          <w:noProof/>
          <w:szCs w:val="28"/>
          <w:rtl/>
          <w:lang w:val="en-US"/>
        </w:rPr>
      </w:pPr>
      <w:r w:rsidRPr="005D61CF">
        <w:rPr>
          <w:rFonts w:ascii="Dubai" w:hAnsi="Dubai" w:cs="Dubai"/>
          <w:b/>
          <w:noProof/>
          <w:szCs w:val="28"/>
          <w:rtl/>
          <w:lang w:val="en-US"/>
        </w:rPr>
        <w:t xml:space="preserve">المسألة </w:t>
      </w:r>
      <w:r w:rsidRPr="005D61CF">
        <w:rPr>
          <w:rFonts w:ascii="Dubai" w:hAnsi="Dubai" w:cs="Dubai"/>
          <w:b/>
          <w:noProof/>
          <w:szCs w:val="28"/>
          <w:lang w:val="en-US"/>
        </w:rPr>
        <w:t xml:space="preserve"> ITU-R 282/4</w:t>
      </w:r>
    </w:p>
    <w:p w14:paraId="43B8E291" w14:textId="77777777" w:rsidR="00C06D9A" w:rsidRPr="005D61CF" w:rsidRDefault="00C06D9A" w:rsidP="00C06D9A">
      <w:pPr>
        <w:pStyle w:val="Questiontitle"/>
        <w:rPr>
          <w:rFonts w:ascii="Dubai" w:hAnsi="Dubai" w:cs="Dubai"/>
          <w:bCs/>
          <w:noProof/>
          <w:szCs w:val="28"/>
          <w:rtl/>
          <w:lang w:val="en-US"/>
        </w:rPr>
      </w:pPr>
      <w:r w:rsidRPr="005D61CF">
        <w:rPr>
          <w:rFonts w:ascii="Dubai" w:hAnsi="Dubai" w:cs="Dubai"/>
          <w:b w:val="0"/>
          <w:bCs/>
          <w:noProof/>
          <w:szCs w:val="28"/>
          <w:rtl/>
          <w:lang w:val="en-US"/>
        </w:rPr>
        <w:t>مسائل تقاسم الترددات المتعلقة بإدخال الخدمة الإذاعية الساتلية (الصوتية)</w:t>
      </w:r>
      <w:r w:rsidRPr="005D61CF">
        <w:rPr>
          <w:rFonts w:ascii="Dubai" w:hAnsi="Dubai" w:cs="Dubai"/>
          <w:b w:val="0"/>
          <w:bCs/>
          <w:noProof/>
          <w:szCs w:val="28"/>
          <w:lang w:val="en-US"/>
        </w:rPr>
        <w:br/>
      </w:r>
      <w:r w:rsidRPr="005D61CF">
        <w:rPr>
          <w:rFonts w:ascii="Dubai" w:hAnsi="Dubai" w:cs="Dubai"/>
          <w:b w:val="0"/>
          <w:bCs/>
          <w:noProof/>
          <w:szCs w:val="28"/>
          <w:rtl/>
          <w:lang w:val="en-US"/>
        </w:rPr>
        <w:t xml:space="preserve">في مدى الترددات </w:t>
      </w:r>
      <w:r w:rsidRPr="005D61CF">
        <w:rPr>
          <w:rFonts w:ascii="Dubai" w:hAnsi="Dubai" w:cs="Dubai"/>
          <w:b w:val="0"/>
          <w:bCs/>
          <w:noProof/>
          <w:szCs w:val="28"/>
          <w:lang w:val="en-US"/>
        </w:rPr>
        <w:t>GHz 3-1</w:t>
      </w:r>
    </w:p>
    <w:p w14:paraId="26D8AAB2" w14:textId="77777777" w:rsidR="00C06D9A" w:rsidRPr="005D61CF" w:rsidRDefault="00C06D9A" w:rsidP="00C06D9A">
      <w:pPr>
        <w:pStyle w:val="Questiondate"/>
        <w:rPr>
          <w:rFonts w:ascii="Dubai" w:hAnsi="Dubai" w:cs="Dubai"/>
          <w:bCs/>
          <w:i w:val="0"/>
          <w:iCs/>
          <w:noProof/>
          <w:sz w:val="18"/>
          <w:szCs w:val="18"/>
          <w:lang w:val="en-US"/>
        </w:rPr>
      </w:pPr>
      <w:r w:rsidRPr="005D61CF">
        <w:rPr>
          <w:rFonts w:ascii="Dubai" w:hAnsi="Dubai" w:cs="Dubai"/>
          <w:bCs/>
          <w:i w:val="0"/>
          <w:iCs/>
          <w:noProof/>
          <w:szCs w:val="22"/>
          <w:lang w:val="en-US"/>
        </w:rPr>
        <w:t>(2009)</w:t>
      </w:r>
    </w:p>
    <w:p w14:paraId="61193638" w14:textId="77777777" w:rsidR="00C06D9A" w:rsidRPr="005D61CF" w:rsidRDefault="00C06D9A" w:rsidP="00C06D9A">
      <w:pPr>
        <w:pStyle w:val="Normalaftertitle"/>
        <w:rPr>
          <w:rFonts w:ascii="Dubai" w:hAnsi="Dubai" w:cs="Dubai"/>
          <w:noProof/>
          <w:szCs w:val="22"/>
          <w:rtl/>
        </w:rPr>
      </w:pPr>
      <w:r w:rsidRPr="005D61CF">
        <w:rPr>
          <w:rFonts w:ascii="Dubai" w:hAnsi="Dubai" w:cs="Dubai"/>
          <w:b/>
          <w:noProof/>
          <w:szCs w:val="22"/>
          <w:rtl/>
        </w:rPr>
        <w:t xml:space="preserve">إن جمعية الاتصالات الراديوية </w:t>
      </w:r>
      <w:r w:rsidRPr="005D61CF">
        <w:rPr>
          <w:rFonts w:ascii="Dubai" w:hAnsi="Dubai" w:cs="Dubai"/>
          <w:b/>
          <w:noProof/>
          <w:szCs w:val="22"/>
          <w:rtl/>
          <w:lang w:val="fr-CH"/>
        </w:rPr>
        <w:t>للاتحاد الدولي للاتصالات</w:t>
      </w:r>
      <w:r w:rsidRPr="005D61CF">
        <w:rPr>
          <w:rFonts w:ascii="Dubai" w:hAnsi="Dubai" w:cs="Dubai"/>
          <w:b/>
          <w:noProof/>
          <w:szCs w:val="22"/>
          <w:rtl/>
        </w:rPr>
        <w:t>،</w:t>
      </w:r>
    </w:p>
    <w:p w14:paraId="1F41EE18" w14:textId="77777777" w:rsidR="00C06D9A" w:rsidRPr="005D61CF" w:rsidRDefault="00C06D9A" w:rsidP="00C06D9A">
      <w:pPr>
        <w:pStyle w:val="Call"/>
        <w:tabs>
          <w:tab w:val="clear" w:pos="1985"/>
          <w:tab w:val="left" w:pos="2762"/>
        </w:tabs>
        <w:spacing w:before="120"/>
        <w:rPr>
          <w:rFonts w:ascii="Dubai" w:hAnsi="Dubai" w:cs="Dubai"/>
          <w:i w:val="0"/>
          <w:iCs/>
          <w:noProof/>
          <w:szCs w:val="22"/>
          <w:rtl/>
        </w:rPr>
      </w:pPr>
      <w:r w:rsidRPr="005D61CF">
        <w:rPr>
          <w:rFonts w:ascii="Dubai" w:hAnsi="Dubai" w:cs="Dubai"/>
          <w:b/>
          <w:i w:val="0"/>
          <w:iCs/>
          <w:noProof/>
          <w:szCs w:val="22"/>
          <w:rtl/>
        </w:rPr>
        <w:t>إذ تضع في اعتبارها</w:t>
      </w:r>
    </w:p>
    <w:p w14:paraId="3F57C9D6" w14:textId="77777777" w:rsidR="00C06D9A" w:rsidRPr="005D61CF" w:rsidRDefault="00C06D9A" w:rsidP="00C06D9A">
      <w:pPr>
        <w:rPr>
          <w:rFonts w:ascii="Dubai" w:hAnsi="Dubai" w:cs="Dubai"/>
          <w:noProof/>
          <w:szCs w:val="22"/>
          <w:rtl/>
          <w:lang w:val="en-US"/>
        </w:rPr>
      </w:pPr>
      <w:r w:rsidRPr="005D61CF">
        <w:rPr>
          <w:rFonts w:ascii="Dubai" w:hAnsi="Dubai" w:cs="Dubai"/>
          <w:b/>
          <w:i/>
          <w:iCs/>
          <w:noProof/>
          <w:szCs w:val="22"/>
          <w:rtl/>
        </w:rPr>
        <w:t xml:space="preserve"> أ )</w:t>
      </w:r>
      <w:r w:rsidRPr="005D61CF">
        <w:rPr>
          <w:rFonts w:ascii="Dubai" w:hAnsi="Dubai" w:cs="Dubai"/>
          <w:noProof/>
          <w:szCs w:val="22"/>
          <w:rtl/>
        </w:rPr>
        <w:tab/>
      </w:r>
      <w:r w:rsidRPr="005D61CF">
        <w:rPr>
          <w:rFonts w:ascii="Dubai" w:hAnsi="Dubai" w:cs="Dubai"/>
          <w:b/>
          <w:noProof/>
          <w:szCs w:val="22"/>
          <w:rtl/>
        </w:rPr>
        <w:t xml:space="preserve">أن توزيع الترددات على </w:t>
      </w:r>
      <w:r w:rsidRPr="005D61CF">
        <w:rPr>
          <w:rFonts w:ascii="Dubai" w:hAnsi="Dubai" w:cs="Dubai"/>
          <w:b/>
          <w:noProof/>
          <w:szCs w:val="22"/>
          <w:rtl/>
          <w:lang w:val="en-US"/>
        </w:rPr>
        <w:t xml:space="preserve">الخدمة الإذاعية الساتلية </w:t>
      </w:r>
      <w:r w:rsidRPr="005D61CF">
        <w:rPr>
          <w:rFonts w:ascii="Dubai" w:hAnsi="Dubai" w:cs="Dubai"/>
          <w:bCs/>
          <w:noProof/>
          <w:szCs w:val="22"/>
          <w:lang w:val="en-US"/>
        </w:rPr>
        <w:t>(BSS)</w:t>
      </w:r>
      <w:r w:rsidRPr="005D61CF">
        <w:rPr>
          <w:rFonts w:ascii="Dubai" w:hAnsi="Dubai" w:cs="Dubai"/>
          <w:b/>
          <w:noProof/>
          <w:szCs w:val="22"/>
          <w:rtl/>
          <w:lang w:val="en-US"/>
        </w:rPr>
        <w:t xml:space="preserve"> (الصوتية) والإذاعة الأرضية التكميلية موجود في النطاقات الواقعة في جوار </w:t>
      </w:r>
      <w:r w:rsidRPr="005D61CF">
        <w:rPr>
          <w:rFonts w:ascii="Dubai" w:hAnsi="Dubai" w:cs="Dubai"/>
          <w:bCs/>
          <w:noProof/>
          <w:szCs w:val="22"/>
          <w:lang w:val="en-US"/>
        </w:rPr>
        <w:t>1,5</w:t>
      </w:r>
      <w:r w:rsidRPr="005D61CF">
        <w:rPr>
          <w:rFonts w:ascii="Dubai" w:hAnsi="Dubai" w:cs="Dubai"/>
          <w:b/>
          <w:noProof/>
          <w:szCs w:val="22"/>
          <w:rtl/>
          <w:lang w:val="en-US"/>
        </w:rPr>
        <w:t xml:space="preserve"> و</w:t>
      </w:r>
      <w:r w:rsidRPr="005D61CF">
        <w:rPr>
          <w:rFonts w:ascii="Dubai" w:hAnsi="Dubai" w:cs="Dubai"/>
          <w:bCs/>
          <w:noProof/>
          <w:szCs w:val="22"/>
          <w:lang w:val="en-US"/>
        </w:rPr>
        <w:t>2,3</w:t>
      </w:r>
      <w:r w:rsidRPr="005D61CF">
        <w:rPr>
          <w:rFonts w:ascii="Dubai" w:hAnsi="Dubai" w:cs="Dubai"/>
          <w:b/>
          <w:noProof/>
          <w:szCs w:val="22"/>
          <w:rtl/>
          <w:lang w:val="en-US"/>
        </w:rPr>
        <w:t xml:space="preserve"> و</w:t>
      </w:r>
      <w:r w:rsidRPr="005D61CF">
        <w:rPr>
          <w:rFonts w:ascii="Dubai" w:hAnsi="Dubai" w:cs="Dubai"/>
          <w:bCs/>
          <w:noProof/>
          <w:szCs w:val="22"/>
          <w:lang w:val="en-US"/>
        </w:rPr>
        <w:t>GHz 2,6</w:t>
      </w:r>
      <w:r w:rsidRPr="005D61CF">
        <w:rPr>
          <w:rFonts w:ascii="Dubai" w:hAnsi="Dubai" w:cs="Dubai"/>
          <w:b/>
          <w:noProof/>
          <w:szCs w:val="22"/>
          <w:rtl/>
          <w:lang w:val="en-US"/>
        </w:rPr>
        <w:t xml:space="preserve"> من أجل الإذاعة الصوتية الرقمية إلى المستقبلات المحمولة والموجودة في المركبات؛</w:t>
      </w:r>
    </w:p>
    <w:p w14:paraId="25E6FCA6" w14:textId="77777777" w:rsidR="00C06D9A" w:rsidRPr="005D61CF" w:rsidRDefault="00C06D9A" w:rsidP="00C06D9A">
      <w:pPr>
        <w:rPr>
          <w:rFonts w:ascii="Dubai" w:hAnsi="Dubai" w:cs="Dubai"/>
          <w:noProof/>
          <w:szCs w:val="22"/>
          <w:rtl/>
          <w:lang w:val="en-US"/>
        </w:rPr>
      </w:pPr>
      <w:r w:rsidRPr="005D61CF">
        <w:rPr>
          <w:rFonts w:ascii="Dubai" w:hAnsi="Dubai" w:cs="Dubai"/>
          <w:b/>
          <w:i/>
          <w:iCs/>
          <w:noProof/>
          <w:szCs w:val="22"/>
          <w:rtl/>
        </w:rPr>
        <w:t>ب)</w:t>
      </w:r>
      <w:r w:rsidRPr="005D61CF">
        <w:rPr>
          <w:rFonts w:ascii="Dubai" w:hAnsi="Dubai" w:cs="Dubai"/>
          <w:noProof/>
          <w:szCs w:val="22"/>
          <w:rtl/>
        </w:rPr>
        <w:tab/>
      </w:r>
      <w:r w:rsidRPr="005D61CF">
        <w:rPr>
          <w:rFonts w:ascii="Dubai" w:hAnsi="Dubai" w:cs="Dubai"/>
          <w:b/>
          <w:noProof/>
          <w:szCs w:val="22"/>
          <w:rtl/>
        </w:rPr>
        <w:t xml:space="preserve">أن كل واحد من هذه النطاقات الثلاثة يحتوي على توزيعات لبعض خدمات الأرض، وأن النطاق </w:t>
      </w:r>
      <w:r w:rsidRPr="005D61CF">
        <w:rPr>
          <w:rFonts w:ascii="Dubai" w:hAnsi="Dubai" w:cs="Dubai"/>
          <w:bCs/>
          <w:noProof/>
          <w:szCs w:val="22"/>
          <w:lang w:val="en-US"/>
        </w:rPr>
        <w:t>GHz 2,6</w:t>
      </w:r>
      <w:r w:rsidRPr="005D61CF">
        <w:rPr>
          <w:rFonts w:ascii="Dubai" w:hAnsi="Dubai" w:cs="Dubai"/>
          <w:b/>
          <w:noProof/>
          <w:szCs w:val="22"/>
          <w:rtl/>
          <w:lang w:val="en-US"/>
        </w:rPr>
        <w:t xml:space="preserve"> يحتوي أيضاً على توزيع للخدمة الثابتة الساتلية (فضاء-أرض) في الإقليمين </w:t>
      </w:r>
      <w:r w:rsidRPr="005D61CF">
        <w:rPr>
          <w:rFonts w:ascii="Dubai" w:hAnsi="Dubai" w:cs="Dubai"/>
          <w:bCs/>
          <w:noProof/>
          <w:szCs w:val="22"/>
          <w:lang w:val="en-US"/>
        </w:rPr>
        <w:t>2</w:t>
      </w:r>
      <w:r w:rsidRPr="005D61CF">
        <w:rPr>
          <w:rFonts w:ascii="Dubai" w:hAnsi="Dubai" w:cs="Dubai"/>
          <w:b/>
          <w:noProof/>
          <w:szCs w:val="22"/>
          <w:rtl/>
          <w:lang w:val="en-US"/>
        </w:rPr>
        <w:t xml:space="preserve"> و</w:t>
      </w:r>
      <w:r w:rsidRPr="005D61CF">
        <w:rPr>
          <w:rFonts w:ascii="Dubai" w:hAnsi="Dubai" w:cs="Dubai"/>
          <w:bCs/>
          <w:noProof/>
          <w:szCs w:val="22"/>
          <w:lang w:val="en-US"/>
        </w:rPr>
        <w:t>3</w:t>
      </w:r>
      <w:r w:rsidRPr="005D61CF">
        <w:rPr>
          <w:rFonts w:ascii="Dubai" w:hAnsi="Dubai" w:cs="Dubai"/>
          <w:b/>
          <w:noProof/>
          <w:szCs w:val="22"/>
          <w:rtl/>
          <w:lang w:val="en-US"/>
        </w:rPr>
        <w:t>، وللخدمة المتنقلة الساتلية (أرض-فضاء)؛</w:t>
      </w:r>
    </w:p>
    <w:p w14:paraId="297720FB" w14:textId="77777777" w:rsidR="00C06D9A" w:rsidRPr="005D61CF" w:rsidRDefault="00C06D9A" w:rsidP="00C06D9A">
      <w:pPr>
        <w:rPr>
          <w:rFonts w:ascii="Dubai" w:hAnsi="Dubai" w:cs="Dubai"/>
          <w:noProof/>
          <w:szCs w:val="22"/>
          <w:rtl/>
          <w:lang w:val="en-US"/>
        </w:rPr>
      </w:pPr>
      <w:r w:rsidRPr="005D61CF">
        <w:rPr>
          <w:rFonts w:ascii="Dubai" w:hAnsi="Dubai" w:cs="Dubai"/>
          <w:b/>
          <w:i/>
          <w:iCs/>
          <w:noProof/>
          <w:szCs w:val="22"/>
          <w:rtl/>
        </w:rPr>
        <w:t>ج)</w:t>
      </w:r>
      <w:r w:rsidRPr="005D61CF">
        <w:rPr>
          <w:rFonts w:ascii="Dubai" w:hAnsi="Dubai" w:cs="Dubai"/>
          <w:noProof/>
          <w:szCs w:val="22"/>
          <w:rtl/>
        </w:rPr>
        <w:tab/>
      </w:r>
      <w:r w:rsidRPr="005D61CF">
        <w:rPr>
          <w:rFonts w:ascii="Dubai" w:hAnsi="Dubai" w:cs="Dubai"/>
          <w:b/>
          <w:noProof/>
          <w:szCs w:val="22"/>
          <w:rtl/>
        </w:rPr>
        <w:t>أن من اللازم أن يتم إدخال الخدمة الإذاعية الساتلية (الصوتية) والإذاعة الأرضية التكميلية بكل مرونة وإنصاف</w:t>
      </w:r>
      <w:r w:rsidRPr="005D61CF">
        <w:rPr>
          <w:rFonts w:ascii="Dubai" w:hAnsi="Dubai" w:cs="Dubai"/>
          <w:b/>
          <w:noProof/>
          <w:szCs w:val="22"/>
          <w:rtl/>
          <w:lang w:val="en-US"/>
        </w:rPr>
        <w:t>؛</w:t>
      </w:r>
    </w:p>
    <w:p w14:paraId="5A390B42" w14:textId="77777777" w:rsidR="00C06D9A" w:rsidRPr="005D61CF" w:rsidRDefault="00C06D9A" w:rsidP="00C06D9A">
      <w:pPr>
        <w:rPr>
          <w:rFonts w:ascii="Dubai" w:hAnsi="Dubai" w:cs="Dubai"/>
          <w:noProof/>
          <w:szCs w:val="22"/>
          <w:rtl/>
          <w:lang w:val="en-US"/>
        </w:rPr>
      </w:pPr>
      <w:r w:rsidRPr="005D61CF">
        <w:rPr>
          <w:rFonts w:ascii="Dubai" w:hAnsi="Dubai" w:cs="Dubai"/>
          <w:b/>
          <w:i/>
          <w:iCs/>
          <w:noProof/>
          <w:szCs w:val="22"/>
          <w:rtl/>
        </w:rPr>
        <w:t>د )</w:t>
      </w:r>
      <w:r w:rsidRPr="005D61CF">
        <w:rPr>
          <w:rFonts w:ascii="Dubai" w:hAnsi="Dubai" w:cs="Dubai"/>
          <w:noProof/>
          <w:szCs w:val="22"/>
          <w:rtl/>
        </w:rPr>
        <w:tab/>
      </w:r>
      <w:r w:rsidRPr="005D61CF">
        <w:rPr>
          <w:rFonts w:ascii="Dubai" w:hAnsi="Dubai" w:cs="Dubai"/>
          <w:b/>
          <w:noProof/>
          <w:szCs w:val="22"/>
          <w:rtl/>
        </w:rPr>
        <w:t xml:space="preserve">أن هذا الهدف وارد في القرار </w:t>
      </w:r>
      <w:r w:rsidRPr="005D61CF">
        <w:rPr>
          <w:rFonts w:ascii="Dubai" w:hAnsi="Dubai" w:cs="Dubai"/>
          <w:bCs/>
          <w:noProof/>
          <w:szCs w:val="22"/>
          <w:lang w:val="en-US"/>
        </w:rPr>
        <w:t>528 (Rev</w:t>
      </w:r>
      <w:r w:rsidRPr="005D61CF">
        <w:rPr>
          <w:rFonts w:ascii="Dubai" w:hAnsi="Dubai" w:cs="Dubai"/>
          <w:bCs/>
          <w:noProof/>
          <w:szCs w:val="22"/>
          <w:lang w:val="fr-FR"/>
        </w:rPr>
        <w:t>.</w:t>
      </w:r>
      <w:r w:rsidRPr="005D61CF">
        <w:rPr>
          <w:rFonts w:ascii="Dubai" w:hAnsi="Dubai" w:cs="Dubai"/>
          <w:bCs/>
          <w:noProof/>
          <w:szCs w:val="22"/>
          <w:lang w:val="en-US"/>
        </w:rPr>
        <w:t>WRC-03)</w:t>
      </w:r>
      <w:r w:rsidRPr="005D61CF">
        <w:rPr>
          <w:rFonts w:ascii="Dubai" w:hAnsi="Dubai" w:cs="Dubai"/>
          <w:b/>
          <w:noProof/>
          <w:szCs w:val="22"/>
          <w:rtl/>
          <w:lang w:val="en-US"/>
        </w:rPr>
        <w:t>، الذي يطلب أن يدعى مؤتمر مختص لتخطيط الخدمة الإذاعية الساتلية (الصوتية) في النطاقات الموزعة لهذه الخدمة، ولوضع إجراءات تحكم الاستخدام المنسّق للإذاعة الأرضية التكميلية؛</w:t>
      </w:r>
    </w:p>
    <w:p w14:paraId="5971C728" w14:textId="77777777" w:rsidR="00C06D9A" w:rsidRPr="005D61CF" w:rsidRDefault="00C06D9A" w:rsidP="00C06D9A">
      <w:pPr>
        <w:rPr>
          <w:rFonts w:ascii="Dubai" w:hAnsi="Dubai" w:cs="Dubai"/>
          <w:noProof/>
          <w:szCs w:val="22"/>
          <w:rtl/>
          <w:lang w:val="en-US"/>
        </w:rPr>
      </w:pPr>
      <w:r w:rsidRPr="005D61CF">
        <w:rPr>
          <w:rFonts w:ascii="Dubai" w:hAnsi="Dubai" w:cs="Dubai"/>
          <w:b/>
          <w:i/>
          <w:iCs/>
          <w:noProof/>
          <w:szCs w:val="22"/>
          <w:rtl/>
          <w:lang w:val="en-US"/>
        </w:rPr>
        <w:t>ﻫ</w:t>
      </w:r>
      <w:r w:rsidRPr="005D61CF">
        <w:rPr>
          <w:rFonts w:ascii="Dubai" w:hAnsi="Dubai" w:cs="Dubai"/>
          <w:b/>
          <w:i/>
          <w:iCs/>
          <w:noProof/>
          <w:szCs w:val="22"/>
          <w:rtl/>
        </w:rPr>
        <w:t xml:space="preserve"> )</w:t>
      </w:r>
      <w:r w:rsidRPr="005D61CF">
        <w:rPr>
          <w:rFonts w:ascii="Dubai" w:hAnsi="Dubai" w:cs="Dubai"/>
          <w:noProof/>
          <w:szCs w:val="22"/>
          <w:rtl/>
        </w:rPr>
        <w:tab/>
      </w:r>
      <w:r w:rsidRPr="005D61CF">
        <w:rPr>
          <w:rFonts w:ascii="Dubai" w:hAnsi="Dubai" w:cs="Dubai"/>
          <w:b/>
          <w:noProof/>
          <w:szCs w:val="22"/>
          <w:rtl/>
        </w:rPr>
        <w:t xml:space="preserve">أن القرار </w:t>
      </w:r>
      <w:r w:rsidRPr="005D61CF">
        <w:rPr>
          <w:rFonts w:ascii="Dubai" w:hAnsi="Dubai" w:cs="Dubai"/>
          <w:bCs/>
          <w:noProof/>
          <w:szCs w:val="22"/>
          <w:lang w:val="en-US"/>
        </w:rPr>
        <w:t>528 (Rev.WRC-03)</w:t>
      </w:r>
      <w:r w:rsidRPr="005D61CF">
        <w:rPr>
          <w:rFonts w:ascii="Dubai" w:hAnsi="Dubai" w:cs="Dubai"/>
          <w:b/>
          <w:noProof/>
          <w:szCs w:val="22"/>
          <w:rtl/>
          <w:lang w:val="en-US"/>
        </w:rPr>
        <w:t xml:space="preserve"> يحدد أيضاً إجراء للتنسيق يطبق لتشغيل أنظمة إذاعية صوتية رقمية ساتلية أثناء الفترة الانتقالية التي تسبق المؤتمر المذكور، ويوضح أن طرائق الحساب ومعايير التداخل الواجب تطبيقها لهذا الإجراء يجب أن تبنى على توصيات القطاع </w:t>
      </w:r>
      <w:r w:rsidRPr="005D61CF">
        <w:rPr>
          <w:rFonts w:ascii="Dubai" w:hAnsi="Dubai" w:cs="Dubai"/>
          <w:bCs/>
          <w:noProof/>
          <w:szCs w:val="22"/>
          <w:lang w:val="en-US"/>
        </w:rPr>
        <w:t>ITU-R</w:t>
      </w:r>
      <w:r w:rsidRPr="005D61CF">
        <w:rPr>
          <w:rFonts w:ascii="Dubai" w:hAnsi="Dubai" w:cs="Dubai"/>
          <w:b/>
          <w:noProof/>
          <w:szCs w:val="22"/>
          <w:rtl/>
          <w:lang w:val="en-US"/>
        </w:rPr>
        <w:t xml:space="preserve"> ذات الصلة؛</w:t>
      </w:r>
    </w:p>
    <w:p w14:paraId="7CF21DBF" w14:textId="77777777" w:rsidR="00C06D9A" w:rsidRPr="005D61CF" w:rsidRDefault="00C06D9A" w:rsidP="00C06D9A">
      <w:pPr>
        <w:rPr>
          <w:rFonts w:ascii="Dubai" w:hAnsi="Dubai" w:cs="Dubai"/>
          <w:noProof/>
          <w:szCs w:val="22"/>
          <w:rtl/>
          <w:lang w:val="en-US"/>
        </w:rPr>
      </w:pPr>
      <w:r w:rsidRPr="005D61CF">
        <w:rPr>
          <w:rFonts w:ascii="Dubai" w:hAnsi="Dubai" w:cs="Dubai"/>
          <w:b/>
          <w:i/>
          <w:iCs/>
          <w:noProof/>
          <w:szCs w:val="22"/>
          <w:rtl/>
        </w:rPr>
        <w:t>و )</w:t>
      </w:r>
      <w:r w:rsidRPr="005D61CF">
        <w:rPr>
          <w:rFonts w:ascii="Dubai" w:hAnsi="Dubai" w:cs="Dubai"/>
          <w:noProof/>
          <w:szCs w:val="22"/>
          <w:rtl/>
        </w:rPr>
        <w:tab/>
      </w:r>
      <w:r w:rsidRPr="005D61CF">
        <w:rPr>
          <w:rFonts w:ascii="Dubai" w:hAnsi="Dubai" w:cs="Dubai"/>
          <w:b/>
          <w:noProof/>
          <w:szCs w:val="22"/>
          <w:rtl/>
        </w:rPr>
        <w:t xml:space="preserve">أن القرار </w:t>
      </w:r>
      <w:r w:rsidRPr="005D61CF">
        <w:rPr>
          <w:rFonts w:ascii="Dubai" w:hAnsi="Dubai" w:cs="Dubai"/>
          <w:bCs/>
          <w:noProof/>
          <w:szCs w:val="22"/>
          <w:lang w:val="en-US"/>
        </w:rPr>
        <w:t>528 (Rev.WRC-03)</w:t>
      </w:r>
      <w:r w:rsidRPr="005D61CF">
        <w:rPr>
          <w:rFonts w:ascii="Dubai" w:hAnsi="Dubai" w:cs="Dubai"/>
          <w:b/>
          <w:noProof/>
          <w:szCs w:val="22"/>
          <w:rtl/>
          <w:lang w:val="en-US"/>
        </w:rPr>
        <w:t xml:space="preserve"> يدعو المؤتمر المقصود في البند د) أعلاه من </w:t>
      </w:r>
      <w:r w:rsidRPr="005D61CF">
        <w:rPr>
          <w:rFonts w:ascii="Dubai" w:hAnsi="Dubai" w:cs="Dubai"/>
          <w:b/>
          <w:i/>
          <w:iCs/>
          <w:noProof/>
          <w:szCs w:val="22"/>
          <w:rtl/>
          <w:lang w:val="en-US"/>
        </w:rPr>
        <w:t>إذ تضع في اعتبارها</w:t>
      </w:r>
      <w:r w:rsidRPr="005D61CF">
        <w:rPr>
          <w:rFonts w:ascii="Dubai" w:hAnsi="Dubai" w:cs="Dubai"/>
          <w:b/>
          <w:noProof/>
          <w:szCs w:val="22"/>
          <w:rtl/>
          <w:lang w:val="en-US"/>
        </w:rPr>
        <w:t>، إلى مراجعة معايير التقاسم مع خدمات أخرى،</w:t>
      </w:r>
    </w:p>
    <w:p w14:paraId="6F6C2EE1" w14:textId="77777777" w:rsidR="00C06D9A" w:rsidRPr="005D61CF" w:rsidRDefault="00C06D9A" w:rsidP="00C06D9A">
      <w:pPr>
        <w:pStyle w:val="Call"/>
        <w:spacing w:before="120"/>
        <w:rPr>
          <w:rFonts w:ascii="Dubai" w:hAnsi="Dubai" w:cs="Dubai"/>
          <w:noProof/>
          <w:szCs w:val="22"/>
          <w:rtl/>
        </w:rPr>
      </w:pPr>
      <w:r w:rsidRPr="005D61CF">
        <w:rPr>
          <w:rFonts w:ascii="Dubai" w:hAnsi="Dubai" w:cs="Dubai"/>
          <w:b/>
          <w:i w:val="0"/>
          <w:iCs/>
          <w:noProof/>
          <w:szCs w:val="22"/>
          <w:rtl/>
        </w:rPr>
        <w:t>تقرر</w:t>
      </w:r>
      <w:r w:rsidRPr="005D61CF">
        <w:rPr>
          <w:rFonts w:ascii="Dubai" w:hAnsi="Dubai" w:cs="Dubai"/>
          <w:b/>
          <w:noProof/>
          <w:szCs w:val="22"/>
          <w:rtl/>
        </w:rPr>
        <w:t xml:space="preserve"> طرح المسائل التالية للدراسة</w:t>
      </w:r>
    </w:p>
    <w:p w14:paraId="244F6FBE" w14:textId="77777777" w:rsidR="00C06D9A" w:rsidRPr="005D61CF" w:rsidRDefault="00C06D9A" w:rsidP="00C06D9A">
      <w:pPr>
        <w:rPr>
          <w:rFonts w:ascii="Dubai" w:hAnsi="Dubai" w:cs="Dubai"/>
          <w:noProof/>
          <w:szCs w:val="22"/>
          <w:rtl/>
          <w:lang w:val="en-US"/>
        </w:rPr>
      </w:pPr>
      <w:r w:rsidRPr="005D61CF">
        <w:rPr>
          <w:rFonts w:ascii="Dubai" w:hAnsi="Dubai" w:cs="Dubai"/>
          <w:bCs/>
          <w:noProof/>
          <w:szCs w:val="22"/>
          <w:lang w:val="en-US"/>
        </w:rPr>
        <w:t>1</w:t>
      </w:r>
      <w:r w:rsidRPr="005D61CF">
        <w:rPr>
          <w:rFonts w:ascii="Dubai" w:hAnsi="Dubai" w:cs="Dubai"/>
          <w:noProof/>
          <w:szCs w:val="22"/>
          <w:rtl/>
          <w:lang w:val="en-US"/>
        </w:rPr>
        <w:tab/>
      </w:r>
      <w:r w:rsidRPr="005D61CF">
        <w:rPr>
          <w:rFonts w:ascii="Dubai" w:hAnsi="Dubai" w:cs="Dubai"/>
          <w:b/>
          <w:noProof/>
          <w:szCs w:val="22"/>
          <w:rtl/>
          <w:lang w:val="en-US"/>
        </w:rPr>
        <w:t>ما هي الخصائص التقنية والتشغيلية المفضلة لأنظمة الخدمة الإذاعية الساتلية (الصوتية) الواجب حمايتها، لا سيما المتطلبات من حيث الضوضاء والتداخل وميزنة التداخلات؟</w:t>
      </w:r>
    </w:p>
    <w:p w14:paraId="167E8532" w14:textId="77777777" w:rsidR="00C06D9A" w:rsidRPr="005D61CF" w:rsidRDefault="00C06D9A" w:rsidP="00C06D9A">
      <w:pPr>
        <w:rPr>
          <w:rFonts w:ascii="Dubai" w:hAnsi="Dubai" w:cs="Dubai"/>
          <w:noProof/>
          <w:szCs w:val="22"/>
          <w:rtl/>
          <w:lang w:val="en-US"/>
        </w:rPr>
      </w:pPr>
      <w:r w:rsidRPr="005D61CF">
        <w:rPr>
          <w:rFonts w:ascii="Dubai" w:hAnsi="Dubai" w:cs="Dubai"/>
          <w:bCs/>
          <w:noProof/>
          <w:szCs w:val="22"/>
          <w:lang w:val="en-US"/>
        </w:rPr>
        <w:t>2</w:t>
      </w:r>
      <w:r w:rsidRPr="005D61CF">
        <w:rPr>
          <w:rFonts w:ascii="Dubai" w:hAnsi="Dubai" w:cs="Dubai"/>
          <w:noProof/>
          <w:szCs w:val="22"/>
          <w:rtl/>
          <w:lang w:val="en-US"/>
        </w:rPr>
        <w:tab/>
      </w:r>
      <w:r w:rsidRPr="005D61CF">
        <w:rPr>
          <w:rFonts w:ascii="Dubai" w:hAnsi="Dubai" w:cs="Dubai"/>
          <w:b/>
          <w:noProof/>
          <w:szCs w:val="22"/>
          <w:rtl/>
          <w:lang w:val="en-US"/>
        </w:rPr>
        <w:t>ما هي معايير الحماية من التداخلات المطلوب تحديدها لمختلف أنماط الأنظمة في الخدمة الإذاعية الساتلية (الصوتية) مثل السوية العظمى المقبولة لكثافة تدفق القدرة التي تشعها أنظمة أخرى؟</w:t>
      </w:r>
    </w:p>
    <w:p w14:paraId="0EC89959" w14:textId="77777777" w:rsidR="00C06D9A" w:rsidRPr="005D61CF" w:rsidRDefault="00C06D9A" w:rsidP="00C06D9A">
      <w:pPr>
        <w:rPr>
          <w:rFonts w:ascii="Dubai" w:hAnsi="Dubai" w:cs="Dubai"/>
          <w:noProof/>
          <w:szCs w:val="22"/>
          <w:rtl/>
          <w:lang w:val="en-US"/>
        </w:rPr>
      </w:pPr>
      <w:r w:rsidRPr="005D61CF">
        <w:rPr>
          <w:rFonts w:ascii="Dubai" w:hAnsi="Dubai" w:cs="Dubai"/>
          <w:bCs/>
          <w:noProof/>
          <w:szCs w:val="22"/>
          <w:lang w:val="en-US"/>
        </w:rPr>
        <w:t>3</w:t>
      </w:r>
      <w:r w:rsidRPr="005D61CF">
        <w:rPr>
          <w:rFonts w:ascii="Dubai" w:hAnsi="Dubai" w:cs="Dubai"/>
          <w:noProof/>
          <w:szCs w:val="22"/>
          <w:rtl/>
          <w:lang w:val="en-US"/>
        </w:rPr>
        <w:tab/>
      </w:r>
      <w:r w:rsidRPr="005D61CF">
        <w:rPr>
          <w:rFonts w:ascii="Dubai" w:hAnsi="Dubai" w:cs="Dubai"/>
          <w:b/>
          <w:noProof/>
          <w:szCs w:val="22"/>
          <w:rtl/>
          <w:lang w:val="en-US"/>
        </w:rPr>
        <w:t>ما هي القيود التي يمكن فرضها على الخصائص التقنية (القدرة المشعة المكافئة المتناحية، وزاوية التسديد، وكثافة تدفق القدرة) لأنظمة الخدمة الإذاعية الساتلية (الصوتية) وعلى الخدمات التي تقدمها (مثل منطقة التغطية والتيسر)، بغرض خفض التداخلات المتسببة لأنظمة الخدمات الأخرى إلى سويات تكون مقبولة؟</w:t>
      </w:r>
    </w:p>
    <w:p w14:paraId="40AF9811" w14:textId="77777777" w:rsidR="00C06D9A" w:rsidRPr="005D61CF" w:rsidRDefault="00C06D9A" w:rsidP="00C06D9A">
      <w:pPr>
        <w:rPr>
          <w:rFonts w:ascii="Dubai" w:hAnsi="Dubai" w:cs="Dubai"/>
          <w:noProof/>
          <w:szCs w:val="22"/>
          <w:rtl/>
          <w:lang w:val="en-US"/>
        </w:rPr>
      </w:pPr>
      <w:r w:rsidRPr="005D61CF">
        <w:rPr>
          <w:rFonts w:ascii="Dubai" w:hAnsi="Dubai" w:cs="Dubai"/>
          <w:bCs/>
          <w:noProof/>
          <w:szCs w:val="22"/>
          <w:lang w:val="en-US"/>
        </w:rPr>
        <w:t>4</w:t>
      </w:r>
      <w:r w:rsidRPr="005D61CF">
        <w:rPr>
          <w:rFonts w:ascii="Dubai" w:hAnsi="Dubai" w:cs="Dubai"/>
          <w:noProof/>
          <w:szCs w:val="22"/>
          <w:rtl/>
          <w:lang w:val="en-US"/>
        </w:rPr>
        <w:tab/>
      </w:r>
      <w:r w:rsidRPr="005D61CF">
        <w:rPr>
          <w:rFonts w:ascii="Dubai" w:hAnsi="Dubai" w:cs="Dubai"/>
          <w:b/>
          <w:noProof/>
          <w:szCs w:val="22"/>
          <w:rtl/>
          <w:lang w:val="en-US"/>
        </w:rPr>
        <w:t>ما هي الوسائل التي تتيح التنسيق واجتناب التداخلات الضارة المتبادلة بين أنظمة الخدمة الإذاعية الساتلية (الصوتية)، وكيف تستطيع هذه الوسائل مقارنة الفعّالية؟</w:t>
      </w:r>
    </w:p>
    <w:p w14:paraId="2B698883" w14:textId="77777777" w:rsidR="00C06D9A" w:rsidRPr="005D61CF" w:rsidRDefault="00C06D9A" w:rsidP="00C06D9A">
      <w:pPr>
        <w:rPr>
          <w:rFonts w:ascii="Dubai" w:hAnsi="Dubai" w:cs="Dubai"/>
          <w:noProof/>
          <w:szCs w:val="22"/>
          <w:rtl/>
          <w:lang w:val="en-US"/>
        </w:rPr>
      </w:pPr>
      <w:r w:rsidRPr="005D61CF">
        <w:rPr>
          <w:rFonts w:ascii="Dubai" w:hAnsi="Dubai" w:cs="Dubai"/>
          <w:bCs/>
          <w:noProof/>
          <w:szCs w:val="22"/>
          <w:lang w:val="en-US"/>
        </w:rPr>
        <w:t>5</w:t>
      </w:r>
      <w:r w:rsidRPr="005D61CF">
        <w:rPr>
          <w:rFonts w:ascii="Dubai" w:hAnsi="Dubai" w:cs="Dubai"/>
          <w:noProof/>
          <w:szCs w:val="22"/>
          <w:rtl/>
          <w:lang w:val="en-US"/>
        </w:rPr>
        <w:tab/>
      </w:r>
      <w:r w:rsidRPr="005D61CF">
        <w:rPr>
          <w:rFonts w:ascii="Dubai" w:hAnsi="Dubai" w:cs="Dubai"/>
          <w:b/>
          <w:noProof/>
          <w:szCs w:val="22"/>
          <w:rtl/>
          <w:lang w:val="en-US"/>
        </w:rPr>
        <w:t>ما هي الوسائل اللازمة لتنسيق أنظمة الخدمة الإذاعية الساتلية (الصوتية) مع أنظمة خدمات أخرى، وما هي معايير التقاسم الواجب تطبيقها لمباشرة هذه التنسيق؟</w:t>
      </w:r>
    </w:p>
    <w:p w14:paraId="0AA6D63F" w14:textId="77777777" w:rsidR="00C06D9A" w:rsidRPr="005D61CF" w:rsidRDefault="00C06D9A" w:rsidP="00C06D9A">
      <w:pPr>
        <w:rPr>
          <w:rFonts w:ascii="Dubai" w:hAnsi="Dubai" w:cs="Dubai"/>
          <w:noProof/>
          <w:spacing w:val="-2"/>
          <w:szCs w:val="22"/>
          <w:rtl/>
          <w:lang w:val="en-US"/>
        </w:rPr>
      </w:pPr>
      <w:r w:rsidRPr="005D61CF">
        <w:rPr>
          <w:rFonts w:ascii="Dubai" w:hAnsi="Dubai" w:cs="Dubai"/>
          <w:bCs/>
          <w:noProof/>
          <w:spacing w:val="-2"/>
          <w:szCs w:val="22"/>
          <w:lang w:val="en-US"/>
        </w:rPr>
        <w:t>6</w:t>
      </w:r>
      <w:r w:rsidRPr="005D61CF">
        <w:rPr>
          <w:rFonts w:ascii="Dubai" w:hAnsi="Dubai" w:cs="Dubai"/>
          <w:noProof/>
          <w:spacing w:val="-2"/>
          <w:szCs w:val="22"/>
          <w:rtl/>
          <w:lang w:val="en-US"/>
        </w:rPr>
        <w:tab/>
      </w:r>
      <w:r w:rsidRPr="005D61CF">
        <w:rPr>
          <w:rFonts w:ascii="Dubai" w:hAnsi="Dubai" w:cs="Dubai"/>
          <w:b/>
          <w:noProof/>
          <w:spacing w:val="-2"/>
          <w:szCs w:val="22"/>
          <w:rtl/>
          <w:lang w:val="en-US"/>
        </w:rPr>
        <w:t>ما هي التعديلات المحتملة الواجب إدخالها</w:t>
      </w:r>
      <w:r w:rsidRPr="005D61CF">
        <w:rPr>
          <w:rFonts w:ascii="Dubai" w:hAnsi="Dubai" w:cs="Dubai"/>
          <w:b/>
          <w:smallCaps/>
          <w:noProof/>
          <w:spacing w:val="-2"/>
          <w:szCs w:val="22"/>
          <w:rtl/>
          <w:lang w:val="en-US"/>
        </w:rPr>
        <w:t>، إن وُجدت،</w:t>
      </w:r>
      <w:r w:rsidRPr="005D61CF">
        <w:rPr>
          <w:rFonts w:ascii="Dubai" w:hAnsi="Dubai" w:cs="Dubai"/>
          <w:b/>
          <w:noProof/>
          <w:spacing w:val="-2"/>
          <w:szCs w:val="22"/>
          <w:rtl/>
          <w:lang w:val="en-US"/>
        </w:rPr>
        <w:t xml:space="preserve"> في توصيات القطاع </w:t>
      </w:r>
      <w:r w:rsidRPr="005D61CF">
        <w:rPr>
          <w:rFonts w:ascii="Dubai" w:hAnsi="Dubai" w:cs="Dubai"/>
          <w:bCs/>
          <w:noProof/>
          <w:spacing w:val="-2"/>
          <w:szCs w:val="22"/>
          <w:lang w:val="en-US"/>
        </w:rPr>
        <w:t>ITU-R</w:t>
      </w:r>
      <w:r w:rsidRPr="005D61CF">
        <w:rPr>
          <w:rFonts w:ascii="Dubai" w:hAnsi="Dubai" w:cs="Dubai"/>
          <w:b/>
          <w:noProof/>
          <w:spacing w:val="-2"/>
          <w:szCs w:val="22"/>
          <w:rtl/>
          <w:lang w:val="en-US"/>
        </w:rPr>
        <w:t xml:space="preserve"> التي تحدد طرائق الحساب ومعايير التداخل الواجب تطبيقها لتقييم التداخلات بموجب إجراءات التنسيق الانتقالية المقصودة في البند ﻫ) من </w:t>
      </w:r>
      <w:r w:rsidRPr="005D61CF">
        <w:rPr>
          <w:rFonts w:ascii="Dubai" w:hAnsi="Dubai" w:cs="Dubai"/>
          <w:b/>
          <w:i/>
          <w:iCs/>
          <w:noProof/>
          <w:spacing w:val="-2"/>
          <w:szCs w:val="22"/>
          <w:rtl/>
          <w:lang w:val="en-US"/>
        </w:rPr>
        <w:t>إذ تضع في اعتبارها</w:t>
      </w:r>
      <w:r w:rsidRPr="005D61CF">
        <w:rPr>
          <w:rFonts w:ascii="Dubai" w:hAnsi="Dubai" w:cs="Dubai"/>
          <w:b/>
          <w:noProof/>
          <w:spacing w:val="-2"/>
          <w:szCs w:val="22"/>
          <w:rtl/>
          <w:lang w:val="en-US"/>
        </w:rPr>
        <w:t>؟</w:t>
      </w:r>
    </w:p>
    <w:p w14:paraId="3D75DB65" w14:textId="77777777" w:rsidR="00C06D9A" w:rsidRPr="005D61CF" w:rsidRDefault="00C06D9A" w:rsidP="005D61CF">
      <w:pPr>
        <w:rPr>
          <w:rFonts w:ascii="Dubai" w:hAnsi="Dubai" w:cs="Dubai"/>
          <w:noProof/>
          <w:spacing w:val="-4"/>
          <w:szCs w:val="22"/>
          <w:rtl/>
          <w:lang w:val="en-US"/>
        </w:rPr>
      </w:pPr>
      <w:r w:rsidRPr="005D61CF">
        <w:rPr>
          <w:rFonts w:ascii="Dubai" w:hAnsi="Dubai" w:cs="Dubai"/>
          <w:bCs/>
          <w:noProof/>
          <w:spacing w:val="-4"/>
          <w:szCs w:val="22"/>
          <w:lang w:val="en-US"/>
        </w:rPr>
        <w:lastRenderedPageBreak/>
        <w:t>7</w:t>
      </w:r>
      <w:r w:rsidRPr="005D61CF">
        <w:rPr>
          <w:rFonts w:ascii="Dubai" w:hAnsi="Dubai" w:cs="Dubai"/>
          <w:noProof/>
          <w:spacing w:val="-4"/>
          <w:szCs w:val="22"/>
          <w:rtl/>
          <w:lang w:val="en-US"/>
        </w:rPr>
        <w:tab/>
      </w:r>
      <w:r w:rsidRPr="005D61CF">
        <w:rPr>
          <w:rFonts w:ascii="Dubai" w:hAnsi="Dubai" w:cs="Dubai"/>
          <w:b/>
          <w:noProof/>
          <w:spacing w:val="-4"/>
          <w:szCs w:val="22"/>
          <w:rtl/>
          <w:lang w:val="en-US"/>
        </w:rPr>
        <w:t xml:space="preserve">ما هي الأسس التقنية الواجب اعتمادها لحل المشاكل التي سيبحثها المؤتمر المقصود في البند د) من </w:t>
      </w:r>
      <w:r w:rsidRPr="005D61CF">
        <w:rPr>
          <w:rFonts w:ascii="Dubai" w:hAnsi="Dubai" w:cs="Dubai"/>
          <w:b/>
          <w:i/>
          <w:iCs/>
          <w:noProof/>
          <w:spacing w:val="-4"/>
          <w:szCs w:val="22"/>
          <w:rtl/>
          <w:lang w:val="en-US"/>
        </w:rPr>
        <w:t>إذ تضع في اعتبارها</w:t>
      </w:r>
      <w:r w:rsidRPr="005D61CF">
        <w:rPr>
          <w:rFonts w:ascii="Dubai" w:hAnsi="Dubai" w:cs="Dubai"/>
          <w:b/>
          <w:noProof/>
          <w:spacing w:val="-4"/>
          <w:szCs w:val="22"/>
          <w:rtl/>
          <w:lang w:val="en-US"/>
        </w:rPr>
        <w:t>؟</w:t>
      </w:r>
    </w:p>
    <w:p w14:paraId="6D6E877B" w14:textId="77777777" w:rsidR="00C06D9A" w:rsidRPr="005D61CF" w:rsidRDefault="00C06D9A" w:rsidP="005D61CF">
      <w:pPr>
        <w:keepNext/>
        <w:keepLines/>
        <w:rPr>
          <w:rFonts w:ascii="Dubai" w:hAnsi="Dubai" w:cs="Dubai"/>
          <w:noProof/>
          <w:szCs w:val="22"/>
          <w:rtl/>
          <w:lang w:val="en-US"/>
        </w:rPr>
      </w:pPr>
      <w:r w:rsidRPr="005D61CF">
        <w:rPr>
          <w:rFonts w:ascii="Dubai" w:hAnsi="Dubai" w:cs="Dubai"/>
          <w:bCs/>
          <w:noProof/>
          <w:szCs w:val="22"/>
          <w:rtl/>
          <w:lang w:val="en-US"/>
        </w:rPr>
        <w:t xml:space="preserve">الملاحظة </w:t>
      </w:r>
      <w:r w:rsidRPr="005D61CF">
        <w:rPr>
          <w:rFonts w:ascii="Dubai" w:hAnsi="Dubai" w:cs="Dubai"/>
          <w:b/>
          <w:noProof/>
          <w:szCs w:val="22"/>
          <w:rtl/>
          <w:lang w:val="en-US"/>
        </w:rPr>
        <w:t xml:space="preserve">- انظر التقرير </w:t>
      </w:r>
      <w:r w:rsidRPr="005D61CF">
        <w:rPr>
          <w:rFonts w:ascii="Dubai" w:hAnsi="Dubai" w:cs="Dubai"/>
          <w:bCs/>
          <w:noProof/>
          <w:szCs w:val="22"/>
          <w:lang w:val="en-US"/>
        </w:rPr>
        <w:t>ITU-R BO.2006</w:t>
      </w:r>
      <w:r w:rsidRPr="005D61CF">
        <w:rPr>
          <w:rFonts w:ascii="Dubai" w:hAnsi="Dubai" w:cs="Dubai"/>
          <w:b/>
          <w:noProof/>
          <w:szCs w:val="22"/>
          <w:rtl/>
          <w:lang w:val="en-US"/>
        </w:rPr>
        <w:t xml:space="preserve"> والتوصية </w:t>
      </w:r>
      <w:r w:rsidRPr="005D61CF">
        <w:rPr>
          <w:rFonts w:ascii="Dubai" w:hAnsi="Dubai" w:cs="Dubai"/>
          <w:bCs/>
          <w:noProof/>
          <w:szCs w:val="22"/>
          <w:lang w:val="en-US"/>
        </w:rPr>
        <w:t>ITU-R BO.1383</w:t>
      </w:r>
      <w:r w:rsidRPr="005D61CF">
        <w:rPr>
          <w:rFonts w:ascii="Dubai" w:hAnsi="Dubai" w:cs="Dubai"/>
          <w:b/>
          <w:noProof/>
          <w:szCs w:val="22"/>
          <w:rtl/>
          <w:lang w:val="en-US"/>
        </w:rPr>
        <w:t>،</w:t>
      </w:r>
    </w:p>
    <w:p w14:paraId="44507910" w14:textId="77777777" w:rsidR="00C06D9A" w:rsidRPr="005D61CF" w:rsidRDefault="00C06D9A" w:rsidP="00C06D9A">
      <w:pPr>
        <w:pStyle w:val="Call"/>
        <w:spacing w:before="120"/>
        <w:rPr>
          <w:rFonts w:ascii="Dubai" w:hAnsi="Dubai" w:cs="Dubai"/>
          <w:i w:val="0"/>
          <w:iCs/>
          <w:noProof/>
          <w:szCs w:val="22"/>
          <w:rtl/>
        </w:rPr>
      </w:pPr>
      <w:r w:rsidRPr="005D61CF">
        <w:rPr>
          <w:rFonts w:ascii="Dubai" w:hAnsi="Dubai" w:cs="Dubai"/>
          <w:b/>
          <w:i w:val="0"/>
          <w:iCs/>
          <w:noProof/>
          <w:szCs w:val="22"/>
          <w:rtl/>
        </w:rPr>
        <w:t>وتقرر كذلك</w:t>
      </w:r>
    </w:p>
    <w:p w14:paraId="5E412C8F" w14:textId="77777777" w:rsidR="00C06D9A" w:rsidRPr="005D61CF" w:rsidRDefault="00C06D9A" w:rsidP="00C06D9A">
      <w:pPr>
        <w:rPr>
          <w:rFonts w:ascii="Dubai" w:hAnsi="Dubai" w:cs="Dubai"/>
          <w:szCs w:val="22"/>
          <w:rtl/>
          <w:lang w:val="en-US" w:bidi="ar-EG"/>
        </w:rPr>
      </w:pPr>
      <w:r w:rsidRPr="005D61CF">
        <w:rPr>
          <w:rFonts w:ascii="Dubai" w:hAnsi="Dubai" w:cs="Dubai"/>
          <w:szCs w:val="22"/>
          <w:lang w:val="en-US" w:bidi="ar-EG"/>
        </w:rPr>
        <w:t>1</w:t>
      </w:r>
      <w:r w:rsidRPr="005D61CF">
        <w:rPr>
          <w:rFonts w:ascii="Dubai" w:hAnsi="Dubai" w:cs="Dubai"/>
          <w:szCs w:val="22"/>
          <w:rtl/>
          <w:lang w:val="en-US" w:bidi="ar-EG"/>
        </w:rPr>
        <w:tab/>
        <w:t xml:space="preserve">أن تدرج نتائج الدراسات سالفة الذكر في توصيات و/أو تقارير </w:t>
      </w:r>
      <w:proofErr w:type="gramStart"/>
      <w:r w:rsidRPr="005D61CF">
        <w:rPr>
          <w:rFonts w:ascii="Dubai" w:hAnsi="Dubai" w:cs="Dubai"/>
          <w:szCs w:val="22"/>
          <w:rtl/>
          <w:lang w:val="en-US" w:bidi="ar-EG"/>
        </w:rPr>
        <w:t>مناسبة؛</w:t>
      </w:r>
      <w:proofErr w:type="gramEnd"/>
    </w:p>
    <w:p w14:paraId="05574A50" w14:textId="52F39D0F" w:rsidR="00C06D9A" w:rsidRPr="005D61CF" w:rsidRDefault="00C06D9A" w:rsidP="00C06D9A">
      <w:pPr>
        <w:rPr>
          <w:rFonts w:ascii="Dubai" w:hAnsi="Dubai" w:cs="Dubai"/>
          <w:noProof/>
          <w:szCs w:val="22"/>
          <w:rtl/>
          <w:lang w:val="en-US"/>
        </w:rPr>
      </w:pPr>
      <w:r w:rsidRPr="005D61CF">
        <w:rPr>
          <w:rFonts w:ascii="Dubai" w:hAnsi="Dubai" w:cs="Dubai"/>
          <w:szCs w:val="22"/>
          <w:lang w:val="en-US" w:bidi="ar-EG"/>
        </w:rPr>
        <w:t>2</w:t>
      </w:r>
      <w:r w:rsidRPr="005D61CF">
        <w:rPr>
          <w:rFonts w:ascii="Dubai" w:hAnsi="Dubai" w:cs="Dubai"/>
          <w:szCs w:val="22"/>
          <w:rtl/>
          <w:lang w:val="en-US" w:bidi="ar-EG"/>
        </w:rPr>
        <w:tab/>
        <w:t xml:space="preserve">أنه ينبغي إنجاز الدراسات سالفة الذكر بحلول عام </w:t>
      </w:r>
      <w:r w:rsidR="0055460A" w:rsidRPr="005D61CF">
        <w:rPr>
          <w:rFonts w:ascii="Dubai" w:hAnsi="Dubai" w:cs="Dubai"/>
          <w:szCs w:val="22"/>
          <w:lang w:val="en-US" w:bidi="ar-EG"/>
        </w:rPr>
        <w:t>202</w:t>
      </w:r>
      <w:r w:rsidR="005D61CF">
        <w:rPr>
          <w:rFonts w:ascii="Dubai" w:hAnsi="Dubai" w:cs="Dubai"/>
          <w:szCs w:val="22"/>
          <w:lang w:val="en-US" w:bidi="ar-EG"/>
        </w:rPr>
        <w:t>5</w:t>
      </w:r>
      <w:r w:rsidRPr="005D61CF">
        <w:rPr>
          <w:rFonts w:ascii="Dubai" w:hAnsi="Dubai" w:cs="Dubai"/>
          <w:szCs w:val="22"/>
          <w:rtl/>
          <w:lang w:val="en-US" w:bidi="ar-EG"/>
        </w:rPr>
        <w:t>.</w:t>
      </w:r>
    </w:p>
    <w:p w14:paraId="00CA82CF" w14:textId="77777777" w:rsidR="00C06D9A" w:rsidRPr="005D61CF" w:rsidRDefault="00C06D9A" w:rsidP="005D61CF">
      <w:pPr>
        <w:spacing w:before="360"/>
        <w:rPr>
          <w:rFonts w:ascii="Dubai" w:hAnsi="Dubai" w:cs="Dubai"/>
          <w:noProof/>
          <w:szCs w:val="22"/>
          <w:lang w:val="fr-FR"/>
        </w:rPr>
      </w:pPr>
      <w:r w:rsidRPr="005D61CF">
        <w:rPr>
          <w:rFonts w:ascii="Dubai" w:hAnsi="Dubai" w:cs="Dubai"/>
          <w:b/>
          <w:noProof/>
          <w:szCs w:val="22"/>
          <w:rtl/>
          <w:lang w:val="en-US"/>
        </w:rPr>
        <w:t xml:space="preserve">الفئة: </w:t>
      </w:r>
      <w:r w:rsidRPr="005D61CF">
        <w:rPr>
          <w:rFonts w:ascii="Dubai" w:hAnsi="Dubai" w:cs="Dubai"/>
          <w:bCs/>
          <w:noProof/>
          <w:szCs w:val="22"/>
          <w:lang w:val="fr-FR"/>
        </w:rPr>
        <w:t>S1</w:t>
      </w:r>
    </w:p>
    <w:sectPr w:rsidR="00C06D9A" w:rsidRPr="005D61CF" w:rsidSect="00246FD3">
      <w:headerReference w:type="default" r:id="rId8"/>
      <w:pgSz w:w="11907" w:h="16834" w:code="9"/>
      <w:pgMar w:top="1418" w:right="1134" w:bottom="1418" w:left="1134" w:header="720" w:footer="720" w:gutter="0"/>
      <w:paperSrc w:first="15" w:other="15"/>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55E3E" w14:textId="77777777" w:rsidR="009E7AF1" w:rsidRDefault="009E7AF1">
      <w:r>
        <w:separator/>
      </w:r>
    </w:p>
  </w:endnote>
  <w:endnote w:type="continuationSeparator" w:id="0">
    <w:p w14:paraId="59677D1E" w14:textId="77777777" w:rsidR="009E7AF1" w:rsidRDefault="009E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857D3" w14:textId="77777777" w:rsidR="009E7AF1" w:rsidRDefault="009E7AF1">
      <w:r>
        <w:t>____________________</w:t>
      </w:r>
    </w:p>
  </w:footnote>
  <w:footnote w:type="continuationSeparator" w:id="0">
    <w:p w14:paraId="788C66B6" w14:textId="77777777" w:rsidR="009E7AF1" w:rsidRDefault="009E7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B15A" w14:textId="3D50CB01" w:rsidR="009E7AF1" w:rsidRPr="008F010C" w:rsidRDefault="009E7AF1" w:rsidP="00BC5243">
    <w:pPr>
      <w:pStyle w:val="Header"/>
      <w:bidi w:val="0"/>
      <w:rPr>
        <w:sz w:val="18"/>
        <w:szCs w:val="18"/>
        <w:lang w:bidi="ar-EG"/>
      </w:rPr>
    </w:pPr>
    <w:r w:rsidRPr="008F010C">
      <w:rPr>
        <w:sz w:val="18"/>
        <w:szCs w:val="18"/>
      </w:rPr>
      <w:t xml:space="preserve">- </w:t>
    </w:r>
    <w:r w:rsidRPr="008F010C">
      <w:rPr>
        <w:rStyle w:val="PageNumber"/>
        <w:caps w:val="0"/>
        <w:noProof w:val="0"/>
        <w:sz w:val="18"/>
        <w:szCs w:val="18"/>
      </w:rPr>
      <w:fldChar w:fldCharType="begin"/>
    </w:r>
    <w:r w:rsidRPr="008F010C">
      <w:rPr>
        <w:rStyle w:val="PageNumber"/>
        <w:caps w:val="0"/>
        <w:noProof w:val="0"/>
        <w:sz w:val="18"/>
        <w:szCs w:val="18"/>
      </w:rPr>
      <w:instrText xml:space="preserve"> PAGE </w:instrText>
    </w:r>
    <w:r w:rsidRPr="008F010C">
      <w:rPr>
        <w:rStyle w:val="PageNumber"/>
        <w:caps w:val="0"/>
        <w:noProof w:val="0"/>
        <w:sz w:val="18"/>
        <w:szCs w:val="18"/>
      </w:rPr>
      <w:fldChar w:fldCharType="separate"/>
    </w:r>
    <w:r w:rsidR="0055460A">
      <w:rPr>
        <w:rStyle w:val="PageNumber"/>
        <w:caps w:val="0"/>
        <w:sz w:val="18"/>
        <w:szCs w:val="18"/>
      </w:rPr>
      <w:t>2</w:t>
    </w:r>
    <w:r w:rsidRPr="008F010C">
      <w:rPr>
        <w:rStyle w:val="PageNumber"/>
        <w:caps w:val="0"/>
        <w:noProof w:val="0"/>
        <w:sz w:val="18"/>
        <w:szCs w:val="18"/>
      </w:rPr>
      <w:fldChar w:fldCharType="end"/>
    </w:r>
    <w:r w:rsidRPr="008F010C">
      <w:rPr>
        <w:rStyle w:val="PageNumber"/>
        <w:caps w:val="0"/>
        <w:noProof w:val="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B1CDA"/>
    <w:multiLevelType w:val="multilevel"/>
    <w:tmpl w:val="1C12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0232458">
    <w:abstractNumId w:val="11"/>
  </w:num>
  <w:num w:numId="2" w16cid:durableId="1714689630">
    <w:abstractNumId w:val="6"/>
  </w:num>
  <w:num w:numId="3" w16cid:durableId="510223254">
    <w:abstractNumId w:val="5"/>
  </w:num>
  <w:num w:numId="4" w16cid:durableId="279533718">
    <w:abstractNumId w:val="4"/>
  </w:num>
  <w:num w:numId="5" w16cid:durableId="1600017027">
    <w:abstractNumId w:val="8"/>
  </w:num>
  <w:num w:numId="6" w16cid:durableId="1665010059">
    <w:abstractNumId w:val="3"/>
  </w:num>
  <w:num w:numId="7" w16cid:durableId="1392382113">
    <w:abstractNumId w:val="2"/>
  </w:num>
  <w:num w:numId="8" w16cid:durableId="1289969607">
    <w:abstractNumId w:val="1"/>
  </w:num>
  <w:num w:numId="9" w16cid:durableId="1805077022">
    <w:abstractNumId w:val="0"/>
  </w:num>
  <w:num w:numId="10" w16cid:durableId="2012484661">
    <w:abstractNumId w:val="9"/>
  </w:num>
  <w:num w:numId="11" w16cid:durableId="71705457">
    <w:abstractNumId w:val="7"/>
  </w:num>
  <w:num w:numId="12" w16cid:durableId="379479730">
    <w:abstractNumId w:val="10"/>
  </w:num>
  <w:num w:numId="13" w16cid:durableId="2026176773">
    <w:abstractNumId w:val="10"/>
  </w:num>
  <w:num w:numId="14" w16cid:durableId="498234697">
    <w:abstractNumId w:val="10"/>
  </w:num>
  <w:num w:numId="15" w16cid:durableId="150412606">
    <w:abstractNumId w:val="10"/>
  </w:num>
  <w:num w:numId="16" w16cid:durableId="764611575">
    <w:abstractNumId w:val="10"/>
  </w:num>
  <w:num w:numId="17" w16cid:durableId="12324273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5C8"/>
    <w:rsid w:val="000039F5"/>
    <w:rsid w:val="00005347"/>
    <w:rsid w:val="00035AFC"/>
    <w:rsid w:val="00040518"/>
    <w:rsid w:val="0004289E"/>
    <w:rsid w:val="0004705F"/>
    <w:rsid w:val="000632A4"/>
    <w:rsid w:val="00083BC9"/>
    <w:rsid w:val="000A1BF8"/>
    <w:rsid w:val="000A3338"/>
    <w:rsid w:val="000A3CB7"/>
    <w:rsid w:val="000A57CF"/>
    <w:rsid w:val="000B5C8F"/>
    <w:rsid w:val="000C66E0"/>
    <w:rsid w:val="000D75EE"/>
    <w:rsid w:val="000E0002"/>
    <w:rsid w:val="000E0C98"/>
    <w:rsid w:val="00106428"/>
    <w:rsid w:val="00117D84"/>
    <w:rsid w:val="001324CA"/>
    <w:rsid w:val="00183B46"/>
    <w:rsid w:val="001A3685"/>
    <w:rsid w:val="001C6C78"/>
    <w:rsid w:val="00216F56"/>
    <w:rsid w:val="00224D05"/>
    <w:rsid w:val="00225842"/>
    <w:rsid w:val="00236F33"/>
    <w:rsid w:val="00246FD3"/>
    <w:rsid w:val="00267A16"/>
    <w:rsid w:val="00273A08"/>
    <w:rsid w:val="00275E01"/>
    <w:rsid w:val="002965CA"/>
    <w:rsid w:val="00297B13"/>
    <w:rsid w:val="002B024F"/>
    <w:rsid w:val="002B629C"/>
    <w:rsid w:val="002B7694"/>
    <w:rsid w:val="002F017E"/>
    <w:rsid w:val="0030680C"/>
    <w:rsid w:val="0031051E"/>
    <w:rsid w:val="00311941"/>
    <w:rsid w:val="003206A2"/>
    <w:rsid w:val="00332490"/>
    <w:rsid w:val="00336DB3"/>
    <w:rsid w:val="00355577"/>
    <w:rsid w:val="0035706D"/>
    <w:rsid w:val="00395D9C"/>
    <w:rsid w:val="003A2B42"/>
    <w:rsid w:val="003A390B"/>
    <w:rsid w:val="003A59F5"/>
    <w:rsid w:val="003B2272"/>
    <w:rsid w:val="003B522D"/>
    <w:rsid w:val="003D3A29"/>
    <w:rsid w:val="003E55A3"/>
    <w:rsid w:val="0040711C"/>
    <w:rsid w:val="004228A0"/>
    <w:rsid w:val="004302E3"/>
    <w:rsid w:val="00431771"/>
    <w:rsid w:val="00432FC7"/>
    <w:rsid w:val="00457E38"/>
    <w:rsid w:val="0049275F"/>
    <w:rsid w:val="0049351B"/>
    <w:rsid w:val="004B01D9"/>
    <w:rsid w:val="004B1581"/>
    <w:rsid w:val="004B5BAA"/>
    <w:rsid w:val="004F507E"/>
    <w:rsid w:val="00514D49"/>
    <w:rsid w:val="005268D6"/>
    <w:rsid w:val="00527A67"/>
    <w:rsid w:val="005313E7"/>
    <w:rsid w:val="0055460A"/>
    <w:rsid w:val="00586CAE"/>
    <w:rsid w:val="005B406B"/>
    <w:rsid w:val="005C628B"/>
    <w:rsid w:val="005D61CF"/>
    <w:rsid w:val="005E7753"/>
    <w:rsid w:val="005F2999"/>
    <w:rsid w:val="005F53BD"/>
    <w:rsid w:val="0060323A"/>
    <w:rsid w:val="00616C2A"/>
    <w:rsid w:val="0063599D"/>
    <w:rsid w:val="00663C0D"/>
    <w:rsid w:val="006769B0"/>
    <w:rsid w:val="006A7575"/>
    <w:rsid w:val="007019BF"/>
    <w:rsid w:val="007178B1"/>
    <w:rsid w:val="00741FA0"/>
    <w:rsid w:val="00742FB4"/>
    <w:rsid w:val="00755FD1"/>
    <w:rsid w:val="00757E6A"/>
    <w:rsid w:val="00762597"/>
    <w:rsid w:val="00771893"/>
    <w:rsid w:val="00776C4D"/>
    <w:rsid w:val="00780EE7"/>
    <w:rsid w:val="00785D40"/>
    <w:rsid w:val="00791DAE"/>
    <w:rsid w:val="007A2301"/>
    <w:rsid w:val="007C2F77"/>
    <w:rsid w:val="007D57F1"/>
    <w:rsid w:val="007F5751"/>
    <w:rsid w:val="008177B1"/>
    <w:rsid w:val="0082287C"/>
    <w:rsid w:val="008338CA"/>
    <w:rsid w:val="00844BF0"/>
    <w:rsid w:val="00846A88"/>
    <w:rsid w:val="00876DE8"/>
    <w:rsid w:val="00881647"/>
    <w:rsid w:val="00883EF1"/>
    <w:rsid w:val="00883F05"/>
    <w:rsid w:val="00892D87"/>
    <w:rsid w:val="00894F59"/>
    <w:rsid w:val="008A596C"/>
    <w:rsid w:val="008B5F89"/>
    <w:rsid w:val="008B6174"/>
    <w:rsid w:val="008C7385"/>
    <w:rsid w:val="008D275A"/>
    <w:rsid w:val="008D5EB7"/>
    <w:rsid w:val="008E4924"/>
    <w:rsid w:val="008F010C"/>
    <w:rsid w:val="00910147"/>
    <w:rsid w:val="00936A63"/>
    <w:rsid w:val="009608CA"/>
    <w:rsid w:val="00973616"/>
    <w:rsid w:val="00973636"/>
    <w:rsid w:val="009847EF"/>
    <w:rsid w:val="00987124"/>
    <w:rsid w:val="00994CC2"/>
    <w:rsid w:val="009A660B"/>
    <w:rsid w:val="009B20B2"/>
    <w:rsid w:val="009C1499"/>
    <w:rsid w:val="009C3992"/>
    <w:rsid w:val="009D006F"/>
    <w:rsid w:val="009D14B2"/>
    <w:rsid w:val="009E7AF1"/>
    <w:rsid w:val="00A00338"/>
    <w:rsid w:val="00A058A4"/>
    <w:rsid w:val="00A13D6D"/>
    <w:rsid w:val="00A5655B"/>
    <w:rsid w:val="00A57230"/>
    <w:rsid w:val="00A621D9"/>
    <w:rsid w:val="00A85EC1"/>
    <w:rsid w:val="00AA1E04"/>
    <w:rsid w:val="00AA32F4"/>
    <w:rsid w:val="00AB25C8"/>
    <w:rsid w:val="00AB55DF"/>
    <w:rsid w:val="00AC196B"/>
    <w:rsid w:val="00AD62AE"/>
    <w:rsid w:val="00B239F2"/>
    <w:rsid w:val="00B53AC5"/>
    <w:rsid w:val="00B548A1"/>
    <w:rsid w:val="00B55350"/>
    <w:rsid w:val="00B621F7"/>
    <w:rsid w:val="00B83A82"/>
    <w:rsid w:val="00B849AA"/>
    <w:rsid w:val="00B8756D"/>
    <w:rsid w:val="00B92194"/>
    <w:rsid w:val="00B93CA6"/>
    <w:rsid w:val="00BB7C2A"/>
    <w:rsid w:val="00BC5243"/>
    <w:rsid w:val="00BE0D0E"/>
    <w:rsid w:val="00C06D9A"/>
    <w:rsid w:val="00C5589D"/>
    <w:rsid w:val="00C60DA5"/>
    <w:rsid w:val="00C627EA"/>
    <w:rsid w:val="00C6449F"/>
    <w:rsid w:val="00C648D6"/>
    <w:rsid w:val="00C6698D"/>
    <w:rsid w:val="00C71FF5"/>
    <w:rsid w:val="00C8174E"/>
    <w:rsid w:val="00C83D4D"/>
    <w:rsid w:val="00CC7424"/>
    <w:rsid w:val="00CE7136"/>
    <w:rsid w:val="00CF6799"/>
    <w:rsid w:val="00D1263B"/>
    <w:rsid w:val="00D24A2F"/>
    <w:rsid w:val="00D4009A"/>
    <w:rsid w:val="00D42782"/>
    <w:rsid w:val="00D449B5"/>
    <w:rsid w:val="00D56ACA"/>
    <w:rsid w:val="00D65208"/>
    <w:rsid w:val="00DB5EFE"/>
    <w:rsid w:val="00DB63E4"/>
    <w:rsid w:val="00DB7288"/>
    <w:rsid w:val="00DC4005"/>
    <w:rsid w:val="00DC5EBF"/>
    <w:rsid w:val="00DC650C"/>
    <w:rsid w:val="00DD0E38"/>
    <w:rsid w:val="00DF6675"/>
    <w:rsid w:val="00DF7E84"/>
    <w:rsid w:val="00E43547"/>
    <w:rsid w:val="00E731D1"/>
    <w:rsid w:val="00E76752"/>
    <w:rsid w:val="00E83531"/>
    <w:rsid w:val="00EC60E2"/>
    <w:rsid w:val="00ED4A10"/>
    <w:rsid w:val="00EF319E"/>
    <w:rsid w:val="00F03A84"/>
    <w:rsid w:val="00F16800"/>
    <w:rsid w:val="00F27973"/>
    <w:rsid w:val="00F428E6"/>
    <w:rsid w:val="00F472F3"/>
    <w:rsid w:val="00F53481"/>
    <w:rsid w:val="00F6181E"/>
    <w:rsid w:val="00F675BE"/>
    <w:rsid w:val="00F70819"/>
    <w:rsid w:val="00F96067"/>
    <w:rsid w:val="00FA3A0C"/>
    <w:rsid w:val="00FA501D"/>
    <w:rsid w:val="00FE1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2836638C"/>
  <w15:docId w15:val="{43894AD2-6DCF-481F-AEA0-4F365E6E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
    <w:link w:val="AppendixNotitleChar"/>
    <w:rsid w:val="00E76752"/>
  </w:style>
  <w:style w:type="paragraph" w:customStyle="1" w:styleId="AnnexNotitle">
    <w:name w:val="Annex_No &amp; title"/>
    <w:basedOn w:val="Normal"/>
    <w:next w:val="Normal"/>
    <w:link w:val="AnnexNotitleChar"/>
    <w:rsid w:val="00E76752"/>
    <w:pPr>
      <w:keepNext/>
      <w:keepLines/>
      <w:spacing w:before="480"/>
      <w:jc w:val="center"/>
    </w:pPr>
    <w:rPr>
      <w:rFonts w:ascii="Times New Roman Bold" w:eastAsia="Batang" w:hAnsi="Times New Roman Bold"/>
      <w:b/>
      <w:bCs/>
      <w:sz w:val="26"/>
      <w:szCs w:val="36"/>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pPr>
      <w:keepNext/>
      <w:keepLines/>
      <w:spacing w:before="160"/>
      <w:ind w:left="794" w:right="794"/>
    </w:pPr>
    <w:rPr>
      <w:i/>
    </w:rPr>
  </w:style>
  <w:style w:type="paragraph" w:customStyle="1" w:styleId="enumlev1">
    <w:name w:val="enumlev1"/>
    <w:basedOn w:val="Normal"/>
    <w:link w:val="enumlev1Char"/>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E76752"/>
    <w:pPr>
      <w:keepLines/>
      <w:spacing w:before="240"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76752"/>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76752"/>
    <w:pPr>
      <w:keepLines/>
      <w:tabs>
        <w:tab w:val="left" w:pos="255"/>
      </w:tabs>
      <w:spacing w:before="80" w:line="180" w:lineRule="auto"/>
      <w:ind w:left="255" w:hanging="255"/>
    </w:pPr>
    <w:rPr>
      <w:rFonts w:eastAsia="Batang"/>
      <w:sz w:val="20"/>
      <w:szCs w:val="26"/>
    </w:rPr>
  </w:style>
  <w:style w:type="paragraph" w:customStyle="1" w:styleId="Note">
    <w:name w:val="Note"/>
    <w:basedOn w:val="Normal"/>
    <w:rsid w:val="00E76752"/>
    <w:pPr>
      <w:spacing w:before="80" w:line="180" w:lineRule="auto"/>
    </w:pPr>
    <w:rPr>
      <w:sz w:val="20"/>
      <w:szCs w:val="26"/>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link w:val="RecNoChar"/>
    <w:pPr>
      <w:keepNext/>
      <w:keepLines/>
      <w:spacing w:before="0"/>
    </w:pPr>
    <w:rPr>
      <w:rFonts w:ascii="Times New Roman Bold" w:hAnsi="Times New Roman Bold"/>
      <w:b/>
      <w:sz w:val="28"/>
      <w:szCs w:val="40"/>
    </w:rPr>
  </w:style>
  <w:style w:type="paragraph" w:customStyle="1" w:styleId="Rectitle">
    <w:name w:val="Rec_title"/>
    <w:basedOn w:val="Normal"/>
    <w:next w:val="Normalaftertitle"/>
    <w:link w:val="RectitleChar"/>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E76752"/>
    <w:pPr>
      <w:spacing w:before="840" w:after="200"/>
      <w:jc w:val="center"/>
    </w:pPr>
    <w:rPr>
      <w:rFonts w:ascii="Times New Roman Bold" w:hAnsi="Times New Roman Bold"/>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E76752"/>
    <w:pPr>
      <w:keepNext/>
      <w:spacing w:before="160"/>
    </w:pPr>
    <w:rPr>
      <w:rFonts w:ascii="Times New Roman Bold" w:eastAsia="Batang" w:hAnsi="Times New Roman Bold"/>
      <w:b/>
      <w:bCs/>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link w:val="QuestionNoBRCha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rsid w:val="00E76752"/>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E76752"/>
    <w:pPr>
      <w:keepNext/>
      <w:keepLines/>
      <w:spacing w:before="480" w:after="12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customStyle="1" w:styleId="AnnexNotitleChar">
    <w:name w:val="Annex_No &amp; title Char"/>
    <w:basedOn w:val="DefaultParagraphFont"/>
    <w:link w:val="AnnexNotitle"/>
    <w:locked/>
    <w:rsid w:val="00E76752"/>
    <w:rPr>
      <w:rFonts w:ascii="Times New Roman Bold" w:eastAsia="Batang" w:hAnsi="Times New Roman Bold" w:cs="Traditional Arabic"/>
      <w:b/>
      <w:bCs/>
      <w:sz w:val="26"/>
      <w:szCs w:val="36"/>
      <w:lang w:val="en-GB" w:eastAsia="en-US" w:bidi="ar-SA"/>
    </w:rPr>
  </w:style>
  <w:style w:type="character" w:customStyle="1" w:styleId="AppendixNotitleChar">
    <w:name w:val="Appendix_No &amp; title Char"/>
    <w:basedOn w:val="AnnexNotitleChar"/>
    <w:link w:val="AppendixNotitle"/>
    <w:locked/>
    <w:rsid w:val="00E76752"/>
    <w:rPr>
      <w:rFonts w:ascii="Times New Roman Bold" w:eastAsia="Batang" w:hAnsi="Times New Roman Bold" w:cs="Traditional Arabic"/>
      <w:b/>
      <w:bCs/>
      <w:sz w:val="26"/>
      <w:szCs w:val="36"/>
      <w:lang w:val="en-GB" w:eastAsia="en-US" w:bidi="ar-SA"/>
    </w:rPr>
  </w:style>
  <w:style w:type="paragraph" w:customStyle="1" w:styleId="AppendixNoTitle0">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Char">
    <w:name w:val="Char"/>
    <w:basedOn w:val="Normal"/>
    <w:rsid w:val="00C83D4D"/>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hAnsi="Arial" w:cs="Times New Roman"/>
      <w:sz w:val="20"/>
      <w:szCs w:val="20"/>
      <w:lang w:val="fr-FR" w:eastAsia="zh-CN"/>
    </w:rPr>
  </w:style>
  <w:style w:type="character" w:customStyle="1" w:styleId="enumlev1Char">
    <w:name w:val="enumlev1 Char"/>
    <w:basedOn w:val="DefaultParagraphFont"/>
    <w:link w:val="enumlev1"/>
    <w:rsid w:val="00C83D4D"/>
    <w:rPr>
      <w:rFonts w:ascii="Times New Roman" w:eastAsia="Batang" w:hAnsi="Times New Roman" w:cs="Traditional Arabic"/>
      <w:sz w:val="22"/>
      <w:szCs w:val="30"/>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83D4D"/>
    <w:rPr>
      <w:rFonts w:ascii="Times New Roman" w:eastAsia="Batang" w:hAnsi="Times New Roman" w:cs="Traditional Arabic"/>
      <w:szCs w:val="26"/>
      <w:lang w:val="en-GB" w:eastAsia="en-US"/>
    </w:rPr>
  </w:style>
  <w:style w:type="character" w:styleId="Hyperlink">
    <w:name w:val="Hyperlink"/>
    <w:basedOn w:val="DefaultParagraphFont"/>
    <w:rsid w:val="00C83D4D"/>
    <w:rPr>
      <w:color w:val="0000FF"/>
      <w:u w:val="single"/>
    </w:rPr>
  </w:style>
  <w:style w:type="paragraph" w:customStyle="1" w:styleId="Normalaftertitle0">
    <w:name w:val="Normal after title"/>
    <w:basedOn w:val="Normal"/>
    <w:next w:val="Normal"/>
    <w:rsid w:val="00C83D4D"/>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table" w:styleId="TableGrid">
    <w:name w:val="Table Grid"/>
    <w:basedOn w:val="TableNormal"/>
    <w:rsid w:val="00892D87"/>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92D87"/>
    <w:pPr>
      <w:keepNext/>
      <w:widowControl w:val="0"/>
      <w:bidi w:val="0"/>
      <w:spacing w:before="100" w:after="100" w:line="-190" w:lineRule="auto"/>
    </w:pPr>
    <w:rPr>
      <w:rFonts w:eastAsia="NSimSun"/>
      <w:sz w:val="18"/>
      <w:szCs w:val="21"/>
    </w:rPr>
  </w:style>
  <w:style w:type="paragraph" w:customStyle="1" w:styleId="Char1CharChar1Char">
    <w:name w:val="Char1 Char Char1 Char"/>
    <w:basedOn w:val="Normal"/>
    <w:rsid w:val="0030680C"/>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SimSun" w:hAnsi="Verdana" w:cs="Times New Roman"/>
      <w:sz w:val="24"/>
      <w:szCs w:val="20"/>
      <w:lang w:val="en-US"/>
    </w:rPr>
  </w:style>
  <w:style w:type="paragraph" w:customStyle="1" w:styleId="StyleTitle2LatinBold">
    <w:name w:val="Style Title 2 + (Latin) Bold"/>
    <w:basedOn w:val="Normal"/>
    <w:link w:val="StyleTitle2LatinBoldChar"/>
    <w:rsid w:val="0030680C"/>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0680C"/>
    <w:rPr>
      <w:rFonts w:ascii="Times New Roman Bold" w:hAnsi="Times New Roman Bold" w:cs="Traditional Arabic"/>
      <w:b/>
      <w:bCs/>
      <w:sz w:val="28"/>
      <w:szCs w:val="40"/>
      <w:lang w:val="en-GB" w:eastAsia="en-US"/>
    </w:rPr>
  </w:style>
  <w:style w:type="character" w:customStyle="1" w:styleId="CallChar">
    <w:name w:val="Call Char"/>
    <w:basedOn w:val="DefaultParagraphFont"/>
    <w:link w:val="Call"/>
    <w:locked/>
    <w:rsid w:val="003A390B"/>
    <w:rPr>
      <w:rFonts w:ascii="Times New Roman" w:hAnsi="Times New Roman" w:cs="Traditional Arabic"/>
      <w:i/>
      <w:sz w:val="22"/>
      <w:szCs w:val="30"/>
      <w:lang w:val="en-GB" w:eastAsia="en-US"/>
    </w:rPr>
  </w:style>
  <w:style w:type="character" w:customStyle="1" w:styleId="QuestionNoBRChar">
    <w:name w:val="Question_No_BR Char"/>
    <w:basedOn w:val="DefaultParagraphFont"/>
    <w:link w:val="QuestionNoBR"/>
    <w:rsid w:val="003A390B"/>
    <w:rPr>
      <w:rFonts w:ascii="Times New Roman" w:hAnsi="Times New Roman" w:cs="Traditional Arabic"/>
      <w:caps/>
      <w:sz w:val="28"/>
      <w:szCs w:val="40"/>
      <w:lang w:val="en-GB" w:eastAsia="en-US"/>
    </w:rPr>
  </w:style>
  <w:style w:type="character" w:customStyle="1" w:styleId="RecNoChar">
    <w:name w:val="Rec_No Char"/>
    <w:link w:val="RecNo"/>
    <w:rsid w:val="000A3CB7"/>
    <w:rPr>
      <w:rFonts w:ascii="Times New Roman Bold" w:hAnsi="Times New Roman Bold" w:cs="Traditional Arabic"/>
      <w:b/>
      <w:sz w:val="28"/>
      <w:szCs w:val="40"/>
      <w:lang w:val="en-GB" w:eastAsia="en-US"/>
    </w:rPr>
  </w:style>
  <w:style w:type="paragraph" w:customStyle="1" w:styleId="Reasons">
    <w:name w:val="Reasons"/>
    <w:basedOn w:val="Normal"/>
    <w:next w:val="Normal"/>
    <w:link w:val="ReasonsChar"/>
    <w:qFormat/>
    <w:rsid w:val="000A3CB7"/>
    <w:pPr>
      <w:tabs>
        <w:tab w:val="clear" w:pos="794"/>
        <w:tab w:val="clear" w:pos="1191"/>
        <w:tab w:val="clear" w:pos="1588"/>
        <w:tab w:val="clear" w:pos="1985"/>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0A3CB7"/>
    <w:rPr>
      <w:rFonts w:ascii="Times New Roman" w:hAnsi="Times New Roman" w:cs="Traditional Arabic"/>
      <w:b/>
      <w:bCs/>
      <w:sz w:val="22"/>
      <w:szCs w:val="30"/>
      <w:lang w:eastAsia="en-US"/>
    </w:rPr>
  </w:style>
  <w:style w:type="paragraph" w:customStyle="1" w:styleId="Annextitle">
    <w:name w:val="Annex_title"/>
    <w:basedOn w:val="Normal"/>
    <w:next w:val="Normal"/>
    <w:link w:val="AnnextitleChar"/>
    <w:rsid w:val="00936A63"/>
    <w:pPr>
      <w:keepNext/>
      <w:keepLines/>
      <w:spacing w:before="240"/>
      <w:jc w:val="center"/>
    </w:pPr>
    <w:rPr>
      <w:rFonts w:ascii="Times New Roman Bold" w:hAnsi="Times New Roman Bold"/>
      <w:b/>
      <w:bCs/>
      <w:sz w:val="28"/>
      <w:szCs w:val="40"/>
    </w:rPr>
  </w:style>
  <w:style w:type="character" w:customStyle="1" w:styleId="AnnextitleChar">
    <w:name w:val="Annex_title Char"/>
    <w:basedOn w:val="DefaultParagraphFont"/>
    <w:link w:val="Annextitle"/>
    <w:locked/>
    <w:rsid w:val="00936A63"/>
    <w:rPr>
      <w:rFonts w:ascii="Times New Roman Bold" w:hAnsi="Times New Roman Bold" w:cs="Traditional Arabic"/>
      <w:b/>
      <w:bCs/>
      <w:sz w:val="28"/>
      <w:szCs w:val="40"/>
      <w:lang w:val="en-GB" w:eastAsia="en-US"/>
    </w:rPr>
  </w:style>
  <w:style w:type="character" w:customStyle="1" w:styleId="enumlev2Char">
    <w:name w:val="enumlev2 Char"/>
    <w:basedOn w:val="DefaultParagraphFont"/>
    <w:link w:val="enumlev2"/>
    <w:rsid w:val="00297B13"/>
    <w:rPr>
      <w:rFonts w:ascii="Times New Roman" w:eastAsia="Batang" w:hAnsi="Times New Roman" w:cs="Traditional Arabic"/>
      <w:sz w:val="22"/>
      <w:szCs w:val="30"/>
      <w:lang w:val="en-GB" w:eastAsia="en-US"/>
    </w:rPr>
  </w:style>
  <w:style w:type="character" w:styleId="Strong">
    <w:name w:val="Strong"/>
    <w:basedOn w:val="DefaultParagraphFont"/>
    <w:uiPriority w:val="22"/>
    <w:qFormat/>
    <w:rsid w:val="00B849AA"/>
    <w:rPr>
      <w:b/>
      <w:bCs/>
    </w:rPr>
  </w:style>
  <w:style w:type="character" w:customStyle="1" w:styleId="HeaderChar">
    <w:name w:val="Header Char"/>
    <w:aliases w:val="encabezado Char"/>
    <w:basedOn w:val="DefaultParagraphFont"/>
    <w:link w:val="Header"/>
    <w:rsid w:val="00B849AA"/>
    <w:rPr>
      <w:rFonts w:ascii="Times New Roman" w:eastAsia="Batang" w:hAnsi="Times New Roman"/>
      <w:lang w:val="en-GB" w:eastAsia="en-US"/>
    </w:rPr>
  </w:style>
  <w:style w:type="character" w:customStyle="1" w:styleId="RectitleChar">
    <w:name w:val="Rec_title Char"/>
    <w:link w:val="Rectitle"/>
    <w:rsid w:val="00B849AA"/>
    <w:rPr>
      <w:rFonts w:ascii="Times New Roman Bold" w:hAnsi="Times New Roman Bold" w:cs="Traditional Arabic"/>
      <w:b/>
      <w:sz w:val="28"/>
      <w:szCs w:val="40"/>
      <w:lang w:val="en-GB" w:eastAsia="en-US"/>
    </w:rPr>
  </w:style>
  <w:style w:type="character" w:customStyle="1" w:styleId="FooterChar">
    <w:name w:val="Footer Char"/>
    <w:basedOn w:val="DefaultParagraphFont"/>
    <w:link w:val="Footer"/>
    <w:rsid w:val="00B849AA"/>
    <w:rPr>
      <w:rFonts w:ascii="Times New Roman" w:eastAsia="Batang" w:hAnsi="Times New Roman" w:cs="Traditional Arabic"/>
      <w:caps/>
      <w:noProof/>
      <w:sz w:val="16"/>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67B68-359C-484F-96C3-73110F75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Fernandez Virginia</dc:creator>
  <cp:keywords/>
  <dc:description/>
  <cp:lastModifiedBy>Author</cp:lastModifiedBy>
  <cp:revision>4</cp:revision>
  <cp:lastPrinted>2012-03-14T13:56:00Z</cp:lastPrinted>
  <dcterms:created xsi:type="dcterms:W3CDTF">2012-05-03T07:23:00Z</dcterms:created>
  <dcterms:modified xsi:type="dcterms:W3CDTF">2024-01-30T13:59:00Z</dcterms:modified>
</cp:coreProperties>
</file>