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EDF8" w14:textId="77777777" w:rsidR="004D3C48" w:rsidRPr="004D3C48" w:rsidRDefault="004D3C48" w:rsidP="00A152CE">
      <w:pPr>
        <w:pStyle w:val="QuestionNoBR"/>
        <w:rPr>
          <w:lang w:val="ru-RU"/>
        </w:rPr>
      </w:pPr>
      <w:r w:rsidRPr="004D3C48">
        <w:rPr>
          <w:lang w:val="ru-RU"/>
        </w:rPr>
        <w:t>вопрос мсэ-</w:t>
      </w:r>
      <w:r w:rsidRPr="00BC29F6">
        <w:t>R</w:t>
      </w:r>
      <w:r w:rsidRPr="004D3C48">
        <w:rPr>
          <w:lang w:val="ru-RU"/>
        </w:rPr>
        <w:t xml:space="preserve"> 282/4</w:t>
      </w:r>
    </w:p>
    <w:p w14:paraId="67A30C4C" w14:textId="77777777" w:rsidR="004D3C48" w:rsidRPr="004D3C48" w:rsidRDefault="004D3C48" w:rsidP="00A152CE">
      <w:pPr>
        <w:pStyle w:val="Questiontitle"/>
        <w:rPr>
          <w:lang w:val="ru-RU"/>
        </w:rPr>
      </w:pPr>
      <w:r w:rsidRPr="004D3C48">
        <w:rPr>
          <w:lang w:val="ru-RU"/>
        </w:rPr>
        <w:t xml:space="preserve">Вопросы совместного использования частот, касающиеся введения радиовещательной спутниковой службы (звуковой) </w:t>
      </w:r>
      <w:r w:rsidRPr="004D3C48">
        <w:rPr>
          <w:lang w:val="ru-RU"/>
        </w:rPr>
        <w:br/>
        <w:t>в диапазоне частот 1–3 ГГц</w:t>
      </w:r>
    </w:p>
    <w:p w14:paraId="751BAB34" w14:textId="77777777" w:rsidR="004D3C48" w:rsidRPr="004D3C48" w:rsidRDefault="004D3C48" w:rsidP="00A152CE">
      <w:pPr>
        <w:pStyle w:val="Questiondate"/>
        <w:spacing w:before="360"/>
        <w:rPr>
          <w:i w:val="0"/>
          <w:iCs/>
          <w:lang w:val="ru-RU"/>
        </w:rPr>
      </w:pPr>
      <w:r w:rsidRPr="004D3C48">
        <w:rPr>
          <w:i w:val="0"/>
          <w:iCs/>
          <w:lang w:val="ru-RU"/>
        </w:rPr>
        <w:t>(2009)</w:t>
      </w:r>
    </w:p>
    <w:p w14:paraId="4183E3CD" w14:textId="77777777" w:rsidR="004D3C48" w:rsidRPr="00BC29F6" w:rsidRDefault="004D3C48" w:rsidP="00A152CE">
      <w:pPr>
        <w:pStyle w:val="Normalaftertitle0"/>
        <w:jc w:val="both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14:paraId="7BC6F753" w14:textId="77777777" w:rsidR="004D3C48" w:rsidRPr="00CF5441" w:rsidRDefault="004D3C48" w:rsidP="00A152CE">
      <w:pPr>
        <w:pStyle w:val="Call"/>
        <w:jc w:val="both"/>
        <w:rPr>
          <w:i w:val="0"/>
          <w:iCs/>
          <w:szCs w:val="22"/>
          <w:lang w:val="ru-RU"/>
        </w:rPr>
      </w:pPr>
      <w:r w:rsidRPr="004D3C48">
        <w:rPr>
          <w:szCs w:val="22"/>
          <w:lang w:val="ru-RU"/>
        </w:rPr>
        <w:t>учитывая</w:t>
      </w:r>
    </w:p>
    <w:p w14:paraId="1B0B32C6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i/>
          <w:iCs/>
        </w:rPr>
        <w:t>a</w:t>
      </w:r>
      <w:r w:rsidRPr="004D3C48">
        <w:rPr>
          <w:i/>
          <w:iCs/>
          <w:lang w:val="ru-RU"/>
        </w:rPr>
        <w:t>)</w:t>
      </w:r>
      <w:r w:rsidRPr="004D3C48">
        <w:rPr>
          <w:lang w:val="ru-RU"/>
        </w:rPr>
        <w:tab/>
        <w:t xml:space="preserve">что для цифрового звукового радиовещания на переносимые и автомобильные приемники в полосах около 1,5, 2,3 и 2,6 ГГц имеются распределения частот радиовещательной спутниковой службе (РСС) (звуковой) и дополнительному наземному </w:t>
      </w:r>
      <w:proofErr w:type="gramStart"/>
      <w:r w:rsidRPr="004D3C48">
        <w:rPr>
          <w:lang w:val="ru-RU"/>
        </w:rPr>
        <w:t>радиовещанию;</w:t>
      </w:r>
      <w:proofErr w:type="gramEnd"/>
      <w:r w:rsidRPr="004D3C48">
        <w:rPr>
          <w:lang w:val="ru-RU"/>
        </w:rPr>
        <w:t xml:space="preserve"> </w:t>
      </w:r>
    </w:p>
    <w:p w14:paraId="17A7A714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i/>
          <w:iCs/>
        </w:rPr>
        <w:t>b</w:t>
      </w:r>
      <w:r w:rsidRPr="004D3C48">
        <w:rPr>
          <w:i/>
          <w:iCs/>
          <w:lang w:val="ru-RU"/>
        </w:rPr>
        <w:t>)</w:t>
      </w:r>
      <w:r w:rsidRPr="004D3C48">
        <w:rPr>
          <w:lang w:val="ru-RU"/>
        </w:rPr>
        <w:tab/>
        <w:t>что во всех трех распределенных полосах содержатся распределения определенным наземным службам и что полоса 2,6 ГГц также содержит распределения фиксированной спутниковой службе (космос-Земля) в Районах 2 и 3 и подвижной спутниковой службе (Земля-космос</w:t>
      </w:r>
      <w:proofErr w:type="gramStart"/>
      <w:r w:rsidRPr="004D3C48">
        <w:rPr>
          <w:lang w:val="ru-RU"/>
        </w:rPr>
        <w:t>);</w:t>
      </w:r>
      <w:proofErr w:type="gramEnd"/>
    </w:p>
    <w:p w14:paraId="15C1793E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i/>
          <w:iCs/>
        </w:rPr>
        <w:t>c</w:t>
      </w:r>
      <w:r w:rsidRPr="004D3C48">
        <w:rPr>
          <w:i/>
          <w:iCs/>
          <w:lang w:val="ru-RU"/>
        </w:rPr>
        <w:t>)</w:t>
      </w:r>
      <w:r w:rsidRPr="004D3C48">
        <w:rPr>
          <w:lang w:val="ru-RU"/>
        </w:rPr>
        <w:tab/>
        <w:t xml:space="preserve">что необходимо обеспечить, чтобы внедрение РСС (звуковой) и дополнительного наземного радиовещания осуществлялось гибким образом и на справедливой </w:t>
      </w:r>
      <w:proofErr w:type="gramStart"/>
      <w:r w:rsidRPr="004D3C48">
        <w:rPr>
          <w:lang w:val="ru-RU"/>
        </w:rPr>
        <w:t>основе;</w:t>
      </w:r>
      <w:proofErr w:type="gramEnd"/>
    </w:p>
    <w:p w14:paraId="3A55043C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i/>
          <w:iCs/>
        </w:rPr>
        <w:t>d</w:t>
      </w:r>
      <w:r w:rsidRPr="004D3C48">
        <w:rPr>
          <w:i/>
          <w:iCs/>
          <w:lang w:val="ru-RU"/>
        </w:rPr>
        <w:t>)</w:t>
      </w:r>
      <w:r w:rsidRPr="004D3C48">
        <w:rPr>
          <w:lang w:val="ru-RU"/>
        </w:rPr>
        <w:tab/>
        <w:t>что эта задача рассматривается в Резолюции 528 (</w:t>
      </w:r>
      <w:proofErr w:type="spellStart"/>
      <w:r w:rsidRPr="004D3C48">
        <w:rPr>
          <w:lang w:val="ru-RU"/>
        </w:rPr>
        <w:t>Пересм</w:t>
      </w:r>
      <w:proofErr w:type="spellEnd"/>
      <w:r w:rsidRPr="004D3C48">
        <w:rPr>
          <w:lang w:val="ru-RU"/>
        </w:rPr>
        <w:t>. ВКР-03), в которой призывается провести компетентную конференцию по планированию радиовещательной спутниковой службы (звуковой) в распределенных полосах и разработать процедуры для скоординированного использования дополнительного наземного радиовещания;</w:t>
      </w:r>
    </w:p>
    <w:p w14:paraId="6A903AED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i/>
          <w:iCs/>
        </w:rPr>
        <w:t>e</w:t>
      </w:r>
      <w:r w:rsidRPr="004D3C48">
        <w:rPr>
          <w:i/>
          <w:iCs/>
          <w:lang w:val="ru-RU"/>
        </w:rPr>
        <w:t>)</w:t>
      </w:r>
      <w:r w:rsidRPr="004D3C48">
        <w:rPr>
          <w:lang w:val="ru-RU"/>
        </w:rPr>
        <w:tab/>
        <w:t>что в Резолюции 528 (</w:t>
      </w:r>
      <w:proofErr w:type="spellStart"/>
      <w:r w:rsidRPr="004D3C48">
        <w:rPr>
          <w:szCs w:val="22"/>
          <w:lang w:val="ru-RU"/>
        </w:rPr>
        <w:t>Пересм</w:t>
      </w:r>
      <w:proofErr w:type="spellEnd"/>
      <w:r w:rsidRPr="004D3C48">
        <w:rPr>
          <w:szCs w:val="22"/>
          <w:lang w:val="ru-RU"/>
        </w:rPr>
        <w:t>. ВКР-03</w:t>
      </w:r>
      <w:r w:rsidRPr="004D3C48">
        <w:rPr>
          <w:lang w:val="ru-RU"/>
        </w:rPr>
        <w:t>) также указывается процедура координации, которую следует использовать для внедрения цифровых систем спутникового звукового радиовещания в переходный период до конференции, и что методы расчета и критерии помех, которые должны использоваться в применение этой процедуры, основаны на соответствующих Рекомендациях МСЭ</w:t>
      </w:r>
      <w:r w:rsidRPr="004D3C48">
        <w:rPr>
          <w:lang w:val="ru-RU"/>
        </w:rPr>
        <w:noBreakHyphen/>
      </w:r>
      <w:r w:rsidRPr="00BC29F6">
        <w:t>R</w:t>
      </w:r>
      <w:r w:rsidRPr="004D3C48">
        <w:rPr>
          <w:lang w:val="ru-RU"/>
        </w:rPr>
        <w:t>;</w:t>
      </w:r>
    </w:p>
    <w:p w14:paraId="3A317ABA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i/>
          <w:iCs/>
        </w:rPr>
        <w:t>f</w:t>
      </w:r>
      <w:r w:rsidRPr="004D3C48">
        <w:rPr>
          <w:i/>
          <w:iCs/>
          <w:lang w:val="ru-RU"/>
        </w:rPr>
        <w:t>)</w:t>
      </w:r>
      <w:r w:rsidRPr="004D3C48">
        <w:rPr>
          <w:lang w:val="ru-RU"/>
        </w:rPr>
        <w:tab/>
        <w:t>что в Резолюции 528 (</w:t>
      </w:r>
      <w:proofErr w:type="spellStart"/>
      <w:r w:rsidRPr="004D3C48">
        <w:rPr>
          <w:szCs w:val="22"/>
          <w:lang w:val="ru-RU"/>
        </w:rPr>
        <w:t>Пересм</w:t>
      </w:r>
      <w:proofErr w:type="spellEnd"/>
      <w:r w:rsidRPr="004D3C48">
        <w:rPr>
          <w:szCs w:val="22"/>
          <w:lang w:val="ru-RU"/>
        </w:rPr>
        <w:t>. ВКР-03</w:t>
      </w:r>
      <w:r w:rsidRPr="004D3C48">
        <w:rPr>
          <w:lang w:val="ru-RU"/>
        </w:rPr>
        <w:t xml:space="preserve">) содержится призыв к конференции, упомянутой в пункте </w:t>
      </w:r>
      <w:r w:rsidRPr="00BC29F6">
        <w:t>d</w:t>
      </w:r>
      <w:r w:rsidRPr="004D3C48">
        <w:rPr>
          <w:lang w:val="ru-RU"/>
        </w:rPr>
        <w:t xml:space="preserve">) раздела </w:t>
      </w:r>
      <w:r w:rsidRPr="004D3C48">
        <w:rPr>
          <w:i/>
          <w:iCs/>
          <w:lang w:val="ru-RU"/>
        </w:rPr>
        <w:t>учитывая</w:t>
      </w:r>
      <w:r w:rsidRPr="004D3C48">
        <w:rPr>
          <w:lang w:val="ru-RU"/>
        </w:rPr>
        <w:t>, выше, рассмотреть критерии совместного использования частот с другими службами,</w:t>
      </w:r>
    </w:p>
    <w:p w14:paraId="173E093D" w14:textId="77777777" w:rsidR="004D3C48" w:rsidRPr="00CF5441" w:rsidRDefault="004D3C48" w:rsidP="00A152CE">
      <w:pPr>
        <w:pStyle w:val="Call"/>
        <w:jc w:val="both"/>
        <w:rPr>
          <w:szCs w:val="22"/>
          <w:lang w:val="ru-RU"/>
        </w:rPr>
      </w:pPr>
      <w:r w:rsidRPr="004D3C48">
        <w:rPr>
          <w:szCs w:val="22"/>
          <w:lang w:val="ru-RU"/>
        </w:rPr>
        <w:t>решает</w:t>
      </w:r>
      <w:r w:rsidRPr="004D3C48">
        <w:rPr>
          <w:i w:val="0"/>
          <w:iCs/>
          <w:szCs w:val="22"/>
          <w:lang w:val="ru-RU"/>
        </w:rPr>
        <w:t>, что необходимо изучить следующие Вопросы</w:t>
      </w:r>
    </w:p>
    <w:p w14:paraId="41F53091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t>1</w:t>
      </w:r>
      <w:r w:rsidRPr="004D3C48">
        <w:rPr>
          <w:lang w:val="ru-RU"/>
        </w:rPr>
        <w:tab/>
        <w:t>Каковы предпочтительные технические и эксплуатационные характеристики систем РСС (звуковой), которым необходимо обеспечивать защиту, в том числе требования к показателям шума и помех и составление бюджета помех?</w:t>
      </w:r>
    </w:p>
    <w:p w14:paraId="7655087C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t>2</w:t>
      </w:r>
      <w:r w:rsidRPr="004D3C48">
        <w:rPr>
          <w:lang w:val="ru-RU"/>
        </w:rPr>
        <w:tab/>
        <w:t xml:space="preserve">Каковы требования к защите от помех для систем РСС (звуковой) различных типов, например в </w:t>
      </w:r>
      <w:proofErr w:type="gramStart"/>
      <w:r w:rsidRPr="004D3C48">
        <w:rPr>
          <w:lang w:val="ru-RU"/>
        </w:rPr>
        <w:t>том</w:t>
      </w:r>
      <w:proofErr w:type="gramEnd"/>
      <w:r w:rsidRPr="004D3C48">
        <w:rPr>
          <w:lang w:val="ru-RU"/>
        </w:rPr>
        <w:t xml:space="preserve"> что касается максимально допустимого уровня плотности потока мощности со стороны других систем?</w:t>
      </w:r>
    </w:p>
    <w:p w14:paraId="373366C6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t>3</w:t>
      </w:r>
      <w:r w:rsidRPr="004D3C48">
        <w:rPr>
          <w:lang w:val="ru-RU"/>
        </w:rPr>
        <w:tab/>
        <w:t xml:space="preserve">Какие ограничения технических характеристик (например, </w:t>
      </w:r>
      <w:proofErr w:type="spellStart"/>
      <w:r w:rsidRPr="004D3C48">
        <w:rPr>
          <w:lang w:val="ru-RU"/>
        </w:rPr>
        <w:t>э.и.и.м</w:t>
      </w:r>
      <w:proofErr w:type="spellEnd"/>
      <w:r w:rsidRPr="004D3C48">
        <w:rPr>
          <w:lang w:val="ru-RU"/>
        </w:rPr>
        <w:t xml:space="preserve">., угла наведения, </w:t>
      </w:r>
      <w:proofErr w:type="spellStart"/>
      <w:r w:rsidRPr="004D3C48">
        <w:rPr>
          <w:lang w:val="ru-RU"/>
        </w:rPr>
        <w:t>п.п.м</w:t>
      </w:r>
      <w:proofErr w:type="spellEnd"/>
      <w:r w:rsidRPr="004D3C48">
        <w:rPr>
          <w:lang w:val="ru-RU"/>
        </w:rPr>
        <w:t>.) систем РСС (звуковой) и обслуживания, которое они обеспечивают (например, покрытие, готовность), могли бы быть допустимыми в интересах снижения до приемлемого уровня помех, создаваемых системам других служб?</w:t>
      </w:r>
    </w:p>
    <w:p w14:paraId="49FA78CB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t>4</w:t>
      </w:r>
      <w:r w:rsidRPr="004D3C48">
        <w:rPr>
          <w:lang w:val="ru-RU"/>
        </w:rPr>
        <w:tab/>
        <w:t>Какие средства существуют для координации и недопущения взаимных вредных помех между системами РСС (звуковой) и какова сравнительная эффективность этих средств?</w:t>
      </w:r>
    </w:p>
    <w:p w14:paraId="28F8ECCC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t>5</w:t>
      </w:r>
      <w:r w:rsidRPr="004D3C48">
        <w:rPr>
          <w:lang w:val="ru-RU"/>
        </w:rPr>
        <w:tab/>
        <w:t>Какие средства существуют для координации систем РСС (звуковой) с системами других служб, и какие критерии совместного использования частот должны использоваться для начала такой координации?</w:t>
      </w:r>
    </w:p>
    <w:p w14:paraId="70A11AE9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lastRenderedPageBreak/>
        <w:t>6</w:t>
      </w:r>
      <w:r w:rsidRPr="004D3C48">
        <w:rPr>
          <w:lang w:val="ru-RU"/>
        </w:rPr>
        <w:tab/>
        <w:t>Какие изменения следует, в случае необходимости, внести в Рекомендации МСЭ-</w:t>
      </w:r>
      <w:r w:rsidRPr="00BC29F6">
        <w:t>R</w:t>
      </w:r>
      <w:r w:rsidRPr="004D3C48">
        <w:rPr>
          <w:lang w:val="ru-RU"/>
        </w:rPr>
        <w:t xml:space="preserve">, в которых устанавливаются методы расчета и критерии помех, используемые при оценке помех в соответствии с переходными процедурами координации, упомянутыми в пункте </w:t>
      </w:r>
      <w:r w:rsidRPr="00BC29F6">
        <w:t>e</w:t>
      </w:r>
      <w:r w:rsidRPr="004D3C48">
        <w:rPr>
          <w:lang w:val="ru-RU"/>
        </w:rPr>
        <w:t xml:space="preserve">) раздела </w:t>
      </w:r>
      <w:r w:rsidRPr="004D3C48">
        <w:rPr>
          <w:i/>
          <w:iCs/>
          <w:lang w:val="ru-RU"/>
        </w:rPr>
        <w:t>учитывая</w:t>
      </w:r>
      <w:r w:rsidRPr="004D3C48">
        <w:rPr>
          <w:lang w:val="ru-RU"/>
        </w:rPr>
        <w:t>?</w:t>
      </w:r>
    </w:p>
    <w:p w14:paraId="6F923D73" w14:textId="77777777" w:rsidR="004D3C48" w:rsidRPr="004D3C48" w:rsidRDefault="004D3C48" w:rsidP="00A152CE">
      <w:pPr>
        <w:jc w:val="both"/>
        <w:rPr>
          <w:lang w:val="ru-RU"/>
        </w:rPr>
      </w:pPr>
      <w:r w:rsidRPr="004D3C48">
        <w:rPr>
          <w:bCs/>
          <w:lang w:val="ru-RU"/>
        </w:rPr>
        <w:t>7</w:t>
      </w:r>
      <w:r w:rsidRPr="004D3C48">
        <w:rPr>
          <w:lang w:val="ru-RU"/>
        </w:rPr>
        <w:tab/>
        <w:t>Каковы технические основы решения проблем, которые должны быть рассмотрены конференцией, упомянутой в пункте</w:t>
      </w:r>
      <w:r w:rsidRPr="00BC29F6">
        <w:t> d</w:t>
      </w:r>
      <w:r w:rsidRPr="004D3C48">
        <w:rPr>
          <w:lang w:val="ru-RU"/>
        </w:rPr>
        <w:t xml:space="preserve">) раздела </w:t>
      </w:r>
      <w:r w:rsidRPr="004D3C48">
        <w:rPr>
          <w:i/>
          <w:iCs/>
          <w:lang w:val="ru-RU"/>
        </w:rPr>
        <w:t>учитывая</w:t>
      </w:r>
      <w:r w:rsidRPr="004D3C48">
        <w:rPr>
          <w:lang w:val="ru-RU"/>
        </w:rPr>
        <w:t>?</w:t>
      </w:r>
    </w:p>
    <w:p w14:paraId="584C58B1" w14:textId="77777777" w:rsidR="004D3C48" w:rsidRPr="004D3C48" w:rsidRDefault="004D3C48" w:rsidP="00A152CE">
      <w:pPr>
        <w:pStyle w:val="Note"/>
        <w:jc w:val="both"/>
        <w:rPr>
          <w:lang w:val="ru-RU"/>
        </w:rPr>
      </w:pPr>
      <w:r w:rsidRPr="004D3C48">
        <w:rPr>
          <w:lang w:val="ru-RU"/>
        </w:rPr>
        <w:t>ПРИМЕЧАНИЕ – См. Отчет МСЭ-</w:t>
      </w:r>
      <w:r w:rsidRPr="00BC29F6">
        <w:t>R</w:t>
      </w:r>
      <w:r w:rsidRPr="004D3C48">
        <w:rPr>
          <w:lang w:val="ru-RU"/>
        </w:rPr>
        <w:t xml:space="preserve"> </w:t>
      </w:r>
      <w:r w:rsidRPr="00BC29F6">
        <w:t>BO</w:t>
      </w:r>
      <w:r w:rsidRPr="004D3C48">
        <w:rPr>
          <w:lang w:val="ru-RU"/>
        </w:rPr>
        <w:t>.2006 и Рекомендацию МСЭ-</w:t>
      </w:r>
      <w:r w:rsidRPr="00BC29F6">
        <w:t>R</w:t>
      </w:r>
      <w:r w:rsidRPr="004D3C48">
        <w:rPr>
          <w:lang w:val="ru-RU"/>
        </w:rPr>
        <w:t xml:space="preserve"> </w:t>
      </w:r>
      <w:r w:rsidRPr="00BC29F6">
        <w:t>BO</w:t>
      </w:r>
      <w:r w:rsidRPr="004D3C48">
        <w:rPr>
          <w:lang w:val="ru-RU"/>
        </w:rPr>
        <w:t>.1383.</w:t>
      </w:r>
    </w:p>
    <w:p w14:paraId="03F35825" w14:textId="77777777" w:rsidR="004D3C48" w:rsidRPr="00CF5441" w:rsidRDefault="004D3C48" w:rsidP="00A152CE">
      <w:pPr>
        <w:pStyle w:val="Call"/>
        <w:jc w:val="both"/>
        <w:rPr>
          <w:i w:val="0"/>
          <w:iCs/>
          <w:lang w:val="ru-RU"/>
        </w:rPr>
      </w:pPr>
      <w:r w:rsidRPr="004D3C48">
        <w:rPr>
          <w:lang w:val="ru-RU"/>
        </w:rPr>
        <w:t>решает далее</w:t>
      </w:r>
    </w:p>
    <w:p w14:paraId="29892EC0" w14:textId="77777777" w:rsidR="004D3C48" w:rsidRPr="005E73EC" w:rsidRDefault="004D3C48" w:rsidP="00A152CE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ED35525" w14:textId="13F4F1CD" w:rsidR="004D3C48" w:rsidRPr="005E73EC" w:rsidRDefault="004D3C48" w:rsidP="00A152CE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C01836">
        <w:rPr>
          <w:szCs w:val="22"/>
          <w:lang w:val="ru-RU"/>
        </w:rPr>
        <w:t>едования следует завершить к 20</w:t>
      </w:r>
      <w:r w:rsidR="00C01836" w:rsidRPr="00A152CE">
        <w:rPr>
          <w:szCs w:val="22"/>
          <w:lang w:val="ru-RU"/>
        </w:rPr>
        <w:t>2</w:t>
      </w:r>
      <w:r w:rsidR="00A152CE" w:rsidRPr="00A152CE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46D6FE55" w14:textId="3C0614BA" w:rsidR="004D3C48" w:rsidRPr="00CF5441" w:rsidRDefault="004D3C48" w:rsidP="00A152CE">
      <w:pPr>
        <w:spacing w:before="360"/>
        <w:jc w:val="both"/>
        <w:rPr>
          <w:lang w:val="ru-RU" w:eastAsia="ja-JP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1</w:t>
      </w:r>
    </w:p>
    <w:sectPr w:rsidR="004D3C48" w:rsidRPr="00CF5441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9D9B" w14:textId="77777777" w:rsidR="00C61B3D" w:rsidRDefault="00C61B3D">
      <w:r>
        <w:separator/>
      </w:r>
    </w:p>
  </w:endnote>
  <w:endnote w:type="continuationSeparator" w:id="0">
    <w:p w14:paraId="6303B03C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E3C3" w14:textId="77777777" w:rsidR="00C61B3D" w:rsidRDefault="00C61B3D">
      <w:r>
        <w:t>____________________</w:t>
      </w:r>
    </w:p>
  </w:footnote>
  <w:footnote w:type="continuationSeparator" w:id="0">
    <w:p w14:paraId="3CF79311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B351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01836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878502">
    <w:abstractNumId w:val="3"/>
  </w:num>
  <w:num w:numId="2" w16cid:durableId="1324896991">
    <w:abstractNumId w:val="5"/>
  </w:num>
  <w:num w:numId="3" w16cid:durableId="1203246560">
    <w:abstractNumId w:val="0"/>
  </w:num>
  <w:num w:numId="4" w16cid:durableId="190263235">
    <w:abstractNumId w:val="4"/>
  </w:num>
  <w:num w:numId="5" w16cid:durableId="1837070394">
    <w:abstractNumId w:val="7"/>
  </w:num>
  <w:num w:numId="6" w16cid:durableId="1101606847">
    <w:abstractNumId w:val="1"/>
  </w:num>
  <w:num w:numId="7" w16cid:durableId="398864532">
    <w:abstractNumId w:val="8"/>
  </w:num>
  <w:num w:numId="8" w16cid:durableId="1970865102">
    <w:abstractNumId w:val="6"/>
  </w:num>
  <w:num w:numId="9" w16cid:durableId="205391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65305"/>
    <w:rsid w:val="0007270D"/>
    <w:rsid w:val="000827A6"/>
    <w:rsid w:val="000924EC"/>
    <w:rsid w:val="000F373B"/>
    <w:rsid w:val="00116CA4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1F2D1F"/>
    <w:rsid w:val="00203E88"/>
    <w:rsid w:val="00214057"/>
    <w:rsid w:val="00293363"/>
    <w:rsid w:val="002D0376"/>
    <w:rsid w:val="003219E8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D6685"/>
    <w:rsid w:val="007E355A"/>
    <w:rsid w:val="008018F7"/>
    <w:rsid w:val="0080275E"/>
    <w:rsid w:val="00804F7F"/>
    <w:rsid w:val="0083065B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877F4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152CE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0183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A7CC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72C81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8BC2"/>
  <w15:docId w15:val="{D7E28E49-36A1-41F1-A9FF-0198BE0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19E6-2F94-4D0E-9D30-43398B6E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6</cp:revision>
  <cp:lastPrinted>2012-03-15T14:58:00Z</cp:lastPrinted>
  <dcterms:created xsi:type="dcterms:W3CDTF">2012-05-03T07:23:00Z</dcterms:created>
  <dcterms:modified xsi:type="dcterms:W3CDTF">2024-01-30T14:01:00Z</dcterms:modified>
</cp:coreProperties>
</file>