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E76B" w14:textId="77777777" w:rsidR="00D83E9F" w:rsidRDefault="00D83E9F" w:rsidP="00E72686">
      <w:pPr>
        <w:pStyle w:val="Title1"/>
        <w:spacing w:before="120"/>
        <w:rPr>
          <w:lang w:val="fr-CH"/>
        </w:rPr>
      </w:pPr>
      <w:r>
        <w:rPr>
          <w:lang w:val="fr-CH"/>
        </w:rPr>
        <w:t xml:space="preserve">question UIT-R </w:t>
      </w:r>
      <w:r w:rsidRPr="00201C53">
        <w:t>2</w:t>
      </w:r>
      <w:r>
        <w:t>88</w:t>
      </w:r>
      <w:r w:rsidRPr="00201C53">
        <w:t>/</w:t>
      </w:r>
      <w:r>
        <w:t>4</w:t>
      </w:r>
    </w:p>
    <w:p w14:paraId="08DDB54A" w14:textId="77777777" w:rsidR="00D83E9F" w:rsidRDefault="00D83E9F" w:rsidP="00E72686">
      <w:pPr>
        <w:pStyle w:val="Title4"/>
        <w:rPr>
          <w:lang w:val="fr-CH"/>
        </w:rPr>
      </w:pPr>
      <w:r w:rsidRPr="00201C53">
        <w:t>Systèmes du service de radionavigation par satel</w:t>
      </w:r>
      <w:r>
        <w:t>lite (espace vers</w:t>
      </w:r>
      <w:r>
        <w:br/>
        <w:t>Terre, espace</w:t>
      </w:r>
      <w:r>
        <w:noBreakHyphen/>
      </w:r>
      <w:r w:rsidRPr="00201C53">
        <w:t>espace, Terre</w:t>
      </w:r>
      <w:r>
        <w:t xml:space="preserve"> vers espace): caractéristiques et</w:t>
      </w:r>
      <w:r>
        <w:br/>
      </w:r>
      <w:r w:rsidRPr="00201C53">
        <w:t>besoins d'exploitation</w:t>
      </w:r>
    </w:p>
    <w:p w14:paraId="3C807AF3" w14:textId="77777777" w:rsidR="00D83E9F" w:rsidRPr="00B3449A" w:rsidRDefault="00D83E9F" w:rsidP="00E72686">
      <w:pPr>
        <w:pStyle w:val="Questiondate"/>
      </w:pPr>
      <w:r w:rsidRPr="00B3449A">
        <w:t>(2004-2006-2007)</w:t>
      </w:r>
    </w:p>
    <w:p w14:paraId="2D0C4E0E" w14:textId="77777777" w:rsidR="00D83E9F" w:rsidRPr="00201C53" w:rsidRDefault="00D83E9F" w:rsidP="00213448">
      <w:pPr>
        <w:jc w:val="both"/>
      </w:pPr>
      <w:r w:rsidRPr="00201C53">
        <w:t>L'Assemblée des radiocommunications de l'UIT,</w:t>
      </w:r>
    </w:p>
    <w:p w14:paraId="4C1B37FE" w14:textId="77777777" w:rsidR="00D83E9F" w:rsidRPr="00201C53" w:rsidRDefault="00D83E9F" w:rsidP="00213448">
      <w:pPr>
        <w:pStyle w:val="Call"/>
        <w:jc w:val="both"/>
      </w:pPr>
      <w:r w:rsidRPr="00201C53">
        <w:t>considérant</w:t>
      </w:r>
    </w:p>
    <w:p w14:paraId="4B3FDAFF" w14:textId="77777777" w:rsidR="00D83E9F" w:rsidRPr="00201C53" w:rsidRDefault="00D83E9F" w:rsidP="00213448">
      <w:pPr>
        <w:jc w:val="both"/>
        <w:rPr>
          <w:spacing w:val="-2"/>
        </w:rPr>
      </w:pPr>
      <w:r w:rsidRPr="00E72686">
        <w:rPr>
          <w:i/>
          <w:iCs/>
        </w:rPr>
        <w:t>a)</w:t>
      </w:r>
      <w:r w:rsidRPr="00201C53">
        <w:tab/>
        <w:t>que, grâce à des systèmes du service de radionavigation par satellite (</w:t>
      </w:r>
      <w:proofErr w:type="spellStart"/>
      <w:r w:rsidRPr="00201C53">
        <w:t>SRNS</w:t>
      </w:r>
      <w:proofErr w:type="spellEnd"/>
      <w:r w:rsidRPr="00201C53">
        <w:t>), on dispose, au</w:t>
      </w:r>
      <w:r w:rsidRPr="00201C53">
        <w:rPr>
          <w:spacing w:val="-2"/>
        </w:rPr>
        <w:t xml:space="preserve"> </w:t>
      </w:r>
      <w:r w:rsidRPr="00201C53">
        <w:t>niveau mondial, d'informations sur la précision, la synchronisation, la position et la navigation pour</w:t>
      </w:r>
      <w:r w:rsidRPr="00201C53">
        <w:rPr>
          <w:spacing w:val="-2"/>
        </w:rPr>
        <w:t xml:space="preserve"> nombre d'applications, et notamment des applications indispensables à la sécurité de la vie humaine;</w:t>
      </w:r>
    </w:p>
    <w:p w14:paraId="6BC14CAA" w14:textId="77777777" w:rsidR="00D83E9F" w:rsidRPr="00201C53" w:rsidRDefault="00D83E9F" w:rsidP="00213448">
      <w:pPr>
        <w:jc w:val="both"/>
      </w:pPr>
      <w:r w:rsidRPr="00E72686">
        <w:rPr>
          <w:i/>
          <w:iCs/>
        </w:rPr>
        <w:t>b)</w:t>
      </w:r>
      <w:r w:rsidRPr="00201C53">
        <w:tab/>
        <w:t xml:space="preserve">qu'il existe différents systèmes du </w:t>
      </w:r>
      <w:proofErr w:type="spellStart"/>
      <w:r w:rsidRPr="00201C53">
        <w:t>SRNS</w:t>
      </w:r>
      <w:proofErr w:type="spellEnd"/>
      <w:r w:rsidRPr="00201C53">
        <w:t xml:space="preserve"> existants ou en projet;</w:t>
      </w:r>
    </w:p>
    <w:p w14:paraId="71A70267" w14:textId="77777777" w:rsidR="00D83E9F" w:rsidRPr="00201C53" w:rsidRDefault="00D83E9F" w:rsidP="00213448">
      <w:pPr>
        <w:jc w:val="both"/>
      </w:pPr>
      <w:r w:rsidRPr="00E72686">
        <w:rPr>
          <w:i/>
          <w:iCs/>
        </w:rPr>
        <w:t>c)</w:t>
      </w:r>
      <w:r w:rsidRPr="00201C53">
        <w:tab/>
        <w:t xml:space="preserve">que les bandes 149,9-150,05 MHz et 399,9-400,05 MHz sont attribuées, à l'échelle mondiale, à titre primaire, au </w:t>
      </w:r>
      <w:proofErr w:type="spellStart"/>
      <w:r w:rsidRPr="00201C53">
        <w:t>SNRS</w:t>
      </w:r>
      <w:proofErr w:type="spellEnd"/>
      <w:r w:rsidRPr="00201C53">
        <w:t xml:space="preserve"> jusqu'au 1er janvier 2015;</w:t>
      </w:r>
    </w:p>
    <w:p w14:paraId="2F1411F2" w14:textId="09770E4F" w:rsidR="00D83E9F" w:rsidRPr="00201C53" w:rsidRDefault="00D83E9F" w:rsidP="00213448">
      <w:pPr>
        <w:jc w:val="both"/>
      </w:pPr>
      <w:r w:rsidRPr="00E72686">
        <w:rPr>
          <w:i/>
          <w:iCs/>
        </w:rPr>
        <w:t>d)</w:t>
      </w:r>
      <w:r w:rsidRPr="00201C53">
        <w:tab/>
        <w:t>que les bandes 1 164</w:t>
      </w:r>
      <w:r w:rsidRPr="00201C53">
        <w:noBreakHyphen/>
        <w:t>1 300 MHz, 1 559</w:t>
      </w:r>
      <w:r w:rsidRPr="00201C53">
        <w:noBreakHyphen/>
        <w:t>1 610 MHz et 5 010</w:t>
      </w:r>
      <w:r w:rsidRPr="00201C53">
        <w:noBreakHyphen/>
        <w:t xml:space="preserve">5 030 MHz sont attribuées, à l'échelle mondiale, à titre primaire, au </w:t>
      </w:r>
      <w:proofErr w:type="spellStart"/>
      <w:r w:rsidRPr="00201C53">
        <w:t>SRNS</w:t>
      </w:r>
      <w:proofErr w:type="spellEnd"/>
      <w:r w:rsidRPr="00201C53">
        <w:t xml:space="preserve"> (espace vers Terre, espace-espace);</w:t>
      </w:r>
    </w:p>
    <w:p w14:paraId="30013360" w14:textId="77777777" w:rsidR="00D83E9F" w:rsidRPr="00201C53" w:rsidRDefault="00D83E9F" w:rsidP="00213448">
      <w:pPr>
        <w:jc w:val="both"/>
      </w:pPr>
      <w:r w:rsidRPr="00E72686">
        <w:rPr>
          <w:i/>
          <w:iCs/>
        </w:rPr>
        <w:t>e)</w:t>
      </w:r>
      <w:r w:rsidRPr="00201C53">
        <w:tab/>
        <w:t>que les bandes 1 300</w:t>
      </w:r>
      <w:r w:rsidRPr="00201C53">
        <w:noBreakHyphen/>
        <w:t>1 350 MHz et 5 000</w:t>
      </w:r>
      <w:r w:rsidRPr="00201C53">
        <w:noBreakHyphen/>
        <w:t xml:space="preserve">5 010 MHz sont attribuées, à l'échelle mondiale, à titre primaire, au </w:t>
      </w:r>
      <w:proofErr w:type="spellStart"/>
      <w:r w:rsidRPr="00201C53">
        <w:t>SRNS</w:t>
      </w:r>
      <w:proofErr w:type="spellEnd"/>
      <w:r w:rsidRPr="00201C53">
        <w:t xml:space="preserve"> (Terre vers espace);</w:t>
      </w:r>
    </w:p>
    <w:p w14:paraId="391CC823" w14:textId="77777777" w:rsidR="00D83E9F" w:rsidRPr="00201C53" w:rsidRDefault="00D83E9F" w:rsidP="00213448">
      <w:pPr>
        <w:jc w:val="both"/>
      </w:pPr>
      <w:r w:rsidRPr="00E72686">
        <w:rPr>
          <w:i/>
          <w:iCs/>
        </w:rPr>
        <w:t>f)</w:t>
      </w:r>
      <w:r w:rsidRPr="00201C53">
        <w:tab/>
        <w:t>que ces bandes sont également attribuées, à titre primaire, à d'autres services;</w:t>
      </w:r>
    </w:p>
    <w:p w14:paraId="2036AD86" w14:textId="77777777" w:rsidR="00D83E9F" w:rsidRPr="00201C53" w:rsidRDefault="00D83E9F" w:rsidP="00213448">
      <w:pPr>
        <w:jc w:val="both"/>
      </w:pPr>
      <w:r w:rsidRPr="00E72686">
        <w:rPr>
          <w:i/>
          <w:iCs/>
        </w:rPr>
        <w:t>g)</w:t>
      </w:r>
      <w:r w:rsidRPr="00201C53">
        <w:tab/>
        <w:t>qu'il se peut que les caractéristiques et les critères de protection des systèmes du </w:t>
      </w:r>
      <w:proofErr w:type="spellStart"/>
      <w:r w:rsidRPr="00201C53">
        <w:t>SRNS</w:t>
      </w:r>
      <w:proofErr w:type="spellEnd"/>
      <w:r w:rsidRPr="00201C53">
        <w:t xml:space="preserve"> diffèrent selon les bandes et les applications;</w:t>
      </w:r>
    </w:p>
    <w:p w14:paraId="6CABBA1B" w14:textId="77777777" w:rsidR="00D83E9F" w:rsidRPr="00201C53" w:rsidRDefault="00D83E9F" w:rsidP="00213448">
      <w:pPr>
        <w:jc w:val="both"/>
      </w:pPr>
      <w:r w:rsidRPr="00E72686">
        <w:rPr>
          <w:i/>
          <w:iCs/>
        </w:rPr>
        <w:t>h)</w:t>
      </w:r>
      <w:r w:rsidRPr="00201C53">
        <w:tab/>
        <w:t>que, dans ses conclusions, la CMR</w:t>
      </w:r>
      <w:r w:rsidRPr="00201C53">
        <w:noBreakHyphen/>
        <w:t>2000 n'a pas recommandé le partage de la bande 1 559</w:t>
      </w:r>
      <w:r w:rsidRPr="00201C53">
        <w:noBreakHyphen/>
        <w:t xml:space="preserve">1 610 MHz attribuée au </w:t>
      </w:r>
      <w:proofErr w:type="spellStart"/>
      <w:r w:rsidRPr="00201C53">
        <w:t>SRNS</w:t>
      </w:r>
      <w:proofErr w:type="spellEnd"/>
      <w:r w:rsidRPr="00201C53">
        <w:t xml:space="preserve"> avec tel </w:t>
      </w:r>
      <w:proofErr w:type="spellStart"/>
      <w:r w:rsidRPr="00201C53">
        <w:t>or</w:t>
      </w:r>
      <w:proofErr w:type="spellEnd"/>
      <w:r w:rsidRPr="00201C53">
        <w:t xml:space="preserve"> tel service de communication utilisant la même fréquence;</w:t>
      </w:r>
    </w:p>
    <w:p w14:paraId="130F8224" w14:textId="26200381" w:rsidR="00D83E9F" w:rsidRPr="00201C53" w:rsidRDefault="00213448" w:rsidP="00213448">
      <w:pPr>
        <w:jc w:val="both"/>
      </w:pPr>
      <w:r>
        <w:rPr>
          <w:i/>
          <w:iCs/>
        </w:rPr>
        <w:t>i</w:t>
      </w:r>
      <w:r w:rsidR="00D83E9F" w:rsidRPr="00E72686">
        <w:rPr>
          <w:i/>
          <w:iCs/>
        </w:rPr>
        <w:t>)</w:t>
      </w:r>
      <w:r w:rsidR="00D83E9F" w:rsidRPr="00201C53">
        <w:tab/>
        <w:t xml:space="preserve">que des études sur la compatibilité entre le </w:t>
      </w:r>
      <w:proofErr w:type="spellStart"/>
      <w:r w:rsidR="00D83E9F" w:rsidRPr="00201C53">
        <w:t>SRNS</w:t>
      </w:r>
      <w:proofErr w:type="spellEnd"/>
      <w:r w:rsidR="00D83E9F" w:rsidRPr="00201C53">
        <w:t xml:space="preserve"> et d'autres services ou systèmes sont en cours ou en projet;</w:t>
      </w:r>
    </w:p>
    <w:p w14:paraId="55005AF2" w14:textId="0A39CBDC" w:rsidR="00D83E9F" w:rsidRPr="00201C53" w:rsidRDefault="00213448" w:rsidP="00213448">
      <w:pPr>
        <w:jc w:val="both"/>
      </w:pPr>
      <w:r>
        <w:rPr>
          <w:i/>
          <w:iCs/>
        </w:rPr>
        <w:t>j</w:t>
      </w:r>
      <w:r w:rsidR="00D83E9F" w:rsidRPr="00E72686">
        <w:rPr>
          <w:i/>
          <w:iCs/>
        </w:rPr>
        <w:t>)</w:t>
      </w:r>
      <w:r w:rsidR="00D83E9F" w:rsidRPr="00201C53">
        <w:tab/>
        <w:t xml:space="preserve">que les Recommandations UIT-R </w:t>
      </w:r>
      <w:proofErr w:type="spellStart"/>
      <w:r w:rsidR="00D83E9F" w:rsidRPr="00201C53">
        <w:t>M.1088</w:t>
      </w:r>
      <w:proofErr w:type="spellEnd"/>
      <w:r w:rsidR="00D83E9F" w:rsidRPr="00201C53">
        <w:t>, UIT</w:t>
      </w:r>
      <w:r w:rsidR="00D83E9F" w:rsidRPr="00201C53">
        <w:noBreakHyphen/>
        <w:t xml:space="preserve">R </w:t>
      </w:r>
      <w:proofErr w:type="spellStart"/>
      <w:r w:rsidR="00D83E9F" w:rsidRPr="00201C53">
        <w:t>M.1477</w:t>
      </w:r>
      <w:proofErr w:type="spellEnd"/>
      <w:r w:rsidR="00D83E9F" w:rsidRPr="00201C53">
        <w:t xml:space="preserve"> et UIT</w:t>
      </w:r>
      <w:r w:rsidR="00D83E9F" w:rsidRPr="00201C53">
        <w:noBreakHyphen/>
        <w:t xml:space="preserve">R </w:t>
      </w:r>
      <w:proofErr w:type="spellStart"/>
      <w:r w:rsidR="00D83E9F" w:rsidRPr="00201C53">
        <w:t>M.1479</w:t>
      </w:r>
      <w:proofErr w:type="spellEnd"/>
      <w:r w:rsidR="00D83E9F" w:rsidRPr="00201C53">
        <w:t xml:space="preserve"> donnent les caractéristiques et descriptions de plusieurs types de récepteurs utilisés avec plusieurs systèmes du </w:t>
      </w:r>
      <w:proofErr w:type="spellStart"/>
      <w:r w:rsidR="00D83E9F" w:rsidRPr="00201C53">
        <w:t>SRNS</w:t>
      </w:r>
      <w:proofErr w:type="spellEnd"/>
      <w:r w:rsidR="00D83E9F" w:rsidRPr="00201C53">
        <w:t>;</w:t>
      </w:r>
    </w:p>
    <w:p w14:paraId="09ADD4C7" w14:textId="67D3F9B8" w:rsidR="00D83E9F" w:rsidRPr="00201C53" w:rsidRDefault="00213448" w:rsidP="00213448">
      <w:pPr>
        <w:jc w:val="both"/>
        <w:rPr>
          <w:spacing w:val="-2"/>
        </w:rPr>
      </w:pPr>
      <w:r>
        <w:rPr>
          <w:i/>
          <w:iCs/>
        </w:rPr>
        <w:t>k</w:t>
      </w:r>
      <w:r w:rsidR="00D83E9F" w:rsidRPr="00E72686">
        <w:rPr>
          <w:i/>
          <w:iCs/>
        </w:rPr>
        <w:t>)</w:t>
      </w:r>
      <w:r w:rsidR="00D83E9F" w:rsidRPr="00201C53">
        <w:tab/>
        <w:t xml:space="preserve">que la conception des systèmes du </w:t>
      </w:r>
      <w:proofErr w:type="spellStart"/>
      <w:r w:rsidR="00D83E9F" w:rsidRPr="00201C53">
        <w:t>SRNS</w:t>
      </w:r>
      <w:proofErr w:type="spellEnd"/>
      <w:r w:rsidR="00D83E9F" w:rsidRPr="00201C53">
        <w:t xml:space="preserve"> visés au point f) du </w:t>
      </w:r>
      <w:r w:rsidR="00D83E9F" w:rsidRPr="00201C53">
        <w:rPr>
          <w:i/>
          <w:iCs/>
        </w:rPr>
        <w:t>considérant</w:t>
      </w:r>
      <w:r w:rsidR="00D83E9F" w:rsidRPr="00201C53">
        <w:t xml:space="preserve"> a récemment</w:t>
      </w:r>
      <w:r w:rsidR="00D83E9F" w:rsidRPr="00201C53">
        <w:rPr>
          <w:spacing w:val="-2"/>
        </w:rPr>
        <w:t xml:space="preserve"> évolué et qu'il peut être par conséquent nécessaire de mettre à jour les Recommandations pertinentes;</w:t>
      </w:r>
    </w:p>
    <w:p w14:paraId="6CC8881E" w14:textId="44FF1E4A" w:rsidR="00D83E9F" w:rsidRPr="00201C53" w:rsidRDefault="00213448" w:rsidP="00213448">
      <w:pPr>
        <w:jc w:val="both"/>
      </w:pPr>
      <w:r>
        <w:rPr>
          <w:i/>
          <w:iCs/>
        </w:rPr>
        <w:t>l</w:t>
      </w:r>
      <w:r w:rsidR="00D83E9F" w:rsidRPr="00E72686">
        <w:rPr>
          <w:i/>
          <w:iCs/>
        </w:rPr>
        <w:t>)</w:t>
      </w:r>
      <w:r w:rsidR="00D83E9F" w:rsidRPr="00201C53">
        <w:tab/>
        <w:t>qu'il est indispensable de protéger les systèmes du </w:t>
      </w:r>
      <w:proofErr w:type="spellStart"/>
      <w:r w:rsidR="00D83E9F" w:rsidRPr="00201C53">
        <w:t>SRNS</w:t>
      </w:r>
      <w:proofErr w:type="spellEnd"/>
      <w:r w:rsidR="00D83E9F" w:rsidRPr="00201C53">
        <w:t xml:space="preserve"> contre les brouillages causés par d'autres services et systèmes, dans la limite des dispositions du Règlement des radiocommunications, </w:t>
      </w:r>
    </w:p>
    <w:p w14:paraId="641ADF15" w14:textId="77777777" w:rsidR="00D83E9F" w:rsidRPr="00201C53" w:rsidRDefault="00D83E9F" w:rsidP="00213448">
      <w:pPr>
        <w:pStyle w:val="Call"/>
        <w:jc w:val="both"/>
      </w:pPr>
      <w:r w:rsidRPr="00201C53">
        <w:t>décide</w:t>
      </w:r>
      <w:r w:rsidRPr="00E72686">
        <w:rPr>
          <w:i w:val="0"/>
          <w:iCs/>
        </w:rPr>
        <w:t xml:space="preserve"> de mettre à l'étude la Question suivante</w:t>
      </w:r>
    </w:p>
    <w:p w14:paraId="75ED0FF4" w14:textId="376C94B7" w:rsidR="00D83E9F" w:rsidRPr="00201C53" w:rsidRDefault="00D83E9F" w:rsidP="00213448">
      <w:pPr>
        <w:jc w:val="both"/>
      </w:pPr>
      <w:r w:rsidRPr="00201C53">
        <w:t xml:space="preserve">Quelles caractéristiques techniques et d'exploitation des systèmes du </w:t>
      </w:r>
      <w:proofErr w:type="spellStart"/>
      <w:r w:rsidRPr="00201C53">
        <w:t>SRNS</w:t>
      </w:r>
      <w:proofErr w:type="spellEnd"/>
      <w:r w:rsidRPr="00201C53">
        <w:t xml:space="preserve"> doit-on utiliser dans les études de partage et de compatibilité avec d'autres services ou systèmes?</w:t>
      </w:r>
    </w:p>
    <w:p w14:paraId="390BE8E5" w14:textId="77777777" w:rsidR="00213448" w:rsidRDefault="0021344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14:paraId="2289EFFD" w14:textId="39F2F774" w:rsidR="00D83E9F" w:rsidRPr="00201C53" w:rsidRDefault="00D83E9F" w:rsidP="00213448">
      <w:pPr>
        <w:pStyle w:val="Call"/>
        <w:jc w:val="both"/>
      </w:pPr>
      <w:r w:rsidRPr="00201C53">
        <w:lastRenderedPageBreak/>
        <w:t>décide en outre</w:t>
      </w:r>
    </w:p>
    <w:p w14:paraId="20C88990" w14:textId="77777777" w:rsidR="00D83E9F" w:rsidRPr="00201C53" w:rsidRDefault="00D83E9F" w:rsidP="00213448">
      <w:pPr>
        <w:ind w:right="-142"/>
        <w:jc w:val="both"/>
        <w:rPr>
          <w:b/>
        </w:rPr>
      </w:pPr>
      <w:r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appropriés</w:t>
      </w:r>
      <w:r w:rsidRPr="00201C53">
        <w:t>;</w:t>
      </w:r>
    </w:p>
    <w:p w14:paraId="48522C2F" w14:textId="4DD68682" w:rsidR="00D83E9F" w:rsidRPr="00201C53" w:rsidRDefault="00D83E9F" w:rsidP="00213448">
      <w:pPr>
        <w:jc w:val="both"/>
      </w:pPr>
      <w:r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>
        <w:t>2</w:t>
      </w:r>
      <w:bookmarkStart w:id="0" w:name="_GoBack"/>
      <w:bookmarkEnd w:id="0"/>
      <w:r w:rsidR="00213448">
        <w:t>7</w:t>
      </w:r>
      <w:r w:rsidRPr="00201C53">
        <w:t>.</w:t>
      </w:r>
    </w:p>
    <w:p w14:paraId="1375DCDF" w14:textId="77777777" w:rsidR="00D83E9F" w:rsidRPr="00201C53" w:rsidRDefault="00D83E9F" w:rsidP="00213448">
      <w:pPr>
        <w:jc w:val="both"/>
      </w:pPr>
    </w:p>
    <w:p w14:paraId="2BA709AA" w14:textId="77777777" w:rsidR="00D83E9F" w:rsidRPr="00201C53" w:rsidRDefault="00D83E9F" w:rsidP="00213448">
      <w:pPr>
        <w:jc w:val="both"/>
      </w:pPr>
      <w:r>
        <w:t xml:space="preserve">Catégorie: </w:t>
      </w:r>
      <w:proofErr w:type="spellStart"/>
      <w:r w:rsidRPr="00201C53">
        <w:t>S</w:t>
      </w:r>
      <w:r>
        <w:t>2</w:t>
      </w:r>
      <w:proofErr w:type="spellEnd"/>
    </w:p>
    <w:sectPr w:rsidR="00D83E9F" w:rsidRPr="00201C5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0CACA783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D83E9F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213448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83E9F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CallChar">
    <w:name w:val="Call Char"/>
    <w:basedOn w:val="DefaultParagraphFont"/>
    <w:link w:val="Call"/>
    <w:rsid w:val="00D83E9F"/>
    <w:rPr>
      <w:rFonts w:ascii="Times New Roman" w:hAnsi="Times New Roman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2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2024-01-31T14:28:00Z</dcterms:created>
  <dcterms:modified xsi:type="dcterms:W3CDTF">2024-01-31T14:30:00Z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