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BF40" w14:textId="77777777" w:rsidR="00FC195F" w:rsidRDefault="00FC195F" w:rsidP="00A96F23">
      <w:pPr>
        <w:pStyle w:val="QuestionNo"/>
        <w:spacing w:before="120"/>
      </w:pPr>
      <w:r>
        <w:rPr>
          <w:rStyle w:val="Appref"/>
        </w:rPr>
        <w:t>cuestión UIT-R 288/4</w:t>
      </w:r>
    </w:p>
    <w:p w14:paraId="367E034B" w14:textId="77777777" w:rsidR="00FC195F" w:rsidRDefault="00FC195F" w:rsidP="00A96F23">
      <w:pPr>
        <w:pStyle w:val="Questiontitle"/>
      </w:pPr>
      <w:r>
        <w:rPr>
          <w:lang w:val="es-ES"/>
        </w:rPr>
        <w:t>Características y requisitos de funcionamiento de los sistemas del servicio de radionavegación por satélite (espacio-Tierra, espacio-espacio, Tierra-espacio)</w:t>
      </w:r>
    </w:p>
    <w:p w14:paraId="1B5136A1" w14:textId="77777777" w:rsidR="00FC195F" w:rsidRPr="00920B5F" w:rsidRDefault="00FC195F" w:rsidP="00A96F23">
      <w:pPr>
        <w:pStyle w:val="Questiondate"/>
        <w:spacing w:before="240"/>
        <w:rPr>
          <w:lang w:val="es-ES"/>
        </w:rPr>
      </w:pPr>
      <w:r w:rsidRPr="00920B5F">
        <w:rPr>
          <w:lang w:val="es-ES"/>
        </w:rPr>
        <w:t>(2004</w:t>
      </w:r>
      <w:r>
        <w:rPr>
          <w:lang w:val="es-ES"/>
        </w:rPr>
        <w:t>-2006-2007)</w:t>
      </w:r>
    </w:p>
    <w:p w14:paraId="15A984EC" w14:textId="77777777" w:rsidR="00FC195F" w:rsidRPr="00AD779D" w:rsidRDefault="00FC195F" w:rsidP="00FD048B">
      <w:pPr>
        <w:pStyle w:val="Normalaftertitle0"/>
        <w:jc w:val="both"/>
      </w:pPr>
      <w:r w:rsidRPr="00AD779D">
        <w:t>La Asamblea de Radiocomunicaciones de la UIT,</w:t>
      </w:r>
    </w:p>
    <w:p w14:paraId="235D21AF" w14:textId="77777777" w:rsidR="00FC195F" w:rsidRDefault="00FC195F" w:rsidP="00FD048B">
      <w:pPr>
        <w:pStyle w:val="call0"/>
        <w:spacing w:before="120"/>
        <w:jc w:val="both"/>
      </w:pPr>
      <w:r>
        <w:t>considerando</w:t>
      </w:r>
    </w:p>
    <w:p w14:paraId="46E20925" w14:textId="77777777" w:rsidR="00FC195F" w:rsidRDefault="00FC195F" w:rsidP="00FD048B">
      <w:pPr>
        <w:jc w:val="both"/>
        <w:rPr>
          <w:lang w:val="es-ES"/>
        </w:rPr>
      </w:pPr>
      <w:r w:rsidRPr="00A96F23">
        <w:rPr>
          <w:i/>
          <w:iCs/>
          <w:lang w:val="es-ES"/>
        </w:rPr>
        <w:t>a)</w:t>
      </w:r>
      <w:r>
        <w:rPr>
          <w:lang w:val="es-ES"/>
        </w:rPr>
        <w:tab/>
        <w:t>que los sistemas del servicio de radionavegación por satélite (SRNS) facilitan información sobre la precisión, el ritmo, el posicionamiento y la navegación, a escala mundial, con respecto a numerosas aplicaciones, en especial las aplicaciones esenciales relacionadas con la seguridad de la vida humana;</w:t>
      </w:r>
    </w:p>
    <w:p w14:paraId="6885B0B9" w14:textId="77777777" w:rsidR="00FC195F" w:rsidRDefault="00FC195F" w:rsidP="00FD048B">
      <w:pPr>
        <w:spacing w:before="100"/>
        <w:jc w:val="both"/>
        <w:rPr>
          <w:lang w:val="es-ES"/>
        </w:rPr>
      </w:pPr>
      <w:r w:rsidRPr="00A96F23">
        <w:rPr>
          <w:i/>
          <w:iCs/>
          <w:lang w:val="es-ES"/>
        </w:rPr>
        <w:t>b)</w:t>
      </w:r>
      <w:r>
        <w:rPr>
          <w:lang w:val="es-ES"/>
        </w:rPr>
        <w:tab/>
        <w:t>que hay diversos sistemas SRNS existentes o planificados;</w:t>
      </w:r>
    </w:p>
    <w:p w14:paraId="6BD992B4" w14:textId="77777777" w:rsidR="00FC195F" w:rsidRPr="00C43830" w:rsidRDefault="00FC195F" w:rsidP="00FD048B">
      <w:pPr>
        <w:spacing w:before="100"/>
        <w:jc w:val="both"/>
        <w:rPr>
          <w:lang w:val="es-ES"/>
        </w:rPr>
      </w:pPr>
      <w:r w:rsidRPr="00A96F23">
        <w:rPr>
          <w:i/>
          <w:iCs/>
          <w:lang w:val="es-ES"/>
        </w:rPr>
        <w:t>c)</w:t>
      </w:r>
      <w:r w:rsidRPr="00C43830">
        <w:rPr>
          <w:lang w:val="es-ES"/>
        </w:rPr>
        <w:tab/>
        <w:t>que las bandas 149,9-150,05 MHz y 399</w:t>
      </w:r>
      <w:r>
        <w:rPr>
          <w:lang w:val="es-ES"/>
        </w:rPr>
        <w:t>,</w:t>
      </w:r>
      <w:r w:rsidRPr="00C43830">
        <w:rPr>
          <w:lang w:val="es-ES"/>
        </w:rPr>
        <w:t>9-400</w:t>
      </w:r>
      <w:r>
        <w:rPr>
          <w:lang w:val="es-ES"/>
        </w:rPr>
        <w:t>,</w:t>
      </w:r>
      <w:r w:rsidRPr="00C43830">
        <w:rPr>
          <w:lang w:val="es-ES"/>
        </w:rPr>
        <w:t>05 MHz están atribuidas a título primario a</w:t>
      </w:r>
      <w:r>
        <w:rPr>
          <w:lang w:val="es-ES"/>
        </w:rPr>
        <w:t>l</w:t>
      </w:r>
      <w:r w:rsidRPr="00C43830">
        <w:rPr>
          <w:lang w:val="es-ES"/>
        </w:rPr>
        <w:t xml:space="preserve"> SRNS</w:t>
      </w:r>
      <w:r>
        <w:rPr>
          <w:lang w:val="es-ES"/>
        </w:rPr>
        <w:t xml:space="preserve"> a escala mundial</w:t>
      </w:r>
      <w:r w:rsidRPr="00C43830">
        <w:rPr>
          <w:lang w:val="es-ES"/>
        </w:rPr>
        <w:t>, con aplicaci</w:t>
      </w:r>
      <w:r>
        <w:rPr>
          <w:lang w:val="es-ES"/>
        </w:rPr>
        <w:t xml:space="preserve">ón efectiva a partir del 1 de enero de </w:t>
      </w:r>
      <w:r w:rsidRPr="00C43830">
        <w:rPr>
          <w:lang w:val="es-ES"/>
        </w:rPr>
        <w:t>2015</w:t>
      </w:r>
      <w:r>
        <w:rPr>
          <w:lang w:val="es-ES"/>
        </w:rPr>
        <w:t>;</w:t>
      </w:r>
    </w:p>
    <w:p w14:paraId="14DDFA01" w14:textId="77777777" w:rsidR="00FC195F" w:rsidRDefault="00FC195F" w:rsidP="00FD048B">
      <w:pPr>
        <w:spacing w:before="100"/>
        <w:jc w:val="both"/>
        <w:rPr>
          <w:lang w:val="es-ES"/>
        </w:rPr>
      </w:pPr>
      <w:r w:rsidRPr="00A96F23">
        <w:rPr>
          <w:i/>
          <w:iCs/>
          <w:lang w:val="es-ES"/>
        </w:rPr>
        <w:t>d)</w:t>
      </w:r>
      <w:r>
        <w:rPr>
          <w:lang w:val="es-ES"/>
        </w:rPr>
        <w:tab/>
        <w:t>que las bandas 1 164</w:t>
      </w:r>
      <w:r>
        <w:rPr>
          <w:lang w:val="es-ES"/>
        </w:rPr>
        <w:noBreakHyphen/>
        <w:t>1 300 MHz, 1 559</w:t>
      </w:r>
      <w:r>
        <w:rPr>
          <w:lang w:val="es-ES"/>
        </w:rPr>
        <w:noBreakHyphen/>
        <w:t>1 610 MHz y 5 010</w:t>
      </w:r>
      <w:r>
        <w:rPr>
          <w:lang w:val="es-ES"/>
        </w:rPr>
        <w:noBreakHyphen/>
        <w:t>5 030 MHz están atribuidas, a título primario, al SRNS (espacio-Tierra, espacio-espacio), a escala mundial;</w:t>
      </w:r>
    </w:p>
    <w:p w14:paraId="22CCC085" w14:textId="77777777" w:rsidR="00FC195F" w:rsidRDefault="00FC195F" w:rsidP="00FD048B">
      <w:pPr>
        <w:spacing w:before="100"/>
        <w:jc w:val="both"/>
        <w:rPr>
          <w:lang w:val="es-ES"/>
        </w:rPr>
      </w:pPr>
      <w:r w:rsidRPr="00A96F23">
        <w:rPr>
          <w:i/>
          <w:iCs/>
          <w:lang w:val="es-ES"/>
        </w:rPr>
        <w:t>e)</w:t>
      </w:r>
      <w:r>
        <w:rPr>
          <w:lang w:val="es-ES"/>
        </w:rPr>
        <w:tab/>
        <w:t>que las bandas 1 300</w:t>
      </w:r>
      <w:r>
        <w:rPr>
          <w:lang w:val="es-ES"/>
        </w:rPr>
        <w:noBreakHyphen/>
        <w:t>1 350 MHz y 5 000</w:t>
      </w:r>
      <w:r>
        <w:rPr>
          <w:lang w:val="es-ES"/>
        </w:rPr>
        <w:noBreakHyphen/>
        <w:t>5 010 MHz están atribuidas, a título primario, al SRNS (Tierra-espacio), a escala mundial;</w:t>
      </w:r>
    </w:p>
    <w:p w14:paraId="24028516" w14:textId="77777777" w:rsidR="00FC195F" w:rsidRDefault="00FC195F" w:rsidP="00FD048B">
      <w:pPr>
        <w:spacing w:before="100"/>
        <w:jc w:val="both"/>
        <w:rPr>
          <w:spacing w:val="-2"/>
          <w:lang w:val="es-ES"/>
        </w:rPr>
      </w:pPr>
      <w:r w:rsidRPr="00A96F23">
        <w:rPr>
          <w:i/>
          <w:iCs/>
          <w:spacing w:val="-2"/>
          <w:lang w:val="es-ES"/>
        </w:rPr>
        <w:t>f)</w:t>
      </w:r>
      <w:r>
        <w:rPr>
          <w:spacing w:val="-2"/>
          <w:lang w:val="es-ES"/>
        </w:rPr>
        <w:tab/>
        <w:t>que estas bandas de frecuencias están también atribuidas, a título primario, a otros servicios;</w:t>
      </w:r>
    </w:p>
    <w:p w14:paraId="0FB85D82" w14:textId="77777777" w:rsidR="00FC195F" w:rsidRDefault="00FC195F" w:rsidP="00FD048B">
      <w:pPr>
        <w:spacing w:before="100"/>
        <w:jc w:val="both"/>
        <w:rPr>
          <w:lang w:val="es-ES"/>
        </w:rPr>
      </w:pPr>
      <w:r w:rsidRPr="00A96F23">
        <w:rPr>
          <w:i/>
          <w:iCs/>
          <w:lang w:val="es-ES"/>
        </w:rPr>
        <w:t>g)</w:t>
      </w:r>
      <w:r>
        <w:rPr>
          <w:lang w:val="es-ES"/>
        </w:rPr>
        <w:tab/>
        <w:t>que las características y los criterios de protección de los sistemas SRNS pueden ser distintos según las bandas y las aplicaciones;</w:t>
      </w:r>
    </w:p>
    <w:p w14:paraId="2EE806C4" w14:textId="77777777" w:rsidR="00FC195F" w:rsidRDefault="00FC195F" w:rsidP="00FD048B">
      <w:pPr>
        <w:spacing w:before="100"/>
        <w:jc w:val="both"/>
        <w:rPr>
          <w:lang w:val="es-ES"/>
        </w:rPr>
      </w:pPr>
      <w:r w:rsidRPr="00A96F23">
        <w:rPr>
          <w:i/>
          <w:iCs/>
          <w:lang w:val="es-ES"/>
        </w:rPr>
        <w:t>h)</w:t>
      </w:r>
      <w:r>
        <w:rPr>
          <w:lang w:val="es-ES"/>
        </w:rPr>
        <w:tab/>
        <w:t>que, según las conclusiones de las CMR-2000, no se recomienda la compartición de la banda 1 559</w:t>
      </w:r>
      <w:r>
        <w:rPr>
          <w:lang w:val="es-ES"/>
        </w:rPr>
        <w:noBreakHyphen/>
        <w:t>1 610 MHz atribuida al SRNS para ningún servicio de comunicación que utilice la misma frecuencia;</w:t>
      </w:r>
    </w:p>
    <w:p w14:paraId="16584C12" w14:textId="049EB972" w:rsidR="00FC195F" w:rsidRDefault="00FD048B" w:rsidP="00FD048B">
      <w:pPr>
        <w:spacing w:before="100"/>
        <w:jc w:val="both"/>
        <w:rPr>
          <w:lang w:val="es-ES"/>
        </w:rPr>
      </w:pPr>
      <w:r>
        <w:rPr>
          <w:i/>
          <w:iCs/>
          <w:lang w:val="es-ES"/>
        </w:rPr>
        <w:t>i</w:t>
      </w:r>
      <w:r w:rsidR="00FC195F" w:rsidRPr="00A96F23">
        <w:rPr>
          <w:i/>
          <w:iCs/>
          <w:lang w:val="es-ES"/>
        </w:rPr>
        <w:t>)</w:t>
      </w:r>
      <w:r w:rsidR="00FC195F">
        <w:rPr>
          <w:lang w:val="es-ES"/>
        </w:rPr>
        <w:tab/>
        <w:t>que se están realizando o se prevé realizar estudios sobre la compatibilidad entre el SRNS y otros servicios o sistemas;</w:t>
      </w:r>
    </w:p>
    <w:p w14:paraId="546B1139" w14:textId="33FC66FF" w:rsidR="00FC195F" w:rsidRDefault="00FD048B" w:rsidP="00FD048B">
      <w:pPr>
        <w:spacing w:before="100"/>
        <w:jc w:val="both"/>
        <w:rPr>
          <w:lang w:val="es-ES"/>
        </w:rPr>
      </w:pPr>
      <w:r>
        <w:rPr>
          <w:i/>
          <w:iCs/>
          <w:lang w:val="es-ES"/>
        </w:rPr>
        <w:t>j</w:t>
      </w:r>
      <w:r w:rsidR="00FC195F" w:rsidRPr="00A96F23">
        <w:rPr>
          <w:i/>
          <w:iCs/>
          <w:lang w:val="es-ES"/>
        </w:rPr>
        <w:t>)</w:t>
      </w:r>
      <w:r w:rsidR="00FC195F">
        <w:rPr>
          <w:lang w:val="es-ES"/>
        </w:rPr>
        <w:tab/>
        <w:t xml:space="preserve">que las Recomendaciones UIT-R </w:t>
      </w:r>
      <w:r w:rsidR="00FC195F">
        <w:t>M.1088</w:t>
      </w:r>
      <w:r w:rsidR="00FC195F">
        <w:rPr>
          <w:lang w:val="es-ES"/>
        </w:rPr>
        <w:t>, UIT</w:t>
      </w:r>
      <w:r w:rsidR="00FC195F">
        <w:rPr>
          <w:lang w:val="es-ES"/>
        </w:rPr>
        <w:noBreakHyphen/>
        <w:t>R M.1477 y UIT-R M.1479 definen las características y presentan descripciones de varios tipos de receptores utilizados con varios sistemas SRNS;</w:t>
      </w:r>
    </w:p>
    <w:p w14:paraId="2A80AAE0" w14:textId="526F2C89" w:rsidR="00FC195F" w:rsidRDefault="00FD048B" w:rsidP="00FD048B">
      <w:pPr>
        <w:spacing w:before="100"/>
        <w:jc w:val="both"/>
        <w:rPr>
          <w:lang w:val="es-ES"/>
        </w:rPr>
      </w:pPr>
      <w:r>
        <w:rPr>
          <w:i/>
          <w:iCs/>
          <w:lang w:val="es-ES"/>
        </w:rPr>
        <w:t>k</w:t>
      </w:r>
      <w:r w:rsidR="00FC195F" w:rsidRPr="00A96F23">
        <w:rPr>
          <w:i/>
          <w:iCs/>
          <w:lang w:val="es-ES"/>
        </w:rPr>
        <w:t>)</w:t>
      </w:r>
      <w:r w:rsidR="00FC195F">
        <w:rPr>
          <w:lang w:val="es-ES"/>
        </w:rPr>
        <w:tab/>
        <w:t xml:space="preserve">que el diseño de los sistemas SRNS indicados en el </w:t>
      </w:r>
      <w:r w:rsidR="00FC195F">
        <w:rPr>
          <w:i/>
          <w:iCs/>
          <w:lang w:val="es-ES"/>
        </w:rPr>
        <w:t xml:space="preserve">considerando </w:t>
      </w:r>
      <w:r w:rsidR="00FC195F">
        <w:rPr>
          <w:lang w:val="es-ES"/>
        </w:rPr>
        <w:t>f) ha evolucionado recientemente y, por ello, tal vez sea necesario actualizar las Recomendaciones pertinentes en la materia;</w:t>
      </w:r>
    </w:p>
    <w:p w14:paraId="25280DD2" w14:textId="0DCBA030" w:rsidR="00FC195F" w:rsidRDefault="00FD048B" w:rsidP="00FD048B">
      <w:pPr>
        <w:spacing w:before="100"/>
        <w:jc w:val="both"/>
        <w:rPr>
          <w:lang w:val="es-ES"/>
        </w:rPr>
      </w:pPr>
      <w:r>
        <w:rPr>
          <w:i/>
          <w:iCs/>
          <w:lang w:val="es-ES"/>
        </w:rPr>
        <w:t>l</w:t>
      </w:r>
      <w:r w:rsidR="00FC195F" w:rsidRPr="00A96F23">
        <w:rPr>
          <w:i/>
          <w:iCs/>
          <w:lang w:val="es-ES"/>
        </w:rPr>
        <w:t>)</w:t>
      </w:r>
      <w:r w:rsidR="00FC195F">
        <w:rPr>
          <w:lang w:val="es-ES"/>
        </w:rPr>
        <w:tab/>
        <w:t>que es esencial proteger los sistemas SRNS contra las interferencias ocasionadas por otros servicios y sistemas, en el marco de las disposiciones estipuladas por el Reglamento de Radiocomunicaciones,</w:t>
      </w:r>
    </w:p>
    <w:p w14:paraId="0CA6FED8" w14:textId="77777777" w:rsidR="00FC195F" w:rsidRDefault="00FC195F" w:rsidP="00FD048B">
      <w:pPr>
        <w:pStyle w:val="call0"/>
        <w:spacing w:before="120"/>
        <w:jc w:val="both"/>
      </w:pPr>
      <w:r>
        <w:t>decide</w:t>
      </w:r>
      <w:r>
        <w:rPr>
          <w:i w:val="0"/>
          <w:iCs/>
        </w:rPr>
        <w:t xml:space="preserve"> poner a estudio la siguiente Cuestión</w:t>
      </w:r>
    </w:p>
    <w:p w14:paraId="7D8B57DE" w14:textId="77777777" w:rsidR="00FC195F" w:rsidRDefault="00FC195F" w:rsidP="00FD048B">
      <w:pPr>
        <w:spacing w:before="100"/>
        <w:jc w:val="both"/>
        <w:rPr>
          <w:iCs/>
          <w:lang w:val="es-ES"/>
        </w:rPr>
      </w:pPr>
      <w:r>
        <w:rPr>
          <w:iCs/>
          <w:lang w:val="es-ES"/>
        </w:rPr>
        <w:t>¿Qué características técnicas y de funcionamiento de los sistemas SRNS deben utilizarse en los estudios de compartición y compatibilidad con otros servicios o sistemas?</w:t>
      </w:r>
    </w:p>
    <w:p w14:paraId="5F1911A1" w14:textId="77777777" w:rsidR="00FD048B" w:rsidRDefault="00FD04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lang w:val="es-ES"/>
        </w:rPr>
      </w:pPr>
      <w:r>
        <w:br w:type="page"/>
      </w:r>
    </w:p>
    <w:p w14:paraId="3171DA11" w14:textId="41651D12" w:rsidR="00FC195F" w:rsidRDefault="00FC195F" w:rsidP="00FD048B">
      <w:pPr>
        <w:pStyle w:val="call0"/>
        <w:spacing w:before="120"/>
        <w:jc w:val="both"/>
      </w:pPr>
      <w:r>
        <w:lastRenderedPageBreak/>
        <w:t>decide también</w:t>
      </w:r>
    </w:p>
    <w:p w14:paraId="77C792FE" w14:textId="77777777" w:rsidR="00FC195F" w:rsidRDefault="00FC195F" w:rsidP="00FD048B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3E5F0BCA" w14:textId="46C29C26" w:rsidR="00FC195F" w:rsidRDefault="00FC195F" w:rsidP="00FD048B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dichos estudios se terminen en 202</w:t>
      </w:r>
      <w:bookmarkStart w:id="0" w:name="_GoBack"/>
      <w:bookmarkEnd w:id="0"/>
      <w:r w:rsidR="00FD048B">
        <w:t>7</w:t>
      </w:r>
      <w:r>
        <w:t xml:space="preserve"> como muy tarde.</w:t>
      </w:r>
    </w:p>
    <w:p w14:paraId="5F54256A" w14:textId="77777777" w:rsidR="00FC195F" w:rsidRPr="00A96F23" w:rsidRDefault="00FC195F" w:rsidP="00FD048B">
      <w:pPr>
        <w:spacing w:before="100"/>
        <w:jc w:val="both"/>
      </w:pPr>
    </w:p>
    <w:p w14:paraId="3A2C35F7" w14:textId="77777777" w:rsidR="00FC195F" w:rsidRPr="00EB7FE6" w:rsidRDefault="00FC195F" w:rsidP="00FD048B">
      <w:pPr>
        <w:jc w:val="both"/>
      </w:pPr>
      <w:r>
        <w:rPr>
          <w:lang w:val="es-ES"/>
        </w:rPr>
        <w:t>Categoría: S2</w:t>
      </w:r>
    </w:p>
    <w:sectPr w:rsidR="00FC195F" w:rsidRPr="00EB7FE6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E302E3"/>
    <w:rsid w:val="00FB4AC0"/>
    <w:rsid w:val="00FC195F"/>
    <w:rsid w:val="00FD048B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FC195F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paragraph" w:customStyle="1" w:styleId="call0">
    <w:name w:val="call"/>
    <w:basedOn w:val="Normal"/>
    <w:next w:val="Normal"/>
    <w:rsid w:val="00FC195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FC195F"/>
    <w:rPr>
      <w:rFonts w:ascii="Times New Roman" w:hAnsi="Times New Roman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2</Pages>
  <Words>402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2024-01-31T14:32:00Z</dcterms:created>
  <dcterms:modified xsi:type="dcterms:W3CDTF">2024-01-31T14:32:00Z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