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17A94" w14:textId="77777777" w:rsidR="00FC4DBA" w:rsidRPr="00B8696C" w:rsidRDefault="00FC4DBA" w:rsidP="00FC4DBA">
      <w:pPr>
        <w:pStyle w:val="Note"/>
        <w:rPr>
          <w:lang w:val="ru-RU"/>
        </w:rPr>
      </w:pPr>
    </w:p>
    <w:p w14:paraId="30A85CE7" w14:textId="77777777" w:rsidR="00624D22" w:rsidRPr="00BA0197" w:rsidRDefault="00624D22" w:rsidP="00624D22">
      <w:pPr>
        <w:pStyle w:val="QuestionNo"/>
        <w:spacing w:before="480"/>
        <w:jc w:val="center"/>
        <w:rPr>
          <w:b w:val="0"/>
          <w:bCs/>
          <w:szCs w:val="26"/>
          <w:lang w:val="ru-RU"/>
        </w:rPr>
      </w:pPr>
      <w:r w:rsidRPr="00BA0197">
        <w:rPr>
          <w:b w:val="0"/>
          <w:bCs/>
          <w:szCs w:val="26"/>
          <w:lang w:val="ru-RU"/>
        </w:rPr>
        <w:t>ВОПРОС МСЭ-</w:t>
      </w:r>
      <w:r w:rsidRPr="00BA0197">
        <w:rPr>
          <w:b w:val="0"/>
          <w:bCs/>
          <w:szCs w:val="26"/>
          <w:lang w:val="en-US"/>
        </w:rPr>
        <w:t>R</w:t>
      </w:r>
      <w:r w:rsidRPr="00BA0197">
        <w:rPr>
          <w:b w:val="0"/>
          <w:bCs/>
          <w:szCs w:val="26"/>
          <w:lang w:val="ru-RU"/>
        </w:rPr>
        <w:t xml:space="preserve"> 73-2/4</w:t>
      </w:r>
      <w:r w:rsidRPr="00BA0197">
        <w:rPr>
          <w:rStyle w:val="FootnoteReference"/>
          <w:b w:val="0"/>
          <w:bCs/>
          <w:sz w:val="16"/>
          <w:szCs w:val="16"/>
          <w:lang w:val="ru-RU"/>
        </w:rPr>
        <w:footnoteReference w:customMarkFollows="1" w:id="1"/>
        <w:t>*</w:t>
      </w:r>
    </w:p>
    <w:p w14:paraId="4600DB4A" w14:textId="77777777" w:rsidR="00624D22" w:rsidRPr="00340E5B" w:rsidRDefault="00624D22" w:rsidP="00624D22">
      <w:pPr>
        <w:pStyle w:val="Questiontitle"/>
        <w:spacing w:before="240"/>
        <w:rPr>
          <w:szCs w:val="26"/>
          <w:lang w:val="ru-RU"/>
        </w:rPr>
      </w:pPr>
      <w:r w:rsidRPr="00340E5B">
        <w:rPr>
          <w:szCs w:val="26"/>
          <w:lang w:val="ru-RU"/>
        </w:rPr>
        <w:t xml:space="preserve">Готовность и перерывы связи в цифровых трактах </w:t>
      </w:r>
      <w:r>
        <w:rPr>
          <w:szCs w:val="26"/>
          <w:lang w:val="ru-RU"/>
        </w:rPr>
        <w:br/>
      </w:r>
      <w:r w:rsidRPr="00340E5B">
        <w:rPr>
          <w:szCs w:val="26"/>
          <w:lang w:val="ru-RU"/>
        </w:rPr>
        <w:t>фиксированной спутниковой службы</w:t>
      </w:r>
    </w:p>
    <w:p w14:paraId="29E989C4" w14:textId="77777777" w:rsidR="00624D22" w:rsidRPr="00624D22" w:rsidRDefault="00624D22" w:rsidP="00624D22">
      <w:pPr>
        <w:pStyle w:val="Questiondate"/>
        <w:rPr>
          <w:i w:val="0"/>
          <w:iCs/>
          <w:lang w:val="ru-RU"/>
        </w:rPr>
      </w:pPr>
      <w:r w:rsidRPr="00624D22">
        <w:rPr>
          <w:i w:val="0"/>
          <w:iCs/>
          <w:lang w:val="ru-RU"/>
        </w:rPr>
        <w:t>(1992-1993-2006)</w:t>
      </w:r>
    </w:p>
    <w:p w14:paraId="7F56DC8C" w14:textId="77777777" w:rsidR="00624D22" w:rsidRPr="00340E5B" w:rsidRDefault="00624D22" w:rsidP="00624D22">
      <w:pPr>
        <w:pStyle w:val="Normalaftertitle0"/>
        <w:rPr>
          <w:szCs w:val="22"/>
        </w:rPr>
      </w:pPr>
      <w:r w:rsidRPr="00340E5B">
        <w:rPr>
          <w:szCs w:val="22"/>
        </w:rPr>
        <w:t>Ассамблея радиосвязи МСЭ,</w:t>
      </w:r>
    </w:p>
    <w:p w14:paraId="4257D77A" w14:textId="77777777" w:rsidR="00624D22" w:rsidRPr="00EB77E8" w:rsidRDefault="00624D22" w:rsidP="00624D22">
      <w:pPr>
        <w:pStyle w:val="Call"/>
        <w:rPr>
          <w:szCs w:val="22"/>
          <w:lang w:val="ru-RU"/>
        </w:rPr>
      </w:pPr>
      <w:r w:rsidRPr="00340E5B">
        <w:rPr>
          <w:szCs w:val="22"/>
          <w:lang w:val="ru-RU"/>
        </w:rPr>
        <w:t>учитывая</w:t>
      </w:r>
    </w:p>
    <w:p w14:paraId="3EF23D76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i/>
          <w:iCs/>
          <w:szCs w:val="22"/>
        </w:rPr>
        <w:t>a</w:t>
      </w:r>
      <w:r w:rsidRPr="00624D22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>что в спутниковых линиях происходят нежелательные перерывы связи, включая всплески шумов высокого уровня;</w:t>
      </w:r>
    </w:p>
    <w:p w14:paraId="6E2C9F0C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i/>
          <w:iCs/>
          <w:szCs w:val="22"/>
        </w:rPr>
        <w:t>b</w:t>
      </w:r>
      <w:r w:rsidRPr="00624D22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 xml:space="preserve">что такие перерывы являются одной из причин неготовности, когда их продолжительность превышает 10 последовательных секунд, и при меньшей продолжительности считаются "кратковременными </w:t>
      </w:r>
      <w:proofErr w:type="spellStart"/>
      <w:r w:rsidRPr="00340E5B">
        <w:rPr>
          <w:szCs w:val="22"/>
          <w:lang w:val="ru-RU"/>
        </w:rPr>
        <w:t>размыканиями</w:t>
      </w:r>
      <w:proofErr w:type="spellEnd"/>
      <w:r w:rsidRPr="00340E5B">
        <w:rPr>
          <w:szCs w:val="22"/>
          <w:lang w:val="ru-RU"/>
        </w:rPr>
        <w:t>";</w:t>
      </w:r>
    </w:p>
    <w:p w14:paraId="40DE7EA1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i/>
          <w:iCs/>
          <w:szCs w:val="22"/>
        </w:rPr>
        <w:t>c</w:t>
      </w:r>
      <w:r w:rsidRPr="00624D22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>показатели МСЭ-Т и МСЭ-</w:t>
      </w:r>
      <w:r w:rsidRPr="00340E5B">
        <w:rPr>
          <w:szCs w:val="22"/>
          <w:lang w:val="en-US"/>
        </w:rPr>
        <w:t>R</w:t>
      </w:r>
      <w:r>
        <w:rPr>
          <w:szCs w:val="22"/>
          <w:lang w:val="ru-RU"/>
        </w:rPr>
        <w:t xml:space="preserve"> </w:t>
      </w:r>
      <w:r w:rsidRPr="00340E5B">
        <w:rPr>
          <w:szCs w:val="22"/>
          <w:lang w:val="ru-RU"/>
        </w:rPr>
        <w:t xml:space="preserve">в отношении готовности и кратковременных </w:t>
      </w:r>
      <w:proofErr w:type="spellStart"/>
      <w:r w:rsidRPr="00340E5B">
        <w:rPr>
          <w:szCs w:val="22"/>
          <w:lang w:val="ru-RU"/>
        </w:rPr>
        <w:t>размыканий</w:t>
      </w:r>
      <w:proofErr w:type="spellEnd"/>
      <w:r w:rsidRPr="00340E5B">
        <w:rPr>
          <w:szCs w:val="22"/>
          <w:lang w:val="ru-RU"/>
        </w:rPr>
        <w:t xml:space="preserve"> во многом определяются экономическими показателями спутниковых систем;</w:t>
      </w:r>
    </w:p>
    <w:p w14:paraId="32ACB64A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i/>
          <w:iCs/>
          <w:szCs w:val="22"/>
        </w:rPr>
        <w:t>d</w:t>
      </w:r>
      <w:r w:rsidRPr="00624D22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>что продолжительность некоторых перерывов может зависеть от конфигурации спутниковой сети; кроме того, она может зависеть от того, являются ли земные станции постоянно обслуживаемыми или необслуживаемыми на момент начала перерыва, и от того, насколько степень управляемости антенн земных станций позволяет осуществлять наведение с одного спутника на другой;</w:t>
      </w:r>
    </w:p>
    <w:p w14:paraId="26D9F985" w14:textId="77777777" w:rsidR="00624D22" w:rsidRPr="00340E5B" w:rsidRDefault="00624D22" w:rsidP="00624D22">
      <w:pPr>
        <w:rPr>
          <w:lang w:val="ru-RU"/>
        </w:rPr>
      </w:pPr>
      <w:r w:rsidRPr="00624D22">
        <w:rPr>
          <w:i/>
          <w:iCs/>
          <w:lang w:val="en-US"/>
        </w:rPr>
        <w:t>e</w:t>
      </w:r>
      <w:r w:rsidRPr="00624D22">
        <w:rPr>
          <w:i/>
          <w:iCs/>
          <w:lang w:val="ru-RU"/>
        </w:rPr>
        <w:t>)</w:t>
      </w:r>
      <w:r w:rsidRPr="00624D22">
        <w:rPr>
          <w:lang w:val="ru-RU"/>
        </w:rPr>
        <w:tab/>
      </w:r>
      <w:r w:rsidRPr="00340E5B">
        <w:rPr>
          <w:lang w:val="ru-RU"/>
        </w:rPr>
        <w:t>что 13-я Исследовательская комиссия по стандартизации электросвязи продолжит предоставлять руководящие указания и объяснения по общим рабочим характеристикам сети д</w:t>
      </w:r>
      <w:r>
        <w:rPr>
          <w:lang w:val="ru-RU"/>
        </w:rPr>
        <w:t>ля 4</w:t>
      </w:r>
      <w:r w:rsidRPr="002537DF">
        <w:rPr>
          <w:lang w:val="ru-RU"/>
        </w:rPr>
        <w:noBreakHyphen/>
      </w:r>
      <w:r>
        <w:rPr>
          <w:lang w:val="ru-RU"/>
        </w:rPr>
        <w:t>й</w:t>
      </w:r>
      <w:r>
        <w:rPr>
          <w:lang w:val="en-US"/>
        </w:rPr>
        <w:t> </w:t>
      </w:r>
      <w:r w:rsidRPr="00340E5B">
        <w:rPr>
          <w:lang w:val="ru-RU"/>
        </w:rPr>
        <w:t>Исследовательской комиссии по радиосвязи в том, что касается фиксированной спутниковой службы,</w:t>
      </w:r>
    </w:p>
    <w:p w14:paraId="1346257B" w14:textId="77777777" w:rsidR="00624D22" w:rsidRPr="00EB77E8" w:rsidRDefault="00624D22" w:rsidP="00624D22">
      <w:pPr>
        <w:pStyle w:val="Call"/>
        <w:rPr>
          <w:szCs w:val="22"/>
          <w:lang w:val="ru-RU"/>
        </w:rPr>
      </w:pPr>
      <w:r w:rsidRPr="00340E5B">
        <w:rPr>
          <w:szCs w:val="22"/>
          <w:lang w:val="ru-RU"/>
        </w:rPr>
        <w:t>решает</w:t>
      </w:r>
      <w:r w:rsidRPr="00340E5B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0518A213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bCs/>
          <w:szCs w:val="22"/>
          <w:lang w:val="ru-RU"/>
        </w:rPr>
        <w:t>1</w:t>
      </w:r>
      <w:r w:rsidRPr="00340E5B">
        <w:rPr>
          <w:szCs w:val="22"/>
          <w:lang w:val="ru-RU"/>
        </w:rPr>
        <w:tab/>
        <w:t>Какие важные факторы в рамках спутниковой части гипотетических эталонных цифровых трактов влияют на их готовность и такие кратковременные перерывы, как размыкание при передаче или всплеск двоичных ошибок?</w:t>
      </w:r>
    </w:p>
    <w:p w14:paraId="1D0E63D5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bCs/>
          <w:szCs w:val="22"/>
          <w:lang w:val="ru-RU"/>
        </w:rPr>
        <w:t>2</w:t>
      </w:r>
      <w:r w:rsidRPr="00340E5B">
        <w:rPr>
          <w:szCs w:val="22"/>
          <w:lang w:val="ru-RU"/>
        </w:rPr>
        <w:tab/>
        <w:t xml:space="preserve">Какими должны быть показатели – с учетом общих показателей сети – готовности цифрового </w:t>
      </w:r>
      <w:proofErr w:type="spellStart"/>
      <w:r w:rsidRPr="00340E5B">
        <w:rPr>
          <w:szCs w:val="22"/>
          <w:lang w:val="ru-RU"/>
        </w:rPr>
        <w:t>радиотракта</w:t>
      </w:r>
      <w:proofErr w:type="spellEnd"/>
      <w:r w:rsidRPr="00340E5B">
        <w:rPr>
          <w:szCs w:val="22"/>
          <w:lang w:val="ru-RU"/>
        </w:rPr>
        <w:t xml:space="preserve"> спутника в рамках спутниковых систем, кот</w:t>
      </w:r>
      <w:r>
        <w:rPr>
          <w:szCs w:val="22"/>
          <w:lang w:val="ru-RU"/>
        </w:rPr>
        <w:t>орые не включены в Рекомендацию</w:t>
      </w:r>
      <w:r>
        <w:rPr>
          <w:szCs w:val="22"/>
          <w:lang w:val="en-US"/>
        </w:rPr>
        <w:t> </w:t>
      </w:r>
      <w:r w:rsidRPr="00340E5B">
        <w:rPr>
          <w:szCs w:val="22"/>
          <w:lang w:val="ru-RU"/>
        </w:rPr>
        <w:t>МСЭ-</w:t>
      </w:r>
      <w:r w:rsidRPr="00340E5B">
        <w:rPr>
          <w:szCs w:val="22"/>
          <w:lang w:val="en-US"/>
        </w:rPr>
        <w:t>R</w:t>
      </w:r>
      <w:r w:rsidRPr="00340E5B">
        <w:rPr>
          <w:szCs w:val="22"/>
          <w:lang w:val="ru-RU"/>
        </w:rPr>
        <w:t xml:space="preserve"> </w:t>
      </w:r>
      <w:r w:rsidRPr="00340E5B">
        <w:rPr>
          <w:szCs w:val="22"/>
        </w:rPr>
        <w:t>S</w:t>
      </w:r>
      <w:r w:rsidRPr="00340E5B">
        <w:rPr>
          <w:szCs w:val="22"/>
          <w:lang w:val="ru-RU"/>
        </w:rPr>
        <w:t>.579?</w:t>
      </w:r>
    </w:p>
    <w:p w14:paraId="4C18AD4F" w14:textId="77777777" w:rsidR="00624D22" w:rsidRPr="00340E5B" w:rsidRDefault="00624D22" w:rsidP="00624D22">
      <w:pPr>
        <w:rPr>
          <w:szCs w:val="22"/>
          <w:lang w:val="ru-RU"/>
        </w:rPr>
      </w:pPr>
      <w:r w:rsidRPr="00624D22">
        <w:rPr>
          <w:bCs/>
          <w:szCs w:val="22"/>
          <w:lang w:val="ru-RU"/>
        </w:rPr>
        <w:t>3</w:t>
      </w:r>
      <w:r w:rsidRPr="00340E5B">
        <w:rPr>
          <w:szCs w:val="22"/>
          <w:lang w:val="ru-RU"/>
        </w:rPr>
        <w:tab/>
        <w:t xml:space="preserve">Какими должны быть показатели спутниковых систем – </w:t>
      </w:r>
      <w:r>
        <w:rPr>
          <w:szCs w:val="22"/>
          <w:lang w:val="ru-RU"/>
        </w:rPr>
        <w:t>с учетом общих показателей сети</w:t>
      </w:r>
      <w:r>
        <w:rPr>
          <w:szCs w:val="22"/>
          <w:lang w:val="en-US"/>
        </w:rPr>
        <w:t> </w:t>
      </w:r>
      <w:r>
        <w:rPr>
          <w:szCs w:val="22"/>
          <w:lang w:val="ru-RU"/>
        </w:rPr>
        <w:t>– в</w:t>
      </w:r>
      <w:r>
        <w:rPr>
          <w:szCs w:val="22"/>
          <w:lang w:val="en-US"/>
        </w:rPr>
        <w:t> </w:t>
      </w:r>
      <w:r w:rsidRPr="00340E5B">
        <w:rPr>
          <w:szCs w:val="22"/>
          <w:lang w:val="ru-RU"/>
        </w:rPr>
        <w:t xml:space="preserve">отношении продолжительности, распространения и частоты возникновения кратковременных </w:t>
      </w:r>
      <w:proofErr w:type="spellStart"/>
      <w:r w:rsidRPr="00340E5B">
        <w:rPr>
          <w:szCs w:val="22"/>
          <w:lang w:val="ru-RU"/>
        </w:rPr>
        <w:t>размыканий</w:t>
      </w:r>
      <w:proofErr w:type="spellEnd"/>
      <w:r w:rsidRPr="00340E5B">
        <w:rPr>
          <w:szCs w:val="22"/>
          <w:lang w:val="ru-RU"/>
        </w:rPr>
        <w:t xml:space="preserve"> при передаче и кратковременных шумов между точками, определенными посредством гипотетического эталонного цифрового </w:t>
      </w:r>
      <w:proofErr w:type="spellStart"/>
      <w:r w:rsidRPr="00340E5B">
        <w:rPr>
          <w:szCs w:val="22"/>
          <w:lang w:val="ru-RU"/>
        </w:rPr>
        <w:t>радиотракта</w:t>
      </w:r>
      <w:proofErr w:type="spellEnd"/>
      <w:r w:rsidRPr="00340E5B">
        <w:rPr>
          <w:szCs w:val="22"/>
          <w:lang w:val="ru-RU"/>
        </w:rPr>
        <w:t xml:space="preserve"> спутника?</w:t>
      </w:r>
    </w:p>
    <w:p w14:paraId="69BD7BC0" w14:textId="77777777" w:rsidR="00624D22" w:rsidRPr="00EB77E8" w:rsidRDefault="00624D22" w:rsidP="00624D22">
      <w:pPr>
        <w:pStyle w:val="Call"/>
        <w:rPr>
          <w:szCs w:val="22"/>
          <w:lang w:val="ru-RU"/>
        </w:rPr>
      </w:pPr>
      <w:r w:rsidRPr="00340E5B">
        <w:rPr>
          <w:szCs w:val="22"/>
          <w:lang w:val="ru-RU"/>
        </w:rPr>
        <w:t>решает</w:t>
      </w:r>
      <w:r w:rsidRPr="00BA0197">
        <w:rPr>
          <w:szCs w:val="22"/>
          <w:lang w:val="ru-RU"/>
        </w:rPr>
        <w:t xml:space="preserve"> </w:t>
      </w:r>
      <w:r w:rsidRPr="00340E5B">
        <w:rPr>
          <w:szCs w:val="22"/>
          <w:lang w:val="ru-RU"/>
        </w:rPr>
        <w:t>далее</w:t>
      </w:r>
    </w:p>
    <w:p w14:paraId="25415C9A" w14:textId="77777777" w:rsidR="00624D22" w:rsidRPr="00FC4DBA" w:rsidRDefault="00624D22" w:rsidP="00624D22">
      <w:pPr>
        <w:rPr>
          <w:szCs w:val="22"/>
          <w:lang w:val="ru-RU"/>
        </w:rPr>
      </w:pPr>
      <w:r w:rsidRPr="00656F47">
        <w:rPr>
          <w:bCs/>
          <w:szCs w:val="22"/>
          <w:lang w:val="ru-RU"/>
        </w:rPr>
        <w:t>1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78A5058" w14:textId="73DA4F53" w:rsidR="00624D22" w:rsidRPr="00FC4DBA" w:rsidRDefault="00624D22" w:rsidP="00624D22">
      <w:pPr>
        <w:rPr>
          <w:szCs w:val="22"/>
          <w:lang w:val="ru-RU"/>
        </w:rPr>
      </w:pPr>
      <w:r w:rsidRPr="00656F47">
        <w:rPr>
          <w:bCs/>
          <w:szCs w:val="22"/>
          <w:lang w:val="ru-RU"/>
        </w:rPr>
        <w:t>2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вышеуказанные иссл</w:t>
      </w:r>
      <w:r w:rsidR="00FC4BF0">
        <w:rPr>
          <w:szCs w:val="22"/>
          <w:lang w:val="ru-RU"/>
        </w:rPr>
        <w:t>едования следует завершить к 20</w:t>
      </w:r>
      <w:r w:rsidR="00FC4BF0" w:rsidRPr="00A27D9A">
        <w:rPr>
          <w:szCs w:val="22"/>
          <w:lang w:val="ru-RU"/>
        </w:rPr>
        <w:t>2</w:t>
      </w:r>
      <w:r w:rsidR="00A27D9A" w:rsidRPr="00A27D9A">
        <w:rPr>
          <w:szCs w:val="22"/>
          <w:lang w:val="ru-RU"/>
        </w:rPr>
        <w:t>7</w:t>
      </w:r>
      <w:bookmarkStart w:id="0" w:name="_GoBack"/>
      <w:bookmarkEnd w:id="0"/>
      <w:r w:rsidRPr="00FC4DBA">
        <w:rPr>
          <w:szCs w:val="22"/>
          <w:lang w:val="ru-RU"/>
        </w:rPr>
        <w:t xml:space="preserve"> году.</w:t>
      </w:r>
    </w:p>
    <w:p w14:paraId="703915FC" w14:textId="77777777" w:rsidR="00624D22" w:rsidRPr="00340E5B" w:rsidRDefault="00624D22" w:rsidP="00624D22">
      <w:pPr>
        <w:spacing w:before="24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BA0197">
        <w:rPr>
          <w:szCs w:val="22"/>
          <w:lang w:val="ru-RU"/>
        </w:rPr>
        <w:t>2</w:t>
      </w:r>
    </w:p>
    <w:sectPr w:rsidR="00624D22" w:rsidRPr="00340E5B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996E" w14:textId="77777777" w:rsidR="00C61B3D" w:rsidRDefault="00C61B3D">
      <w:r>
        <w:separator/>
      </w:r>
    </w:p>
  </w:endnote>
  <w:endnote w:type="continuationSeparator" w:id="0">
    <w:p w14:paraId="053C0684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5277" w14:textId="77777777" w:rsidR="00C61B3D" w:rsidRDefault="00C61B3D">
      <w:r>
        <w:t>____________________</w:t>
      </w:r>
    </w:p>
  </w:footnote>
  <w:footnote w:type="continuationSeparator" w:id="0">
    <w:p w14:paraId="74E05A2B" w14:textId="77777777" w:rsidR="00C61B3D" w:rsidRDefault="00C61B3D">
      <w:r>
        <w:continuationSeparator/>
      </w:r>
    </w:p>
  </w:footnote>
  <w:footnote w:id="1">
    <w:p w14:paraId="222D5D41" w14:textId="77777777" w:rsidR="00624D22" w:rsidRPr="00BA0197" w:rsidRDefault="00624D22" w:rsidP="001F1882">
      <w:pPr>
        <w:pStyle w:val="FootnoteText"/>
        <w:ind w:left="0" w:firstLine="0"/>
        <w:rPr>
          <w:szCs w:val="22"/>
          <w:lang w:val="ru-RU"/>
        </w:rPr>
      </w:pPr>
      <w:r w:rsidRPr="00BA0197">
        <w:rPr>
          <w:rStyle w:val="FootnoteReference"/>
          <w:szCs w:val="22"/>
          <w:lang w:val="ru-RU"/>
        </w:rPr>
        <w:t>*</w:t>
      </w:r>
      <w:r w:rsidRPr="00BA0197">
        <w:rPr>
          <w:szCs w:val="22"/>
          <w:lang w:val="ru-RU"/>
        </w:rPr>
        <w:tab/>
      </w:r>
      <w:r w:rsidRPr="00340E5B">
        <w:rPr>
          <w:sz w:val="20"/>
          <w:lang w:val="ru-RU"/>
        </w:rPr>
        <w:t>Этот Вопрос следует довести до сведения 13-й Исследовательской комиссии по стандартизации электросвязи.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249C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37520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37520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534EE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C3C91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838B2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2ACB"/>
    <w:rsid w:val="009F5E49"/>
    <w:rsid w:val="00A0013D"/>
    <w:rsid w:val="00A03A81"/>
    <w:rsid w:val="00A27D9A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16F0E"/>
    <w:rsid w:val="00B665E3"/>
    <w:rsid w:val="00B815E7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BF0"/>
    <w:rsid w:val="00FC4DBA"/>
    <w:rsid w:val="00FC68FE"/>
    <w:rsid w:val="00FC778A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FD046F"/>
  <w15:docId w15:val="{3797D28C-3D3C-4C82-BB6A-A76D1B36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D3F2-2016-47F9-B5F4-0C84B2D7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6</cp:revision>
  <cp:lastPrinted>2012-03-15T14:58:00Z</cp:lastPrinted>
  <dcterms:created xsi:type="dcterms:W3CDTF">2012-05-02T09:44:00Z</dcterms:created>
  <dcterms:modified xsi:type="dcterms:W3CDTF">2024-01-24T10:15:00Z</dcterms:modified>
</cp:coreProperties>
</file>