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AE822" w14:textId="77777777" w:rsidR="00025633" w:rsidRPr="00624732" w:rsidRDefault="00025633" w:rsidP="00827A2D">
      <w:pPr>
        <w:pStyle w:val="QuestionNoBR"/>
        <w:spacing w:before="0"/>
      </w:pPr>
      <w:r w:rsidRPr="00624732">
        <w:t>QUESTION</w:t>
      </w:r>
      <w:bookmarkStart w:id="0" w:name="_GoBack"/>
      <w:bookmarkEnd w:id="0"/>
      <w:r w:rsidRPr="00624732">
        <w:t xml:space="preserve"> UIT-R 84-</w:t>
      </w:r>
      <w:r>
        <w:t>4</w:t>
      </w:r>
      <w:r w:rsidRPr="00624732">
        <w:t>/</w:t>
      </w:r>
      <w:r>
        <w:t>4</w:t>
      </w:r>
      <w:r w:rsidRPr="00624732">
        <w:rPr>
          <w:rStyle w:val="FootnoteReference"/>
          <w:sz w:val="20"/>
        </w:rPr>
        <w:footnoteReference w:customMarkFollows="1" w:id="1"/>
        <w:t>*</w:t>
      </w:r>
    </w:p>
    <w:p w14:paraId="7B18158C" w14:textId="77777777" w:rsidR="00025633" w:rsidRPr="00624732" w:rsidRDefault="00025633" w:rsidP="00025633">
      <w:pPr>
        <w:pStyle w:val="Questiontitle"/>
      </w:pPr>
      <w:r w:rsidRPr="00624732">
        <w:t xml:space="preserve">Utilisation d'orbites autres que celle des satellites géostationnaires </w:t>
      </w:r>
      <w:r w:rsidRPr="00624732">
        <w:br/>
        <w:t>dans les services mobiles par satellite</w:t>
      </w:r>
    </w:p>
    <w:p w14:paraId="65FF9AB6" w14:textId="77777777" w:rsidR="00025633" w:rsidRPr="00624732" w:rsidRDefault="00025633" w:rsidP="00025633">
      <w:pPr>
        <w:pStyle w:val="Questiondate"/>
      </w:pPr>
      <w:r w:rsidRPr="00624732">
        <w:t>(1988-1990-1992-1993</w:t>
      </w:r>
      <w:r>
        <w:t>-2007</w:t>
      </w:r>
      <w:r w:rsidRPr="00624732">
        <w:t>)</w:t>
      </w:r>
    </w:p>
    <w:p w14:paraId="19DF25E4" w14:textId="77777777" w:rsidR="00025633" w:rsidRPr="00624732" w:rsidRDefault="00025633" w:rsidP="00025633">
      <w:pPr>
        <w:pStyle w:val="Normalaftertitle0"/>
      </w:pPr>
      <w:r w:rsidRPr="00624732">
        <w:t>L'Assemblée des radiocommunications de l'UIT,</w:t>
      </w:r>
    </w:p>
    <w:p w14:paraId="20BD5347" w14:textId="77777777" w:rsidR="00025633" w:rsidRPr="00624732" w:rsidRDefault="00025633" w:rsidP="00025633">
      <w:pPr>
        <w:pStyle w:val="Call"/>
      </w:pPr>
      <w:proofErr w:type="gramStart"/>
      <w:r w:rsidRPr="00624732">
        <w:t>considérant</w:t>
      </w:r>
      <w:proofErr w:type="gramEnd"/>
    </w:p>
    <w:p w14:paraId="1A308E28" w14:textId="77777777" w:rsidR="00025633" w:rsidRPr="00624732" w:rsidRDefault="00025633" w:rsidP="002747C6">
      <w:pPr>
        <w:jc w:val="both"/>
      </w:pPr>
      <w:r w:rsidRPr="00025633">
        <w:rPr>
          <w:i/>
          <w:iCs/>
        </w:rPr>
        <w:t>a)</w:t>
      </w:r>
      <w:r w:rsidRPr="00624732">
        <w:tab/>
        <w:t>que différents types d'orbites autres que l'orbite des satellites géostationnaires (</w:t>
      </w:r>
      <w:proofErr w:type="spellStart"/>
      <w:r w:rsidRPr="00624732">
        <w:t>OSG</w:t>
      </w:r>
      <w:proofErr w:type="spellEnd"/>
      <w:r w:rsidRPr="00624732">
        <w:t xml:space="preserve">) peuvent assurer une couverture mondiale sous des latitudes comprises entre les parallèles </w:t>
      </w:r>
      <w:proofErr w:type="spellStart"/>
      <w:r w:rsidRPr="00624732">
        <w:t>90°N</w:t>
      </w:r>
      <w:proofErr w:type="spellEnd"/>
      <w:r w:rsidRPr="00624732">
        <w:t xml:space="preserve"> et </w:t>
      </w:r>
      <w:proofErr w:type="spellStart"/>
      <w:r w:rsidRPr="00624732">
        <w:t>90°S</w:t>
      </w:r>
      <w:proofErr w:type="spellEnd"/>
      <w:r w:rsidRPr="00624732">
        <w:t xml:space="preserve"> en utilisant des configurations qui conviennent à diverses applications de télécommunications par satellite;</w:t>
      </w:r>
    </w:p>
    <w:p w14:paraId="53CA5352" w14:textId="77777777" w:rsidR="00025633" w:rsidRPr="00624732" w:rsidRDefault="00025633" w:rsidP="002747C6">
      <w:pPr>
        <w:jc w:val="both"/>
      </w:pPr>
      <w:r w:rsidRPr="00025633">
        <w:rPr>
          <w:i/>
          <w:iCs/>
        </w:rPr>
        <w:t>b)</w:t>
      </w:r>
      <w:r w:rsidRPr="00624732">
        <w:tab/>
        <w:t>que l'UIT-R devrait continuer à réaliser des études pour établir des directives concernant le partage de bandes de fréquences dans le SMS et le partage de bandes de fréquences entre le SMS et les autres services;</w:t>
      </w:r>
    </w:p>
    <w:p w14:paraId="13EB52E0" w14:textId="77777777" w:rsidR="00025633" w:rsidRPr="00624732" w:rsidRDefault="00025633" w:rsidP="002747C6">
      <w:pPr>
        <w:jc w:val="both"/>
      </w:pPr>
      <w:r w:rsidRPr="00025633">
        <w:rPr>
          <w:i/>
          <w:iCs/>
        </w:rPr>
        <w:t>c)</w:t>
      </w:r>
      <w:r w:rsidRPr="00624732">
        <w:tab/>
        <w:t>que l'emploi d'orbites, autres que l'</w:t>
      </w:r>
      <w:proofErr w:type="spellStart"/>
      <w:r w:rsidRPr="00624732">
        <w:t>OSG</w:t>
      </w:r>
      <w:proofErr w:type="spellEnd"/>
      <w:r w:rsidRPr="00624732">
        <w:t xml:space="preserve"> pour certaines applications mobiles par satellite, permettrait d'obtenir une meilleure couverture dans des zones situées au-dessus de   certaines latitudes et en règle générale, une amélioration des services due à des trajets de liaisons plus courts tout en facilitant l'utilisation en partage avec les autres services, par exemple, les services de radiorepérage;</w:t>
      </w:r>
    </w:p>
    <w:p w14:paraId="45D705EF" w14:textId="77777777" w:rsidR="00025633" w:rsidRPr="00624732" w:rsidRDefault="00025633" w:rsidP="002747C6">
      <w:pPr>
        <w:jc w:val="both"/>
      </w:pPr>
      <w:r w:rsidRPr="00025633">
        <w:rPr>
          <w:i/>
          <w:iCs/>
        </w:rPr>
        <w:t>d)</w:t>
      </w:r>
      <w:r w:rsidRPr="00624732">
        <w:tab/>
        <w:t>que les angles d'élévation en direction de l'</w:t>
      </w:r>
      <w:proofErr w:type="spellStart"/>
      <w:r w:rsidRPr="00624732">
        <w:t>OSG</w:t>
      </w:r>
      <w:proofErr w:type="spellEnd"/>
      <w:r w:rsidRPr="00624732">
        <w:t xml:space="preserve"> sont très faibles aux latitudes élevées, ce qui aggrave les problèmes de communication résultant des effets de la propagation par trajets multiples et des effets d'écran, et que l'emploi d'orbites autres que l'</w:t>
      </w:r>
      <w:proofErr w:type="spellStart"/>
      <w:r w:rsidRPr="00624732">
        <w:t>OSG</w:t>
      </w:r>
      <w:proofErr w:type="spellEnd"/>
      <w:r w:rsidRPr="00624732">
        <w:t xml:space="preserve"> permettra peut-être d'améliorer cet état de choses;</w:t>
      </w:r>
    </w:p>
    <w:p w14:paraId="650B8241" w14:textId="77777777" w:rsidR="00025633" w:rsidRPr="00624732" w:rsidRDefault="00025633" w:rsidP="002747C6">
      <w:pPr>
        <w:jc w:val="both"/>
      </w:pPr>
      <w:r w:rsidRPr="00025633">
        <w:rPr>
          <w:i/>
          <w:iCs/>
        </w:rPr>
        <w:t>e)</w:t>
      </w:r>
      <w:r w:rsidRPr="00624732">
        <w:tab/>
        <w:t>que de tels systèmes utilisant des bandes de fréquences différentes peuvent avoir des caractéristiques totalement différentes,</w:t>
      </w:r>
    </w:p>
    <w:p w14:paraId="0590EF0E" w14:textId="77777777" w:rsidR="00025633" w:rsidRPr="003C57EA" w:rsidRDefault="00025633" w:rsidP="00372989">
      <w:pPr>
        <w:pStyle w:val="Call"/>
        <w:rPr>
          <w:b/>
        </w:rPr>
      </w:pPr>
      <w:proofErr w:type="gramStart"/>
      <w:r w:rsidRPr="003C57EA">
        <w:t>décide</w:t>
      </w:r>
      <w:proofErr w:type="gramEnd"/>
      <w:r w:rsidRPr="00372989">
        <w:rPr>
          <w:i w:val="0"/>
          <w:iCs/>
        </w:rPr>
        <w:t xml:space="preserve"> de mettre à l'étude les Questions suivantes</w:t>
      </w:r>
    </w:p>
    <w:p w14:paraId="242F8DBB" w14:textId="77777777" w:rsidR="00025633" w:rsidRPr="00624732" w:rsidRDefault="00025633" w:rsidP="002747C6">
      <w:pPr>
        <w:jc w:val="both"/>
      </w:pPr>
      <w:r w:rsidRPr="00025633">
        <w:rPr>
          <w:bCs/>
        </w:rPr>
        <w:t>1</w:t>
      </w:r>
      <w:r w:rsidRPr="00624732">
        <w:rPr>
          <w:b/>
        </w:rPr>
        <w:tab/>
      </w:r>
      <w:r w:rsidRPr="00624732">
        <w:t>Quels types d'orbites autres que l'</w:t>
      </w:r>
      <w:proofErr w:type="spellStart"/>
      <w:r w:rsidRPr="00624732">
        <w:t>OSG</w:t>
      </w:r>
      <w:proofErr w:type="spellEnd"/>
      <w:r w:rsidRPr="00624732">
        <w:t xml:space="preserve"> conviennent pour assurer les services mobiles par satellite?</w:t>
      </w:r>
    </w:p>
    <w:p w14:paraId="4F5D07C3" w14:textId="77777777" w:rsidR="00025633" w:rsidRPr="00624732" w:rsidRDefault="00025633" w:rsidP="002747C6">
      <w:pPr>
        <w:jc w:val="both"/>
      </w:pPr>
      <w:r w:rsidRPr="00025633">
        <w:rPr>
          <w:bCs/>
        </w:rPr>
        <w:t>2</w:t>
      </w:r>
      <w:r w:rsidRPr="00624732">
        <w:tab/>
        <w:t>Quels sont les avantages et les contraintes techniques et d'exploitation des orbites autres que l'</w:t>
      </w:r>
      <w:proofErr w:type="spellStart"/>
      <w:r w:rsidRPr="00624732">
        <w:t>OSG</w:t>
      </w:r>
      <w:proofErr w:type="spellEnd"/>
      <w:r w:rsidRPr="00624732">
        <w:t xml:space="preserve"> et des systèmes utilisant ces orbites?</w:t>
      </w:r>
    </w:p>
    <w:p w14:paraId="3EFFB2F5" w14:textId="77777777" w:rsidR="00025633" w:rsidRPr="00624732" w:rsidRDefault="00025633" w:rsidP="002747C6">
      <w:pPr>
        <w:jc w:val="both"/>
      </w:pPr>
      <w:r w:rsidRPr="00025633">
        <w:rPr>
          <w:bCs/>
        </w:rPr>
        <w:t>3</w:t>
      </w:r>
      <w:r w:rsidRPr="00624732">
        <w:tab/>
        <w:t xml:space="preserve">A la suite des études menées conformément aux points 1 à 3 du </w:t>
      </w:r>
      <w:r w:rsidRPr="00624732">
        <w:rPr>
          <w:i/>
        </w:rPr>
        <w:t>décide</w:t>
      </w:r>
      <w:r w:rsidRPr="00700B88">
        <w:rPr>
          <w:bCs/>
        </w:rPr>
        <w:t xml:space="preserve">, </w:t>
      </w:r>
      <w:r w:rsidRPr="00624732">
        <w:t xml:space="preserve">quelles spécifications techniques permettraient d'atteindre l'objectif visé au point </w:t>
      </w:r>
      <w:r w:rsidRPr="002747C6">
        <w:rPr>
          <w:i/>
          <w:iCs/>
        </w:rPr>
        <w:t xml:space="preserve">c) </w:t>
      </w:r>
      <w:r w:rsidRPr="00624732">
        <w:t xml:space="preserve">du </w:t>
      </w:r>
      <w:r w:rsidRPr="00624732">
        <w:rPr>
          <w:i/>
          <w:iCs/>
        </w:rPr>
        <w:t>considérant</w:t>
      </w:r>
      <w:r w:rsidRPr="00624732">
        <w:t>?</w:t>
      </w:r>
    </w:p>
    <w:p w14:paraId="72814927" w14:textId="77777777" w:rsidR="00025633" w:rsidRPr="003C57EA" w:rsidRDefault="00025633" w:rsidP="00025633">
      <w:pPr>
        <w:pStyle w:val="Call"/>
        <w:rPr>
          <w:b/>
        </w:rPr>
      </w:pPr>
      <w:proofErr w:type="gramStart"/>
      <w:r w:rsidRPr="003C57EA">
        <w:t>décide</w:t>
      </w:r>
      <w:proofErr w:type="gramEnd"/>
      <w:r w:rsidRPr="003C57EA">
        <w:t xml:space="preserve"> en outre</w:t>
      </w:r>
    </w:p>
    <w:p w14:paraId="64E04970" w14:textId="77777777" w:rsidR="00025633" w:rsidRPr="00201C53" w:rsidRDefault="00025633" w:rsidP="002747C6">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w:t>
      </w:r>
      <w:proofErr w:type="gramStart"/>
      <w:r>
        <w:t>et</w:t>
      </w:r>
      <w:proofErr w:type="gramEnd"/>
      <w:r>
        <w:t>/ou Rapports appropriés</w:t>
      </w:r>
      <w:r w:rsidRPr="00201C53">
        <w:t>;</w:t>
      </w:r>
    </w:p>
    <w:p w14:paraId="0B6E39AA" w14:textId="7DAE84E7" w:rsidR="00025633" w:rsidRPr="00201C53" w:rsidRDefault="00025633" w:rsidP="002747C6">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C02D3D">
        <w:t>2</w:t>
      </w:r>
      <w:r w:rsidR="002747C6">
        <w:t>7</w:t>
      </w:r>
      <w:r w:rsidRPr="00201C53">
        <w:t>.</w:t>
      </w:r>
    </w:p>
    <w:p w14:paraId="1EA6D86C" w14:textId="77777777" w:rsidR="00025633" w:rsidRDefault="00025633" w:rsidP="00827A2D">
      <w:pPr>
        <w:pStyle w:val="Normalaftertitle"/>
      </w:pPr>
      <w:r w:rsidRPr="00624732">
        <w:t xml:space="preserve">Catégorie: </w:t>
      </w:r>
      <w:proofErr w:type="spellStart"/>
      <w:r w:rsidRPr="00624732">
        <w:t>S2</w:t>
      </w:r>
      <w:proofErr w:type="spellEnd"/>
    </w:p>
    <w:sectPr w:rsidR="00025633" w:rsidSect="00726C61">
      <w:headerReference w:type="even" r:id="rId8"/>
      <w:headerReference w:type="default" r:id="rId9"/>
      <w:footerReference w:type="even" r:id="rId10"/>
      <w:footerReference w:type="default" r:id="rId11"/>
      <w:pgSz w:w="11907" w:h="16834"/>
      <w:pgMar w:top="1247"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E8874" w14:textId="77777777" w:rsidR="009653DA" w:rsidRDefault="009653DA">
      <w:r>
        <w:separator/>
      </w:r>
    </w:p>
  </w:endnote>
  <w:endnote w:type="continuationSeparator" w:id="0">
    <w:p w14:paraId="46A32EB5"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21421"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2747C6">
      <w:t>13.09.19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A97B6" w14:textId="77777777" w:rsidR="009653DA" w:rsidRPr="00364C10" w:rsidRDefault="009653DA" w:rsidP="00364C10">
    <w:pPr>
      <w:pStyle w:val="Footer"/>
      <w:rPr>
        <w:lang w:val="en-US"/>
      </w:rPr>
    </w:pPr>
    <w:r>
      <w:fldChar w:fldCharType="begin"/>
    </w:r>
    <w:r w:rsidRPr="00364C10">
      <w:rPr>
        <w:lang w:val="en-US"/>
      </w:rPr>
      <w:instrText xml:space="preserve"> FILENAME  \p  \* MERGEFORMAT </w:instrText>
    </w:r>
    <w:r>
      <w:fldChar w:fldCharType="separate"/>
    </w:r>
    <w:r>
      <w:rPr>
        <w:lang w:val="en-US"/>
      </w:rPr>
      <w:t>M:\BRSGD\TEXT2012\SG04\000\001f.docx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E4A4F" w14:textId="77777777" w:rsidR="009653DA" w:rsidRDefault="009653DA">
      <w:r>
        <w:t>____________________</w:t>
      </w:r>
    </w:p>
  </w:footnote>
  <w:footnote w:type="continuationSeparator" w:id="0">
    <w:p w14:paraId="6CCB0758" w14:textId="77777777" w:rsidR="009653DA" w:rsidRDefault="009653DA">
      <w:r>
        <w:continuationSeparator/>
      </w:r>
    </w:p>
  </w:footnote>
  <w:footnote w:id="1">
    <w:p w14:paraId="2ADF7725" w14:textId="77777777" w:rsidR="009653DA" w:rsidRPr="00025633" w:rsidRDefault="009653DA" w:rsidP="002747C6">
      <w:pPr>
        <w:pStyle w:val="FootnoteText"/>
        <w:jc w:val="both"/>
        <w:rPr>
          <w:sz w:val="24"/>
          <w:szCs w:val="24"/>
        </w:rPr>
      </w:pPr>
      <w:r w:rsidRPr="00CD6C80">
        <w:rPr>
          <w:rStyle w:val="FootnoteReference"/>
          <w:szCs w:val="22"/>
        </w:rPr>
        <w:t>*</w:t>
      </w:r>
      <w:r w:rsidRPr="00CD6C80">
        <w:rPr>
          <w:szCs w:val="22"/>
        </w:rPr>
        <w:tab/>
      </w:r>
      <w:r w:rsidRPr="00025633">
        <w:rPr>
          <w:sz w:val="24"/>
          <w:szCs w:val="24"/>
        </w:rPr>
        <w:t>Cette Question devrait être portée à l'attention des Commissions d'études 5 et 7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9BCD" w14:textId="77777777" w:rsidR="009653DA" w:rsidRDefault="009653DA"/>
  <w:p w14:paraId="272FC2BE"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C14B"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26C61">
      <w:rPr>
        <w:rStyle w:val="PageNumber"/>
        <w:noProof/>
      </w:rPr>
      <w:t>2</w:t>
    </w:r>
    <w:r>
      <w:rPr>
        <w:rStyle w:val="PageNumber"/>
      </w:rPr>
      <w:fldChar w:fldCharType="end"/>
    </w:r>
    <w:r>
      <w:rPr>
        <w:rStyle w:val="PageNumber"/>
      </w:rPr>
      <w:t xml:space="preserve"> -</w:t>
    </w:r>
  </w:p>
  <w:p w14:paraId="35734F83" w14:textId="77777777" w:rsidR="009653DA" w:rsidRPr="00AA0686" w:rsidRDefault="009653DA" w:rsidP="008307BE">
    <w:pPr>
      <w:pStyle w:val="Header"/>
    </w:pPr>
    <w:r>
      <w:t>5/1</w:t>
    </w:r>
    <w:r w:rsidRPr="00AA0686">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CC4D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C46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F873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A67E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EA4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40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A251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C4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3EFD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BADD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47C6"/>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E6856"/>
    <w:rsid w:val="005103C3"/>
    <w:rsid w:val="005206C2"/>
    <w:rsid w:val="0054213B"/>
    <w:rsid w:val="00570B74"/>
    <w:rsid w:val="0058066F"/>
    <w:rsid w:val="005964D2"/>
    <w:rsid w:val="005B18AD"/>
    <w:rsid w:val="005C528D"/>
    <w:rsid w:val="005C7C48"/>
    <w:rsid w:val="005D02D2"/>
    <w:rsid w:val="005E09E6"/>
    <w:rsid w:val="005E1706"/>
    <w:rsid w:val="005E21CE"/>
    <w:rsid w:val="005E239C"/>
    <w:rsid w:val="005F1B87"/>
    <w:rsid w:val="0060328F"/>
    <w:rsid w:val="006159F3"/>
    <w:rsid w:val="00623823"/>
    <w:rsid w:val="00643350"/>
    <w:rsid w:val="006527AC"/>
    <w:rsid w:val="00655511"/>
    <w:rsid w:val="00670F04"/>
    <w:rsid w:val="006736AA"/>
    <w:rsid w:val="006B2E37"/>
    <w:rsid w:val="006C2275"/>
    <w:rsid w:val="006D010A"/>
    <w:rsid w:val="006D56EE"/>
    <w:rsid w:val="006E7DC4"/>
    <w:rsid w:val="00726C61"/>
    <w:rsid w:val="00740805"/>
    <w:rsid w:val="00782BA9"/>
    <w:rsid w:val="007A40C0"/>
    <w:rsid w:val="007A489D"/>
    <w:rsid w:val="007C24A9"/>
    <w:rsid w:val="007D142C"/>
    <w:rsid w:val="007E1E5D"/>
    <w:rsid w:val="007F1E1C"/>
    <w:rsid w:val="00812CB5"/>
    <w:rsid w:val="00827A2D"/>
    <w:rsid w:val="008307BE"/>
    <w:rsid w:val="00836719"/>
    <w:rsid w:val="008508CA"/>
    <w:rsid w:val="008909E3"/>
    <w:rsid w:val="00891158"/>
    <w:rsid w:val="00892815"/>
    <w:rsid w:val="008A6A93"/>
    <w:rsid w:val="008B1FCB"/>
    <w:rsid w:val="008C5B9E"/>
    <w:rsid w:val="008E184F"/>
    <w:rsid w:val="00912F52"/>
    <w:rsid w:val="00915EB8"/>
    <w:rsid w:val="00922388"/>
    <w:rsid w:val="009249CC"/>
    <w:rsid w:val="00927CA7"/>
    <w:rsid w:val="00933BDD"/>
    <w:rsid w:val="00940589"/>
    <w:rsid w:val="009653DA"/>
    <w:rsid w:val="009722F6"/>
    <w:rsid w:val="009A2432"/>
    <w:rsid w:val="009A6833"/>
    <w:rsid w:val="009A6EDA"/>
    <w:rsid w:val="009B2FE7"/>
    <w:rsid w:val="009E7722"/>
    <w:rsid w:val="009F2C22"/>
    <w:rsid w:val="00A105B6"/>
    <w:rsid w:val="00A15F8F"/>
    <w:rsid w:val="00A30B1B"/>
    <w:rsid w:val="00A354FD"/>
    <w:rsid w:val="00A67122"/>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A774C"/>
    <w:rsid w:val="00BC322B"/>
    <w:rsid w:val="00BC5EA0"/>
    <w:rsid w:val="00BD2E2E"/>
    <w:rsid w:val="00C02D3D"/>
    <w:rsid w:val="00C13ABE"/>
    <w:rsid w:val="00C16676"/>
    <w:rsid w:val="00C26367"/>
    <w:rsid w:val="00C811C0"/>
    <w:rsid w:val="00C84F63"/>
    <w:rsid w:val="00C93578"/>
    <w:rsid w:val="00CA099E"/>
    <w:rsid w:val="00CC3DA0"/>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1A4F"/>
  <w15:docId w15:val="{BDC0631C-9C9C-48F0-B577-7B4A4246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6"/>
    <w:pPr>
      <w:tabs>
        <w:tab w:val="left" w:pos="1134"/>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747C6"/>
    <w:pPr>
      <w:keepNext/>
      <w:keepLines/>
      <w:spacing w:before="160"/>
      <w:ind w:left="113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2747C6"/>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4793-F5DC-48F8-952A-34671F98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5</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2284</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LRT</cp:lastModifiedBy>
  <cp:revision>4</cp:revision>
  <cp:lastPrinted>2012-03-09T12:32:00Z</cp:lastPrinted>
  <dcterms:created xsi:type="dcterms:W3CDTF">2012-04-26T12:24:00Z</dcterms:created>
  <dcterms:modified xsi:type="dcterms:W3CDTF">2024-01-24T12:39:00Z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