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B3B3" w14:textId="7E4D5F7C" w:rsidR="00A92A27" w:rsidRPr="00402662" w:rsidRDefault="00A92A27" w:rsidP="00A92A27">
      <w:pPr>
        <w:pStyle w:val="QuestionNo"/>
        <w:rPr>
          <w:lang w:eastAsia="ja-JP"/>
        </w:rPr>
      </w:pPr>
      <w:bookmarkStart w:id="0" w:name="_Hlk19006454"/>
      <w:r w:rsidRPr="00402662">
        <w:t>cuestión uit-r</w:t>
      </w:r>
      <w:bookmarkEnd w:id="0"/>
      <w:r w:rsidRPr="00402662">
        <w:t xml:space="preserve"> 101-5/5</w:t>
      </w:r>
      <w:r>
        <w:t xml:space="preserve"> </w:t>
      </w:r>
      <w:r w:rsidRPr="009B5E33">
        <w:rPr>
          <w:rStyle w:val="FootnoteReference"/>
        </w:rPr>
        <w:footnoteReference w:customMarkFollows="1" w:id="1"/>
        <w:sym w:font="Symbol" w:char="F02A"/>
      </w:r>
      <w:r w:rsidRPr="009B5E33">
        <w:rPr>
          <w:rStyle w:val="FootnoteReference"/>
        </w:rPr>
        <w:t>,</w:t>
      </w:r>
      <w:r w:rsidRPr="00A92A27">
        <w:t xml:space="preserve"> </w:t>
      </w:r>
      <w:r w:rsidRPr="00A92A27">
        <w:rPr>
          <w:rStyle w:val="FootnoteReference"/>
        </w:rPr>
        <w:footnoteReference w:customMarkFollows="1" w:id="2"/>
        <w:t>**</w:t>
      </w:r>
    </w:p>
    <w:p w14:paraId="60999B70" w14:textId="77777777" w:rsidR="00A92A27" w:rsidRPr="00402662" w:rsidRDefault="00A92A27" w:rsidP="00A92A27">
      <w:pPr>
        <w:pStyle w:val="Questiontitle"/>
        <w:rPr>
          <w:rFonts w:asciiTheme="majorBidi" w:hAnsiTheme="majorBidi" w:cstheme="majorBidi"/>
          <w:lang w:val="es-ES_tradnl"/>
        </w:rPr>
      </w:pPr>
      <w:r w:rsidRPr="00402662">
        <w:rPr>
          <w:rFonts w:asciiTheme="majorBidi" w:hAnsiTheme="majorBidi" w:cstheme="majorBidi"/>
          <w:lang w:val="es-ES_tradnl"/>
        </w:rPr>
        <w:t>Requisitos de calidad de servicio en el servicio móvil terrestre</w:t>
      </w:r>
    </w:p>
    <w:p w14:paraId="7FED077A" w14:textId="77777777" w:rsidR="00A92A27" w:rsidRPr="00402662" w:rsidRDefault="00A92A27" w:rsidP="00A92A27">
      <w:pPr>
        <w:pStyle w:val="Questiondate"/>
        <w:rPr>
          <w:i/>
          <w:iCs/>
          <w:lang w:val="es-ES_tradnl"/>
        </w:rPr>
      </w:pPr>
      <w:r w:rsidRPr="00402662">
        <w:rPr>
          <w:iCs/>
          <w:lang w:val="es-ES_tradnl"/>
        </w:rPr>
        <w:t>(1990-1993-1995-2003-2007-2019)</w:t>
      </w:r>
    </w:p>
    <w:p w14:paraId="4344D3D3" w14:textId="77777777" w:rsidR="00A92A27" w:rsidRPr="00402662" w:rsidRDefault="00A92A27" w:rsidP="00A92A27">
      <w:pPr>
        <w:spacing w:before="360" w:line="240" w:lineRule="auto"/>
        <w:jc w:val="left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La Asamblea de Radiocomunicaciones de la UIT,</w:t>
      </w:r>
    </w:p>
    <w:p w14:paraId="427F0CE9" w14:textId="77777777" w:rsidR="00A92A27" w:rsidRPr="00402662" w:rsidRDefault="00A92A27" w:rsidP="00A92A27">
      <w:pPr>
        <w:pStyle w:val="Call"/>
      </w:pPr>
      <w:r w:rsidRPr="00A92A27">
        <w:t>considerando</w:t>
      </w:r>
    </w:p>
    <w:p w14:paraId="1F1F1685" w14:textId="77777777" w:rsidR="00A92A27" w:rsidRPr="00402662" w:rsidRDefault="00A92A27" w:rsidP="00A92A27">
      <w:pPr>
        <w:tabs>
          <w:tab w:val="clear" w:pos="794"/>
        </w:tabs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a)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se producen rápidos avances en los métodos de digitalización de la voz y su transporte en las redes IP;</w:t>
      </w:r>
    </w:p>
    <w:p w14:paraId="06AFB7EC" w14:textId="77777777" w:rsidR="00A92A27" w:rsidRPr="00402662" w:rsidRDefault="00A92A27" w:rsidP="00A92A27">
      <w:pPr>
        <w:tabs>
          <w:tab w:val="clear" w:pos="794"/>
        </w:tabs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b)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estos progresos ofrecen nuevas posibilidades de obtener una mayor flexibilidad del sistema y una mayor eficiencia de espectro en la transmisión de la voz;</w:t>
      </w:r>
    </w:p>
    <w:p w14:paraId="1E2F96C7" w14:textId="77777777" w:rsidR="00A92A27" w:rsidRPr="00402662" w:rsidRDefault="00A92A27" w:rsidP="00A92A27">
      <w:pPr>
        <w:tabs>
          <w:tab w:val="clear" w:pos="794"/>
        </w:tabs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c)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la voz codificada digitalmente permite una mayor privacidad en las comunicaciones telefónicas;</w:t>
      </w:r>
    </w:p>
    <w:p w14:paraId="22B8130E" w14:textId="77777777" w:rsidR="00A92A27" w:rsidRPr="00402662" w:rsidRDefault="00A92A27" w:rsidP="00A92A27">
      <w:pPr>
        <w:tabs>
          <w:tab w:val="clear" w:pos="794"/>
        </w:tabs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d)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están siendo ampliamente introducidos nuevos sistemas que soportan servicios de telecomunicaciones multimedios con diversos grados de calidad;</w:t>
      </w:r>
    </w:p>
    <w:p w14:paraId="0ABFD3DC" w14:textId="77777777" w:rsidR="00A92A27" w:rsidRPr="00402662" w:rsidRDefault="00A92A27" w:rsidP="00A92A27">
      <w:pPr>
        <w:tabs>
          <w:tab w:val="clear" w:pos="794"/>
        </w:tabs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e)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sería ventajoso adoptar para el servicio móvil terrestre normas compatibles con las Recomendaciones UIT</w:t>
      </w:r>
      <w:r w:rsidRPr="00402662">
        <w:rPr>
          <w:rFonts w:asciiTheme="majorBidi" w:hAnsiTheme="majorBidi" w:cstheme="majorBidi"/>
          <w:szCs w:val="20"/>
          <w:lang w:val="es-ES_tradnl"/>
        </w:rPr>
        <w:noBreakHyphen/>
        <w:t>T aplicables a las redes fijas,</w:t>
      </w:r>
    </w:p>
    <w:p w14:paraId="7C2F553E" w14:textId="77777777" w:rsidR="00A92A27" w:rsidRPr="00402662" w:rsidRDefault="00A92A27" w:rsidP="00A92A27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 xml:space="preserve">decide </w:t>
      </w:r>
      <w:r w:rsidRPr="00402662">
        <w:rPr>
          <w:rFonts w:asciiTheme="majorBidi" w:hAnsiTheme="majorBidi" w:cstheme="majorBidi"/>
          <w:i w:val="0"/>
          <w:iCs/>
        </w:rPr>
        <w:t>poner a estudio las siguientes Cuestiones</w:t>
      </w:r>
    </w:p>
    <w:p w14:paraId="3EE61FD0" w14:textId="77777777" w:rsidR="00A92A27" w:rsidRPr="00402662" w:rsidRDefault="00A92A27" w:rsidP="00A92A27">
      <w:pPr>
        <w:tabs>
          <w:tab w:val="clear" w:pos="794"/>
        </w:tabs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bCs/>
          <w:szCs w:val="20"/>
          <w:lang w:val="es-ES_tradnl"/>
        </w:rPr>
        <w:t>1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¿Qué mediciones de la calidad de los servicios multimedios son adecuadas para las diferentes aplicaciones móvil terrestre?</w:t>
      </w:r>
    </w:p>
    <w:p w14:paraId="1D5F44CF" w14:textId="77777777" w:rsidR="00A92A27" w:rsidRPr="00402662" w:rsidRDefault="00A92A27" w:rsidP="00A92A27">
      <w:pPr>
        <w:tabs>
          <w:tab w:val="clear" w:pos="794"/>
        </w:tabs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bCs/>
          <w:szCs w:val="20"/>
          <w:lang w:val="es-ES_tradnl"/>
        </w:rPr>
        <w:t>2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¿Qué retardo con respecto a la entrega del servicio y qué variación del retardo son aceptables para las diferentes aplicaciones móvil terrestre?</w:t>
      </w:r>
    </w:p>
    <w:p w14:paraId="6ADF6F4C" w14:textId="77777777" w:rsidR="00A92A27" w:rsidRPr="00402662" w:rsidRDefault="00A92A27" w:rsidP="00A92A27">
      <w:pPr>
        <w:tabs>
          <w:tab w:val="clear" w:pos="794"/>
        </w:tabs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bCs/>
          <w:szCs w:val="20"/>
          <w:lang w:val="es-ES_tradnl"/>
        </w:rPr>
        <w:t>3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¿Qué velocidades binarias de codificación conviene elegir para los servicios multimedios, teniendo en cuenta los requisitos de calidad, las técnicas de codificación del canal, la utilización eficaz de las frecuencias y el coste?</w:t>
      </w:r>
    </w:p>
    <w:p w14:paraId="18BD95FF" w14:textId="77777777" w:rsidR="00A92A27" w:rsidRPr="00402662" w:rsidRDefault="00A92A27" w:rsidP="00A92A27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decide también</w:t>
      </w:r>
    </w:p>
    <w:p w14:paraId="3C3013F4" w14:textId="77777777" w:rsidR="00A92A27" w:rsidRPr="00402662" w:rsidRDefault="00A92A27" w:rsidP="00A92A27">
      <w:pPr>
        <w:tabs>
          <w:tab w:val="clear" w:pos="794"/>
        </w:tabs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bCs/>
          <w:szCs w:val="20"/>
          <w:lang w:val="es-ES_tradnl"/>
        </w:rPr>
        <w:t>1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los resultados de estos estudios se incluyan en una o varias Recomendaciones, Informes o Manuales;</w:t>
      </w:r>
    </w:p>
    <w:p w14:paraId="1B7A59F3" w14:textId="6AD028FB" w:rsidR="00A92A27" w:rsidRPr="00402662" w:rsidRDefault="00A92A27" w:rsidP="00A92A27">
      <w:pPr>
        <w:tabs>
          <w:tab w:val="clear" w:pos="794"/>
        </w:tabs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bCs/>
          <w:szCs w:val="20"/>
          <w:lang w:val="es-ES_tradnl"/>
        </w:rPr>
        <w:t>2</w:t>
      </w:r>
      <w:r w:rsidRPr="00402662">
        <w:rPr>
          <w:rFonts w:asciiTheme="majorBidi" w:hAnsiTheme="majorBidi" w:cstheme="majorBidi"/>
          <w:b/>
          <w:szCs w:val="20"/>
          <w:lang w:val="es-ES_tradnl"/>
        </w:rPr>
        <w:tab/>
      </w:r>
      <w:r w:rsidRPr="00402662">
        <w:rPr>
          <w:rFonts w:asciiTheme="majorBidi" w:hAnsiTheme="majorBidi" w:cstheme="majorBidi"/>
          <w:szCs w:val="20"/>
          <w:lang w:val="es-ES_tradnl"/>
        </w:rPr>
        <w:t>que dichos estudios se terminen en 202</w:t>
      </w:r>
      <w:r>
        <w:rPr>
          <w:rFonts w:asciiTheme="majorBidi" w:hAnsiTheme="majorBidi" w:cstheme="majorBidi"/>
          <w:szCs w:val="20"/>
          <w:lang w:val="es-ES_tradnl"/>
        </w:rPr>
        <w:t>7</w:t>
      </w:r>
      <w:r w:rsidRPr="00402662">
        <w:rPr>
          <w:rFonts w:asciiTheme="majorBidi" w:hAnsiTheme="majorBidi" w:cstheme="majorBidi"/>
          <w:szCs w:val="20"/>
          <w:lang w:val="es-ES_tradnl"/>
        </w:rPr>
        <w:t>.</w:t>
      </w:r>
    </w:p>
    <w:p w14:paraId="3FD97EBE" w14:textId="77777777" w:rsidR="00A92A27" w:rsidRPr="00402662" w:rsidRDefault="00A92A27" w:rsidP="00A92A27">
      <w:pPr>
        <w:spacing w:before="400" w:line="240" w:lineRule="auto"/>
        <w:jc w:val="left"/>
        <w:rPr>
          <w:rFonts w:asciiTheme="majorBidi" w:hAnsiTheme="majorBidi" w:cstheme="majorBidi"/>
          <w:szCs w:val="20"/>
          <w:lang w:val="es-ES_tradnl" w:eastAsia="ja-JP"/>
        </w:rPr>
      </w:pPr>
      <w:r w:rsidRPr="00402662">
        <w:rPr>
          <w:rFonts w:asciiTheme="majorBidi" w:hAnsiTheme="majorBidi" w:cstheme="majorBidi"/>
          <w:szCs w:val="20"/>
          <w:lang w:val="es-ES_tradnl" w:eastAsia="ja-JP"/>
        </w:rPr>
        <w:t>Categoría: S2</w:t>
      </w:r>
    </w:p>
    <w:p w14:paraId="15E01319" w14:textId="77777777" w:rsidR="00A92A27" w:rsidRPr="00402662" w:rsidRDefault="00A92A27" w:rsidP="00A92A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szCs w:val="20"/>
          <w:lang w:val="es-ES_tradnl"/>
        </w:rPr>
      </w:pPr>
    </w:p>
    <w:p w14:paraId="6F83AD42" w14:textId="232952FF" w:rsidR="00BA3F70" w:rsidRPr="00075D61" w:rsidRDefault="00BA3F70" w:rsidP="00075D61"/>
    <w:sectPr w:rsidR="00BA3F70" w:rsidRPr="00075D61" w:rsidSect="00D02712">
      <w:headerReference w:type="default" r:id="rId7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504951EA" w14:textId="77777777" w:rsidR="00A92A27" w:rsidRPr="007B697B" w:rsidRDefault="00A92A27" w:rsidP="00A92A27">
      <w:pPr>
        <w:pStyle w:val="FootnoteText"/>
        <w:rPr>
          <w:lang w:val="es-ES"/>
        </w:rPr>
      </w:pPr>
      <w:r w:rsidRPr="007B697B">
        <w:rPr>
          <w:rStyle w:val="FootnoteReference"/>
        </w:rPr>
        <w:sym w:font="Symbol" w:char="F02A"/>
      </w:r>
      <w:r>
        <w:rPr>
          <w:lang w:val="es-ES"/>
        </w:rPr>
        <w:tab/>
      </w:r>
      <w:r w:rsidRPr="002C5076">
        <w:rPr>
          <w:lang w:val="es-ES"/>
        </w:rPr>
        <w:t>Esta Cuestión debe señalarse a la atención de las Comisiones de Estudio 2 y 12 del Sector de Normalización de las Telecomunicaciones.</w:t>
      </w:r>
    </w:p>
  </w:footnote>
  <w:footnote w:id="2">
    <w:p w14:paraId="332D404E" w14:textId="5C6D8E72" w:rsidR="00A92A27" w:rsidRPr="009B5E33" w:rsidRDefault="00A92A27" w:rsidP="00A92A27">
      <w:pPr>
        <w:pStyle w:val="FootnoteText"/>
        <w:rPr>
          <w:sz w:val="22"/>
        </w:rPr>
      </w:pPr>
      <w:r w:rsidRPr="008D2AFF">
        <w:rPr>
          <w:rStyle w:val="FootnoteReference"/>
          <w:lang w:val="es-ES"/>
        </w:rPr>
        <w:t>**</w:t>
      </w:r>
      <w:r>
        <w:tab/>
      </w:r>
      <w:r w:rsidRPr="008D2AFF">
        <w:t xml:space="preserve">La Comisión de Estudio 5 de Radiocomunicaciones ha realizado cambios editoriales </w:t>
      </w:r>
      <w:proofErr w:type="gramStart"/>
      <w:r w:rsidRPr="008D2AFF">
        <w:t>a</w:t>
      </w:r>
      <w:proofErr w:type="gramEnd"/>
      <w:r w:rsidRPr="008D2AFF">
        <w:t xml:space="preserve"> esta Cuestión en julio de 2020, de conformidad con la Resolución UIT-R 1, con el fin de suprimir la Comisión de Estudio 2 del UIT-T de la nota a pie de página.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5E3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92A27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A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ind w:left="1134" w:hanging="1134"/>
      <w:jc w:val="left"/>
      <w:outlineLvl w:val="0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rtheading">
    <w:name w:val="Art_heading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Times New Roman Bold" w:hAnsi="Times New Roman Bold" w:cs="Times New Roman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ind w:left="1134"/>
      <w:jc w:val="left"/>
    </w:pPr>
    <w:rPr>
      <w:rFonts w:ascii="Times New Roman" w:hAnsi="Times New Roman" w:cs="Times New Roman"/>
      <w:i/>
      <w:szCs w:val="20"/>
      <w:lang w:val="en-GB"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line="240" w:lineRule="auto"/>
      <w:ind w:left="1134" w:hanging="113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center" w:pos="4820"/>
        <w:tab w:val="right" w:pos="9639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4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abletext">
    <w:name w:val="Table_text"/>
    <w:basedOn w:val="Normal"/>
    <w:rsid w:val="009C18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ascii="Times New Roman" w:hAnsi="Times New Roman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Note">
    <w:name w:val="Not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styleId="Header">
    <w:name w:val="header"/>
    <w:basedOn w:val="Normal"/>
    <w:link w:val="Header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styleId="Index2">
    <w:name w:val="index 2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paragraph" w:styleId="Index3">
    <w:name w:val="index 3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566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righ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righ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 w:hanging="113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Reftitle">
    <w:name w:val="Ref_title"/>
    <w:basedOn w:val="Normal"/>
    <w:next w:val="Reftext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0" w:after="80" w:line="240" w:lineRule="auto"/>
      <w:jc w:val="center"/>
    </w:pPr>
    <w:rPr>
      <w:rFonts w:ascii="Times New Roman Bold" w:hAnsi="Times New Roman Bold" w:cs="Times New Roman Bold"/>
      <w:b/>
      <w:sz w:val="20"/>
      <w:szCs w:val="20"/>
      <w:lang w:val="en-GB"/>
    </w:rPr>
  </w:style>
  <w:style w:type="paragraph" w:customStyle="1" w:styleId="Tablelegend">
    <w:name w:val="Tabl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871"/>
        <w:tab w:val="left" w:pos="2268"/>
      </w:tabs>
      <w:spacing w:before="40" w:after="4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ableNo">
    <w:name w:val="Table_No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 w:line="240" w:lineRule="auto"/>
      <w:jc w:val="center"/>
    </w:pPr>
    <w:rPr>
      <w:rFonts w:ascii="Times New Roman Bold" w:hAnsi="Times New Roman Bold" w:cs="Times New Roman"/>
      <w:b/>
      <w:sz w:val="20"/>
      <w:szCs w:val="20"/>
      <w:lang w:val="en-GB"/>
    </w:rPr>
  </w:style>
  <w:style w:type="paragraph" w:customStyle="1" w:styleId="Tableref">
    <w:name w:val="Table_ref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line="240" w:lineRule="auto"/>
      <w:jc w:val="center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794"/>
        <w:tab w:val="clear" w:pos="1191"/>
        <w:tab w:val="clear" w:pos="1588"/>
        <w:tab w:val="clear" w:pos="1985"/>
        <w:tab w:val="right" w:pos="9781"/>
      </w:tabs>
      <w:spacing w:before="120" w:line="240" w:lineRule="auto"/>
      <w:jc w:val="left"/>
    </w:pPr>
    <w:rPr>
      <w:rFonts w:ascii="Times New Roman" w:hAnsi="Times New Roman" w:cs="Times New Roman"/>
      <w:b/>
      <w:szCs w:val="20"/>
      <w:lang w:val="en-GB"/>
    </w:rPr>
  </w:style>
  <w:style w:type="paragraph" w:styleId="TOC1">
    <w:name w:val="toc 1"/>
    <w:basedOn w:val="Normal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 w:line="240" w:lineRule="auto"/>
      <w:ind w:left="567" w:hanging="567"/>
      <w:jc w:val="left"/>
    </w:pPr>
    <w:rPr>
      <w:rFonts w:ascii="Times New Roman" w:hAnsi="Times New Roman" w:cs="Times New Roman"/>
      <w:szCs w:val="20"/>
      <w:lang w:val="en-GB"/>
    </w:r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 New Roman" w:hAnsi="Times New Roman" w:cs="Times New Roman"/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 New Roman Bold" w:hAnsi="Times New Roman Bold" w:cs="Times New Roman Bold"/>
      <w:b/>
      <w:szCs w:val="20"/>
      <w:lang w:val="en-GB" w:eastAsia="zh-CN"/>
    </w:rPr>
  </w:style>
  <w:style w:type="paragraph" w:customStyle="1" w:styleId="Figure">
    <w:name w:val="Figur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40" w:line="240" w:lineRule="auto"/>
      <w:jc w:val="center"/>
    </w:pPr>
    <w:rPr>
      <w:rFonts w:ascii="Times New Roman" w:hAnsi="Times New Roman" w:cs="Times New Roman"/>
      <w:noProof/>
      <w:szCs w:val="20"/>
      <w:lang w:val="en-GB"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 w:line="240" w:lineRule="auto"/>
      <w:jc w:val="center"/>
    </w:pPr>
    <w:rPr>
      <w:rFonts w:ascii="Times New Roman Bold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ascii="Times New Roman" w:hAnsi="Times New Roman" w:cs="Times New Roman"/>
      <w:b/>
      <w:noProof/>
      <w:sz w:val="20"/>
      <w:szCs w:val="20"/>
      <w:lang w:val="en-GB"/>
    </w:rPr>
  </w:style>
  <w:style w:type="paragraph" w:styleId="NormalIndent">
    <w:name w:val="Normal Inden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hAnsi="Times New Roman" w:cs="Times New Roman"/>
      <w:szCs w:val="20"/>
      <w:lang w:val="en-GB"/>
    </w:rPr>
  </w:style>
  <w:style w:type="paragraph" w:styleId="Index4">
    <w:name w:val="index 4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849"/>
      <w:jc w:val="left"/>
    </w:pPr>
    <w:rPr>
      <w:rFonts w:ascii="Times New Roman" w:hAnsi="Times New Roman" w:cs="Times New Roman"/>
      <w:szCs w:val="20"/>
      <w:lang w:val="en-GB"/>
    </w:rPr>
  </w:style>
  <w:style w:type="paragraph" w:styleId="Index5">
    <w:name w:val="index 5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2"/>
      <w:jc w:val="left"/>
    </w:pPr>
    <w:rPr>
      <w:rFonts w:ascii="Times New Roman" w:hAnsi="Times New Roman" w:cs="Times New Roman"/>
      <w:szCs w:val="20"/>
      <w:lang w:val="en-GB"/>
    </w:rPr>
  </w:style>
  <w:style w:type="paragraph" w:styleId="Index6">
    <w:name w:val="index 6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415"/>
      <w:jc w:val="left"/>
    </w:pPr>
    <w:rPr>
      <w:rFonts w:ascii="Times New Roman" w:hAnsi="Times New Roman" w:cs="Times New Roman"/>
      <w:szCs w:val="20"/>
      <w:lang w:val="en-GB"/>
    </w:rPr>
  </w:style>
  <w:style w:type="paragraph" w:styleId="Index7">
    <w:name w:val="index 7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698"/>
      <w:jc w:val="left"/>
    </w:pPr>
    <w:rPr>
      <w:rFonts w:ascii="Times New Roman" w:hAnsi="Times New Roman"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Proposal">
    <w:name w:val="Proposal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hAnsi="Times New Roman Bold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9C185B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ind w:left="170" w:hanging="170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rFonts w:ascii="Times New Roman" w:hAnsi="Times New Roman" w:cs="Times New Roman"/>
      <w:sz w:val="28"/>
      <w:szCs w:val="20"/>
      <w:lang w:val="en-GB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hAnsiTheme="minorHAnsi" w:cstheme="minorHAnsi"/>
      <w:b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 w:line="240" w:lineRule="auto"/>
      <w:jc w:val="left"/>
    </w:pPr>
    <w:rPr>
      <w:rFonts w:ascii="Times New Roman" w:hAnsi="Times New Roman" w:cs="Times New Roman"/>
      <w:i/>
      <w:iCs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call0">
    <w:name w:val="call"/>
    <w:basedOn w:val="Normal"/>
    <w:next w:val="Normal"/>
    <w:rsid w:val="00A92A27"/>
    <w:pPr>
      <w:keepNext/>
      <w:keepLines/>
      <w:spacing w:line="240" w:lineRule="auto"/>
      <w:ind w:left="794"/>
      <w:jc w:val="left"/>
    </w:pPr>
    <w:rPr>
      <w:rFonts w:ascii="Times New Roman" w:hAnsi="Times New Roman" w:cs="Times New Roman"/>
      <w:i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9B94-F6B6-40B7-A826-980D099D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Chamova, Alisa</cp:lastModifiedBy>
  <cp:revision>3</cp:revision>
  <cp:lastPrinted>2008-02-21T14:04:00Z</cp:lastPrinted>
  <dcterms:created xsi:type="dcterms:W3CDTF">2023-10-12T09:54:00Z</dcterms:created>
  <dcterms:modified xsi:type="dcterms:W3CDTF">2023-10-12T09:56:00Z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