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28" w:rsidRPr="006D01BF" w:rsidRDefault="00755428" w:rsidP="00755428">
      <w:pPr>
        <w:pStyle w:val="QuestionNo"/>
        <w:rPr>
          <w:rtl/>
        </w:rPr>
      </w:pPr>
      <w:r w:rsidRPr="006D01BF">
        <w:rPr>
          <w:rtl/>
        </w:rPr>
        <w:t>ال</w:t>
      </w:r>
      <w:r w:rsidRPr="006D01BF">
        <w:rPr>
          <w:rFonts w:hint="cs"/>
          <w:rtl/>
        </w:rPr>
        <w:t>‍</w:t>
      </w:r>
      <w:r w:rsidRPr="006D01BF">
        <w:rPr>
          <w:rtl/>
        </w:rPr>
        <w:t xml:space="preserve">مسألة </w:t>
      </w:r>
      <w:r w:rsidRPr="006D01BF">
        <w:rPr>
          <w:lang w:val="en-GB"/>
        </w:rPr>
        <w:t>ITU-R 209-5/5</w:t>
      </w:r>
      <w:bookmarkStart w:id="0" w:name="_GoBack"/>
      <w:bookmarkEnd w:id="0"/>
    </w:p>
    <w:p w:rsidR="00755428" w:rsidRPr="006D01BF" w:rsidRDefault="00755428" w:rsidP="00755428">
      <w:pPr>
        <w:pStyle w:val="QuestionTitle"/>
        <w:rPr>
          <w:rtl/>
        </w:rPr>
      </w:pPr>
      <w:r w:rsidRPr="006D01BF">
        <w:rPr>
          <w:rFonts w:hint="cs"/>
          <w:rtl/>
        </w:rPr>
        <w:t>استعمال الخدمة المتنقلة وخدمة الهواة وخدمة الهواة الساتلية</w:t>
      </w:r>
      <w:r>
        <w:rPr>
          <w:rtl/>
        </w:rPr>
        <w:br/>
      </w:r>
      <w:r w:rsidRPr="006D01BF">
        <w:rPr>
          <w:rFonts w:hint="cs"/>
          <w:rtl/>
        </w:rPr>
        <w:t>لدعم الاتصالات الراديوية في حالات الكوارث</w:t>
      </w:r>
    </w:p>
    <w:p w:rsidR="00755428" w:rsidRPr="006D01BF" w:rsidRDefault="00755428" w:rsidP="00755428">
      <w:pPr>
        <w:pStyle w:val="Date"/>
        <w:rPr>
          <w:rtl/>
        </w:rPr>
      </w:pPr>
      <w:r w:rsidRPr="006D01BF">
        <w:rPr>
          <w:lang w:val="en-GB"/>
        </w:rPr>
        <w:t>(2015-2012-2007-2006-1998-1995)</w:t>
      </w:r>
    </w:p>
    <w:p w:rsidR="00755428" w:rsidRPr="006D01BF" w:rsidRDefault="00755428" w:rsidP="00755428">
      <w:pPr>
        <w:pStyle w:val="Normalaftertitle"/>
        <w:spacing w:line="187" w:lineRule="auto"/>
        <w:rPr>
          <w:rtl/>
        </w:rPr>
      </w:pPr>
      <w:r w:rsidRPr="006D01BF">
        <w:rPr>
          <w:rFonts w:hint="cs"/>
          <w:rtl/>
        </w:rPr>
        <w:t>إن جمعية الاتصالات الراديوية للاتحاد الدولي للاتصالات،</w:t>
      </w:r>
    </w:p>
    <w:p w:rsidR="00755428" w:rsidRPr="006D01BF" w:rsidRDefault="00755428" w:rsidP="00755428">
      <w:pPr>
        <w:pStyle w:val="Call"/>
        <w:spacing w:line="187" w:lineRule="auto"/>
        <w:rPr>
          <w:rtl/>
        </w:rPr>
      </w:pPr>
      <w:r w:rsidRPr="006D01BF">
        <w:rPr>
          <w:rFonts w:hint="eastAsia"/>
          <w:rtl/>
        </w:rPr>
        <w:t>إذ</w:t>
      </w:r>
      <w:r w:rsidRPr="006D01BF">
        <w:rPr>
          <w:rtl/>
        </w:rPr>
        <w:t xml:space="preserve"> </w:t>
      </w:r>
      <w:r w:rsidRPr="006D01BF">
        <w:rPr>
          <w:rFonts w:hint="eastAsia"/>
          <w:rtl/>
        </w:rPr>
        <w:t>تضع</w:t>
      </w:r>
      <w:r w:rsidRPr="006D01BF">
        <w:rPr>
          <w:rtl/>
        </w:rPr>
        <w:t xml:space="preserve"> </w:t>
      </w:r>
      <w:r w:rsidRPr="006D01BF">
        <w:rPr>
          <w:rFonts w:hint="eastAsia"/>
          <w:rtl/>
        </w:rPr>
        <w:t>في</w:t>
      </w:r>
      <w:r w:rsidRPr="006D01BF">
        <w:rPr>
          <w:rtl/>
        </w:rPr>
        <w:t xml:space="preserve"> </w:t>
      </w:r>
      <w:r w:rsidRPr="006D01BF">
        <w:rPr>
          <w:rFonts w:hint="eastAsia"/>
          <w:rtl/>
        </w:rPr>
        <w:t>اعتبارها</w:t>
      </w:r>
    </w:p>
    <w:p w:rsidR="00755428" w:rsidRPr="006D01BF" w:rsidRDefault="00755428" w:rsidP="00755428">
      <w:pPr>
        <w:spacing w:line="187" w:lineRule="auto"/>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القرار </w:t>
      </w:r>
      <w:r w:rsidRPr="006D01BF">
        <w:rPr>
          <w:lang w:val="fr-CH"/>
        </w:rPr>
        <w:t>36</w:t>
      </w:r>
      <w:r w:rsidRPr="006D01BF">
        <w:rPr>
          <w:rFonts w:hint="cs"/>
          <w:rtl/>
        </w:rPr>
        <w:t xml:space="preserve"> (المراج</w:t>
      </w:r>
      <w:r>
        <w:rPr>
          <w:rFonts w:hint="cs"/>
          <w:rtl/>
        </w:rPr>
        <w:t>َ</w:t>
      </w:r>
      <w:r w:rsidRPr="006D01BF">
        <w:rPr>
          <w:rFonts w:hint="cs"/>
          <w:rtl/>
        </w:rPr>
        <w:t>ع في غوادالاخارا،</w:t>
      </w:r>
      <w:r w:rsidRPr="006D01BF">
        <w:rPr>
          <w:rFonts w:hint="eastAsia"/>
          <w:rtl/>
        </w:rPr>
        <w:t> </w:t>
      </w:r>
      <w:r w:rsidRPr="006D01BF">
        <w:rPr>
          <w:lang w:val="fr-CH"/>
        </w:rPr>
        <w:t>20</w:t>
      </w:r>
      <w:r w:rsidRPr="006D01BF">
        <w:rPr>
          <w:lang w:val="en-GB"/>
        </w:rPr>
        <w:t>10</w:t>
      </w:r>
      <w:r w:rsidRPr="006D01BF">
        <w:rPr>
          <w:rFonts w:hint="cs"/>
          <w:rtl/>
        </w:rPr>
        <w:t xml:space="preserve">) والقرار </w:t>
      </w:r>
      <w:r w:rsidRPr="006D01BF">
        <w:rPr>
          <w:lang w:val="fr-CH"/>
        </w:rPr>
        <w:t>136</w:t>
      </w:r>
      <w:r w:rsidRPr="006D01BF">
        <w:rPr>
          <w:rFonts w:hint="cs"/>
          <w:rtl/>
        </w:rPr>
        <w:t xml:space="preserve"> (المراج</w:t>
      </w:r>
      <w:r>
        <w:rPr>
          <w:rFonts w:hint="cs"/>
          <w:rtl/>
        </w:rPr>
        <w:t>َ</w:t>
      </w:r>
      <w:r w:rsidRPr="006D01BF">
        <w:rPr>
          <w:rFonts w:hint="cs"/>
          <w:rtl/>
        </w:rPr>
        <w:t>ع في بوسان،</w:t>
      </w:r>
      <w:r w:rsidRPr="006D01BF">
        <w:rPr>
          <w:rFonts w:hint="eastAsia"/>
          <w:rtl/>
        </w:rPr>
        <w:t> </w:t>
      </w:r>
      <w:r w:rsidRPr="006D01BF">
        <w:rPr>
          <w:lang w:val="en-GB"/>
        </w:rPr>
        <w:t>2014</w:t>
      </w:r>
      <w:r w:rsidRPr="006D01BF">
        <w:rPr>
          <w:rFonts w:hint="cs"/>
          <w:rtl/>
        </w:rPr>
        <w:t>)؛</w:t>
      </w:r>
    </w:p>
    <w:p w:rsidR="00755428" w:rsidRPr="006D01BF" w:rsidRDefault="00755428" w:rsidP="00755428">
      <w:pPr>
        <w:spacing w:line="187" w:lineRule="auto"/>
        <w:rPr>
          <w:rtl/>
        </w:rPr>
      </w:pPr>
      <w:r w:rsidRPr="006D01BF">
        <w:rPr>
          <w:rFonts w:hint="cs"/>
          <w:i/>
          <w:iCs/>
          <w:rtl/>
        </w:rPr>
        <w:t>ب)</w:t>
      </w:r>
      <w:r w:rsidRPr="006D01BF">
        <w:rPr>
          <w:rFonts w:hint="cs"/>
          <w:rtl/>
        </w:rPr>
        <w:tab/>
        <w:t xml:space="preserve">القرار </w:t>
      </w:r>
      <w:r w:rsidRPr="006D01BF">
        <w:rPr>
          <w:lang w:val="fr-CH"/>
        </w:rPr>
        <w:t>43</w:t>
      </w:r>
      <w:r w:rsidRPr="006D01BF">
        <w:rPr>
          <w:rFonts w:hint="cs"/>
          <w:rtl/>
        </w:rPr>
        <w:t xml:space="preserve"> (المراج</w:t>
      </w:r>
      <w:r>
        <w:rPr>
          <w:rFonts w:hint="cs"/>
          <w:rtl/>
        </w:rPr>
        <w:t>َ</w:t>
      </w:r>
      <w:r w:rsidRPr="006D01BF">
        <w:rPr>
          <w:rFonts w:hint="cs"/>
          <w:rtl/>
        </w:rPr>
        <w:t>ع في دبي،</w:t>
      </w:r>
      <w:r w:rsidRPr="006D01BF">
        <w:rPr>
          <w:rFonts w:hint="eastAsia"/>
          <w:rtl/>
        </w:rPr>
        <w:t> </w:t>
      </w:r>
      <w:r w:rsidRPr="006D01BF">
        <w:rPr>
          <w:lang w:val="en-GB"/>
        </w:rPr>
        <w:t>2014</w:t>
      </w:r>
      <w:r w:rsidRPr="006D01BF">
        <w:rPr>
          <w:rFonts w:hint="cs"/>
          <w:rtl/>
        </w:rPr>
        <w:t>) الذي يكلف مدير مكتب تنمية الاتصالات، بالتعاون الوثيق مع مدير مكتب الاتصالات الراديوية، لمواصلة تشجيع ومساعدة البلدان النامية على تنفيذ أنظمة الاتصالات المتنقلة الدولية، وبتقديم المساعدة للإدارات في استعمال وتفسير توصيات الاتحاد المتعلقة بالاتصالات المتنقلة الدولية؛</w:t>
      </w:r>
    </w:p>
    <w:p w:rsidR="00755428" w:rsidRPr="0035495A" w:rsidRDefault="00755428" w:rsidP="00755428">
      <w:pPr>
        <w:spacing w:line="187" w:lineRule="auto"/>
        <w:rPr>
          <w:spacing w:val="-6"/>
          <w:rtl/>
        </w:rPr>
      </w:pPr>
      <w:r w:rsidRPr="0035495A">
        <w:rPr>
          <w:rFonts w:hint="cs"/>
          <w:i/>
          <w:iCs/>
          <w:spacing w:val="-6"/>
          <w:rtl/>
        </w:rPr>
        <w:t>ج)</w:t>
      </w:r>
      <w:r w:rsidRPr="0035495A">
        <w:rPr>
          <w:rFonts w:hint="cs"/>
          <w:spacing w:val="-6"/>
          <w:rtl/>
        </w:rPr>
        <w:tab/>
        <w:t xml:space="preserve">القرار </w:t>
      </w:r>
      <w:r w:rsidRPr="0035495A">
        <w:rPr>
          <w:b/>
          <w:bCs/>
          <w:spacing w:val="-6"/>
          <w:lang w:val="fr-CH"/>
        </w:rPr>
        <w:t>644 </w:t>
      </w:r>
      <w:r w:rsidRPr="0035495A">
        <w:rPr>
          <w:b/>
          <w:bCs/>
          <w:spacing w:val="-6"/>
          <w:lang w:val="en-GB"/>
        </w:rPr>
        <w:t>(Rev.WRC</w:t>
      </w:r>
      <w:r w:rsidRPr="0035495A">
        <w:rPr>
          <w:b/>
          <w:bCs/>
          <w:spacing w:val="-6"/>
          <w:lang w:val="fr-CH"/>
        </w:rPr>
        <w:noBreakHyphen/>
      </w:r>
      <w:r w:rsidRPr="0035495A">
        <w:rPr>
          <w:b/>
          <w:bCs/>
          <w:spacing w:val="-6"/>
          <w:lang w:val="en-GB"/>
        </w:rPr>
        <w:t>12)</w:t>
      </w:r>
      <w:r w:rsidRPr="0035495A">
        <w:rPr>
          <w:rFonts w:hint="cs"/>
          <w:spacing w:val="-6"/>
          <w:rtl/>
        </w:rPr>
        <w:t xml:space="preserve"> المتعلق بموارد الاتصالات الراديوية اللازمة للإنذار المبكر ولتخفيف عواقب الكوارث، ولعمليات</w:t>
      </w:r>
      <w:r w:rsidRPr="0035495A">
        <w:rPr>
          <w:rFonts w:hint="eastAsia"/>
          <w:spacing w:val="-6"/>
          <w:rtl/>
        </w:rPr>
        <w:t> </w:t>
      </w:r>
      <w:r w:rsidRPr="0035495A">
        <w:rPr>
          <w:rFonts w:hint="cs"/>
          <w:spacing w:val="-6"/>
          <w:rtl/>
        </w:rPr>
        <w:t>الإغاثة والقرار </w:t>
      </w:r>
      <w:r w:rsidRPr="0035495A">
        <w:rPr>
          <w:b/>
          <w:bCs/>
          <w:spacing w:val="-6"/>
          <w:lang w:val="en-GB"/>
        </w:rPr>
        <w:t>647 (WRC</w:t>
      </w:r>
      <w:r w:rsidRPr="0035495A">
        <w:rPr>
          <w:b/>
          <w:bCs/>
          <w:spacing w:val="-6"/>
          <w:lang w:val="en-GB"/>
        </w:rPr>
        <w:noBreakHyphen/>
        <w:t>12)</w:t>
      </w:r>
      <w:r w:rsidRPr="0035495A">
        <w:rPr>
          <w:rFonts w:hint="cs"/>
          <w:spacing w:val="-6"/>
          <w:rtl/>
        </w:rPr>
        <w:t xml:space="preserve"> بشأن المبادئ التوجيهية لإدارة الطيف من أجل اتصالات الطوارئ والإغاثة في</w:t>
      </w:r>
      <w:r w:rsidRPr="0035495A">
        <w:rPr>
          <w:rFonts w:hint="eastAsia"/>
          <w:spacing w:val="-6"/>
          <w:rtl/>
        </w:rPr>
        <w:t> </w:t>
      </w:r>
      <w:r w:rsidRPr="0035495A">
        <w:rPr>
          <w:rFonts w:hint="cs"/>
          <w:spacing w:val="-6"/>
          <w:rtl/>
        </w:rPr>
        <w:t>حالات الكوارث؛</w:t>
      </w:r>
    </w:p>
    <w:p w:rsidR="00755428" w:rsidRPr="006D01BF" w:rsidRDefault="00755428" w:rsidP="00755428">
      <w:pPr>
        <w:spacing w:line="187" w:lineRule="auto"/>
        <w:rPr>
          <w:rtl/>
        </w:rPr>
      </w:pPr>
      <w:r w:rsidRPr="006D01BF">
        <w:rPr>
          <w:rFonts w:hint="cs"/>
          <w:i/>
          <w:iCs/>
          <w:rtl/>
        </w:rPr>
        <w:t>د</w:t>
      </w:r>
      <w:r w:rsidRPr="006D01BF">
        <w:rPr>
          <w:rFonts w:hint="eastAsia"/>
          <w:i/>
          <w:iCs/>
          <w:rtl/>
        </w:rPr>
        <w:t> </w:t>
      </w:r>
      <w:r w:rsidRPr="006D01BF">
        <w:rPr>
          <w:rFonts w:hint="cs"/>
          <w:i/>
          <w:iCs/>
          <w:rtl/>
        </w:rPr>
        <w:t>)</w:t>
      </w:r>
      <w:r w:rsidRPr="006D01BF">
        <w:rPr>
          <w:rFonts w:hint="cs"/>
          <w:rtl/>
        </w:rPr>
        <w:tab/>
        <w:t xml:space="preserve">أن اتفاقية تامبيري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sidRPr="006D01BF">
        <w:rPr>
          <w:lang w:val="en-GB"/>
        </w:rPr>
        <w:t>(ICET</w:t>
      </w:r>
      <w:r w:rsidRPr="006D01BF">
        <w:rPr>
          <w:lang w:val="en-GB"/>
        </w:rPr>
        <w:noBreakHyphen/>
        <w:t>98)</w:t>
      </w:r>
      <w:r w:rsidRPr="006D01BF">
        <w:rPr>
          <w:rFonts w:hint="cs"/>
          <w:rtl/>
        </w:rPr>
        <w:t xml:space="preserve"> بدأ نفاذها في</w:t>
      </w:r>
      <w:r w:rsidRPr="006D01BF">
        <w:rPr>
          <w:rFonts w:hint="eastAsia"/>
          <w:rtl/>
        </w:rPr>
        <w:t> </w:t>
      </w:r>
      <w:r w:rsidRPr="006D01BF">
        <w:rPr>
          <w:lang w:val="fr-CH"/>
        </w:rPr>
        <w:t>8</w:t>
      </w:r>
      <w:r w:rsidRPr="006D01BF">
        <w:rPr>
          <w:rFonts w:hint="cs"/>
          <w:rtl/>
        </w:rPr>
        <w:t xml:space="preserve"> يناير</w:t>
      </w:r>
      <w:r w:rsidRPr="006D01BF">
        <w:rPr>
          <w:rFonts w:hint="eastAsia"/>
          <w:rtl/>
        </w:rPr>
        <w:t> </w:t>
      </w:r>
      <w:r w:rsidRPr="006D01BF">
        <w:rPr>
          <w:lang w:val="fr-CH"/>
        </w:rPr>
        <w:t>2005</w:t>
      </w:r>
      <w:r w:rsidRPr="006D01BF">
        <w:rPr>
          <w:rFonts w:hint="cs"/>
          <w:rtl/>
        </w:rPr>
        <w:t>،</w:t>
      </w:r>
    </w:p>
    <w:p w:rsidR="00755428" w:rsidRPr="006D01BF" w:rsidRDefault="00755428" w:rsidP="00755428">
      <w:pPr>
        <w:pStyle w:val="Call"/>
        <w:spacing w:line="187" w:lineRule="auto"/>
        <w:rPr>
          <w:rtl/>
        </w:rPr>
      </w:pPr>
      <w:r w:rsidRPr="006D01BF">
        <w:rPr>
          <w:rFonts w:hint="cs"/>
          <w:rtl/>
        </w:rPr>
        <w:t>وإذ تدرك</w:t>
      </w:r>
    </w:p>
    <w:p w:rsidR="00755428" w:rsidRPr="0035495A" w:rsidRDefault="00755428" w:rsidP="00755428">
      <w:pPr>
        <w:spacing w:line="187" w:lineRule="auto"/>
        <w:rPr>
          <w:rtl/>
        </w:rPr>
      </w:pPr>
      <w:r w:rsidRPr="0035495A">
        <w:rPr>
          <w:rFonts w:hint="eastAsia"/>
          <w:i/>
          <w:iCs/>
          <w:rtl/>
        </w:rPr>
        <w:t> </w:t>
      </w:r>
      <w:r w:rsidRPr="0035495A">
        <w:rPr>
          <w:rFonts w:hint="cs"/>
          <w:i/>
          <w:iCs/>
          <w:rtl/>
        </w:rPr>
        <w:t>أ</w:t>
      </w:r>
      <w:r w:rsidRPr="0035495A">
        <w:rPr>
          <w:rFonts w:hint="eastAsia"/>
          <w:i/>
          <w:iCs/>
          <w:rtl/>
        </w:rPr>
        <w:t> </w:t>
      </w:r>
      <w:r w:rsidRPr="0035495A">
        <w:rPr>
          <w:rFonts w:hint="cs"/>
          <w:i/>
          <w:iCs/>
          <w:rtl/>
        </w:rPr>
        <w:t>)</w:t>
      </w:r>
      <w:r w:rsidRPr="0035495A">
        <w:rPr>
          <w:rFonts w:hint="cs"/>
          <w:rtl/>
        </w:rPr>
        <w:tab/>
        <w:t>أنه عند وقوع الكوارث، تكون وكالات الإغاثة أول من يصل عادةً إلى مكان الكارثة حيث يستعملون أنظمة الاتصالات اليومية الخاصة بهم، بيد أن هناك وكالات ومنظمات أخرى يمكن أن تشارك أيضاً في هذه الجهود في</w:t>
      </w:r>
      <w:r w:rsidRPr="0035495A">
        <w:rPr>
          <w:rFonts w:hint="eastAsia"/>
          <w:rtl/>
        </w:rPr>
        <w:t> </w:t>
      </w:r>
      <w:r w:rsidRPr="0035495A">
        <w:rPr>
          <w:rFonts w:hint="cs"/>
          <w:rtl/>
        </w:rPr>
        <w:t>معظم الحالات؛</w:t>
      </w:r>
    </w:p>
    <w:p w:rsidR="00755428" w:rsidRPr="006D01BF" w:rsidRDefault="00755428" w:rsidP="00755428">
      <w:pPr>
        <w:spacing w:line="187" w:lineRule="auto"/>
        <w:rPr>
          <w:rtl/>
        </w:rPr>
      </w:pPr>
      <w:r w:rsidRPr="006D01BF">
        <w:rPr>
          <w:rFonts w:hint="cs"/>
          <w:i/>
          <w:iCs/>
          <w:rtl/>
        </w:rPr>
        <w:t>ب)</w:t>
      </w:r>
      <w:r w:rsidRPr="006D01BF">
        <w:rPr>
          <w:rFonts w:hint="cs"/>
          <w:rtl/>
        </w:rPr>
        <w:tab/>
        <w:t>أنه في وقت الكوارث، إذا ما لحق الدمار أو التلف بالشبكات المقامة على الأرض، قد تتاح شبكات أخرى في خدمة الهواة وخدمة الهواة الساتلية لتوفير إمكانات الاتصالات الأساسية في موقع الكارثة؛</w:t>
      </w:r>
    </w:p>
    <w:p w:rsidR="00755428" w:rsidRPr="000062A4" w:rsidRDefault="00755428" w:rsidP="00755428">
      <w:pPr>
        <w:spacing w:line="187" w:lineRule="auto"/>
        <w:rPr>
          <w:spacing w:val="6"/>
          <w:rtl/>
        </w:rPr>
      </w:pPr>
      <w:r w:rsidRPr="000062A4">
        <w:rPr>
          <w:rFonts w:hint="cs"/>
          <w:i/>
          <w:iCs/>
          <w:spacing w:val="6"/>
          <w:rtl/>
        </w:rPr>
        <w:t>ج)</w:t>
      </w:r>
      <w:r w:rsidRPr="000062A4">
        <w:rPr>
          <w:rFonts w:hint="cs"/>
          <w:spacing w:val="6"/>
          <w:rtl/>
        </w:rPr>
        <w:tab/>
        <w:t>أن من بين السمات الهامة لخدمات الهواة وجود محطات منتشرة في جميع أرجاء العالم يقوم عليها مشغلون مدربون على</w:t>
      </w:r>
      <w:r w:rsidRPr="000062A4">
        <w:rPr>
          <w:rFonts w:hint="eastAsia"/>
          <w:spacing w:val="6"/>
          <w:rtl/>
        </w:rPr>
        <w:t> </w:t>
      </w:r>
      <w:r w:rsidRPr="000062A4">
        <w:rPr>
          <w:rFonts w:hint="cs"/>
          <w:spacing w:val="6"/>
          <w:rtl/>
        </w:rPr>
        <w:t>أجهزة الراديو بمقدورهم إعادة تشكيل الشبكات للوفاء بالاحتياجات المحددة لأي حالة من حالات الطوارئ،</w:t>
      </w:r>
    </w:p>
    <w:p w:rsidR="00755428" w:rsidRPr="006D01BF" w:rsidRDefault="00755428" w:rsidP="00755428">
      <w:pPr>
        <w:pStyle w:val="Call"/>
        <w:spacing w:line="187" w:lineRule="auto"/>
        <w:rPr>
          <w:rtl/>
        </w:rPr>
      </w:pPr>
      <w:r w:rsidRPr="006D01BF">
        <w:rPr>
          <w:rFonts w:hint="cs"/>
          <w:rtl/>
        </w:rPr>
        <w:t xml:space="preserve">تقـرر </w:t>
      </w:r>
      <w:r w:rsidRPr="00454DC4">
        <w:rPr>
          <w:rFonts w:hint="cs"/>
          <w:i w:val="0"/>
          <w:iCs w:val="0"/>
          <w:rtl/>
        </w:rPr>
        <w:t>طرح المسألة التالية للدراسة</w:t>
      </w:r>
    </w:p>
    <w:p w:rsidR="00755428" w:rsidRPr="006D01BF" w:rsidRDefault="00755428" w:rsidP="00755428">
      <w:pPr>
        <w:spacing w:line="187" w:lineRule="auto"/>
        <w:rPr>
          <w:i/>
          <w:rtl/>
        </w:rPr>
      </w:pPr>
      <w:r w:rsidRPr="006D01BF">
        <w:rPr>
          <w:rFonts w:hint="cs"/>
          <w:i/>
          <w:rtl/>
        </w:rPr>
        <w:t>ما هي التقنية والتشغيلية وما يتصل بها من جوانب إجرائية للخدمة المتنقلة وخدمتي الهواة والهواة الساتلية لدعم وتحسين الإنذار بالكوارث والتخفيف من آثارها ومن أجل عمليات</w:t>
      </w:r>
      <w:r w:rsidRPr="006D01BF">
        <w:rPr>
          <w:rFonts w:hint="eastAsia"/>
          <w:rtl/>
        </w:rPr>
        <w:t> </w:t>
      </w:r>
      <w:r w:rsidRPr="006D01BF">
        <w:rPr>
          <w:rFonts w:hint="cs"/>
          <w:i/>
          <w:rtl/>
        </w:rPr>
        <w:t>الإغاثة؟</w:t>
      </w:r>
    </w:p>
    <w:p w:rsidR="00755428" w:rsidRPr="006D01BF" w:rsidRDefault="00755428" w:rsidP="00755428">
      <w:pPr>
        <w:pStyle w:val="Call"/>
        <w:spacing w:line="187" w:lineRule="auto"/>
        <w:rPr>
          <w:rtl/>
        </w:rPr>
      </w:pPr>
      <w:r w:rsidRPr="006D01BF">
        <w:rPr>
          <w:rFonts w:hint="cs"/>
          <w:rtl/>
        </w:rPr>
        <w:t>تقرر كذلك</w:t>
      </w:r>
    </w:p>
    <w:p w:rsidR="00755428" w:rsidRPr="006D01BF" w:rsidRDefault="00755428" w:rsidP="00755428">
      <w:pPr>
        <w:spacing w:line="187" w:lineRule="auto"/>
        <w:rPr>
          <w:rtl/>
        </w:rPr>
      </w:pPr>
      <w:r w:rsidRPr="006D01BF">
        <w:rPr>
          <w:lang w:val="fr-CH"/>
        </w:rPr>
        <w:t>1</w:t>
      </w:r>
      <w:r w:rsidRPr="006D01BF">
        <w:rPr>
          <w:rFonts w:hint="cs"/>
          <w:rtl/>
        </w:rPr>
        <w:tab/>
        <w:t>إدراج نتائج الدراسات سالفة الذكر في توصية أو تقرير أو كتيب أو أكثر؛</w:t>
      </w:r>
    </w:p>
    <w:p w:rsidR="00755428" w:rsidRPr="006D01BF" w:rsidRDefault="00755428" w:rsidP="00755428">
      <w:pPr>
        <w:spacing w:line="187" w:lineRule="auto"/>
        <w:rPr>
          <w:lang w:val="fr-CH"/>
        </w:rPr>
      </w:pPr>
      <w:r w:rsidRPr="006D01BF">
        <w:rPr>
          <w:lang w:val="fr-CH"/>
        </w:rPr>
        <w:t>2</w:t>
      </w:r>
      <w:r w:rsidRPr="006D01BF">
        <w:rPr>
          <w:rFonts w:hint="cs"/>
          <w:rtl/>
        </w:rPr>
        <w:tab/>
        <w:t>ضرورة إنجاز الدراسات سالفة الذكر بحلول عام</w:t>
      </w:r>
      <w:r w:rsidRPr="006D01BF">
        <w:rPr>
          <w:rFonts w:hint="eastAsia"/>
          <w:rtl/>
        </w:rPr>
        <w:t> </w:t>
      </w:r>
      <w:r w:rsidRPr="006D01BF">
        <w:rPr>
          <w:lang w:val="fr-CH"/>
        </w:rPr>
        <w:t>2019</w:t>
      </w:r>
      <w:r w:rsidRPr="006D01BF">
        <w:rPr>
          <w:rFonts w:hint="cs"/>
          <w:rtl/>
        </w:rPr>
        <w:t>؛</w:t>
      </w:r>
    </w:p>
    <w:p w:rsidR="00755428" w:rsidRPr="006D01BF" w:rsidRDefault="00755428" w:rsidP="00755428">
      <w:pPr>
        <w:spacing w:line="187" w:lineRule="auto"/>
        <w:rPr>
          <w:rtl/>
        </w:rPr>
      </w:pPr>
      <w:r w:rsidRPr="006D01BF">
        <w:rPr>
          <w:lang w:val="fr-CH"/>
        </w:rPr>
        <w:t>3</w:t>
      </w:r>
      <w:r w:rsidRPr="006D01BF">
        <w:rPr>
          <w:rFonts w:hint="cs"/>
          <w:rtl/>
        </w:rPr>
        <w:tab/>
        <w:t>ضرورة تنسيق الدراسات المذكورة أعلاه مع القطاعين</w:t>
      </w:r>
      <w:r w:rsidRPr="006D01BF">
        <w:rPr>
          <w:rFonts w:hint="eastAsia"/>
          <w:rtl/>
        </w:rPr>
        <w:t> </w:t>
      </w:r>
      <w:r w:rsidRPr="006D01BF">
        <w:rPr>
          <w:rFonts w:hint="cs"/>
          <w:rtl/>
        </w:rPr>
        <w:t>الآخرين.</w:t>
      </w:r>
    </w:p>
    <w:p w:rsidR="00CC001C" w:rsidRDefault="00755428" w:rsidP="00755428">
      <w:pPr>
        <w:spacing w:before="240"/>
      </w:pPr>
      <w:r w:rsidRPr="006D01BF">
        <w:rPr>
          <w:rFonts w:hint="cs"/>
          <w:rtl/>
        </w:rPr>
        <w:t xml:space="preserve">الفئة: </w:t>
      </w:r>
      <w:r w:rsidRPr="006D01BF">
        <w:rPr>
          <w:lang w:val="fr-CH"/>
        </w:rPr>
        <w:t>S2</w:t>
      </w:r>
    </w:p>
    <w:sectPr w:rsidR="00CC001C" w:rsidSect="00755428">
      <w:pgSz w:w="11906" w:h="16838" w:code="9"/>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28"/>
    <w:rsid w:val="00755428"/>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1CAC6-B221-40D6-83F8-EF73152E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42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755428"/>
    <w:pPr>
      <w:keepNext/>
      <w:spacing w:before="160"/>
      <w:ind w:left="1588" w:hanging="794"/>
    </w:pPr>
    <w:rPr>
      <w:i/>
      <w:iCs/>
    </w:rPr>
  </w:style>
  <w:style w:type="paragraph" w:styleId="Date">
    <w:name w:val="Date"/>
    <w:basedOn w:val="Normal"/>
    <w:next w:val="Normal"/>
    <w:link w:val="DateChar"/>
    <w:uiPriority w:val="99"/>
    <w:unhideWhenUsed/>
    <w:rsid w:val="00755428"/>
    <w:pPr>
      <w:keepNext/>
      <w:spacing w:after="120"/>
      <w:jc w:val="right"/>
    </w:pPr>
  </w:style>
  <w:style w:type="character" w:customStyle="1" w:styleId="DateChar">
    <w:name w:val="Date Char"/>
    <w:basedOn w:val="DefaultParagraphFont"/>
    <w:link w:val="Date"/>
    <w:uiPriority w:val="99"/>
    <w:rsid w:val="00755428"/>
    <w:rPr>
      <w:rFonts w:ascii="Calibri" w:hAnsi="Calibri" w:cs="Traditional Arabic"/>
      <w:szCs w:val="30"/>
      <w:lang w:val="en-US"/>
    </w:rPr>
  </w:style>
  <w:style w:type="paragraph" w:customStyle="1" w:styleId="Normalaftertitle">
    <w:name w:val="Normal after title"/>
    <w:basedOn w:val="Normal"/>
    <w:qFormat/>
    <w:rsid w:val="00755428"/>
    <w:pPr>
      <w:keepNext/>
      <w:spacing w:before="360"/>
    </w:pPr>
    <w:rPr>
      <w:lang w:bidi="ar-SY"/>
    </w:rPr>
  </w:style>
  <w:style w:type="paragraph" w:customStyle="1" w:styleId="QuestionNo">
    <w:name w:val="Question_No"/>
    <w:basedOn w:val="Normal"/>
    <w:qFormat/>
    <w:rsid w:val="00755428"/>
    <w:pPr>
      <w:keepNext/>
      <w:keepLines/>
      <w:spacing w:before="360" w:after="120"/>
      <w:jc w:val="center"/>
    </w:pPr>
    <w:rPr>
      <w:sz w:val="26"/>
      <w:szCs w:val="36"/>
    </w:rPr>
  </w:style>
  <w:style w:type="paragraph" w:customStyle="1" w:styleId="QuestionTitle">
    <w:name w:val="Question_Title"/>
    <w:basedOn w:val="QuestionNo"/>
    <w:qFormat/>
    <w:rsid w:val="00755428"/>
    <w:pPr>
      <w:spacing w:before="120" w:after="360"/>
    </w:pPr>
    <w:rPr>
      <w:b/>
      <w:bCs/>
      <w:sz w:val="28"/>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1774</Characters>
  <Application>Microsoft Office Word</Application>
  <DocSecurity>0</DocSecurity>
  <Lines>14</Lines>
  <Paragraphs>4</Paragraphs>
  <ScaleCrop>false</ScaleCrop>
  <Company>ITU</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2015-10-13T07:21:00Z</dcterms:created>
  <dcterms:modified xsi:type="dcterms:W3CDTF">2015-10-13T07:23:00Z</dcterms:modified>
</cp:coreProperties>
</file>