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D63D" w14:textId="77777777" w:rsidR="00A802EF" w:rsidRDefault="00A802EF" w:rsidP="00A802EF">
      <w:pPr>
        <w:pStyle w:val="QuestionNoBR"/>
        <w:tabs>
          <w:tab w:val="clear" w:pos="794"/>
          <w:tab w:val="left" w:pos="1134"/>
        </w:tabs>
      </w:pPr>
      <w:r>
        <w:t>QUESTION ITU-R 212-4/5</w:t>
      </w:r>
      <w:r>
        <w:rPr>
          <w:rStyle w:val="FootnoteReference"/>
        </w:rPr>
        <w:footnoteReference w:customMarkFollows="1" w:id="1"/>
        <w:t>*</w:t>
      </w:r>
      <w:r w:rsidR="00E256BB" w:rsidRPr="00E256BB">
        <w:rPr>
          <w:vertAlign w:val="superscript"/>
        </w:rPr>
        <w:t>,</w:t>
      </w:r>
      <w:r w:rsidR="00E256BB">
        <w:rPr>
          <w:vertAlign w:val="superscript"/>
        </w:rPr>
        <w:t xml:space="preserve"> </w:t>
      </w:r>
      <w:r w:rsidR="00E256BB" w:rsidRPr="0021199D">
        <w:rPr>
          <w:rStyle w:val="FootnoteReference"/>
        </w:rPr>
        <w:footnoteReference w:customMarkFollows="1" w:id="2"/>
        <w:t>**</w:t>
      </w:r>
    </w:p>
    <w:p w14:paraId="151BC5F8" w14:textId="77777777" w:rsidR="00A802EF" w:rsidRDefault="00A802EF" w:rsidP="00A802EF">
      <w:pPr>
        <w:pStyle w:val="Title4"/>
        <w:spacing w:before="360"/>
      </w:pPr>
      <w:r>
        <w:t>Nomadic wireless access systems including radio local area networks</w:t>
      </w:r>
    </w:p>
    <w:p w14:paraId="65866C78" w14:textId="77777777" w:rsidR="00A802EF" w:rsidRDefault="00A802EF" w:rsidP="00A802EF">
      <w:pPr>
        <w:pStyle w:val="Questiondate"/>
        <w:spacing w:before="240"/>
      </w:pPr>
      <w:r>
        <w:t>(1995-1998-2000-2007-2012)</w:t>
      </w:r>
    </w:p>
    <w:p w14:paraId="70FC2C54" w14:textId="77777777" w:rsidR="00A802EF" w:rsidRDefault="00A802EF" w:rsidP="00A802EF">
      <w:pPr>
        <w:pStyle w:val="Normalaftertitle0"/>
        <w:ind w:right="-676"/>
      </w:pPr>
      <w:r>
        <w:t>The ITU Radiocommunication Assembly,</w:t>
      </w:r>
    </w:p>
    <w:p w14:paraId="153D9292" w14:textId="77777777" w:rsidR="00A802EF" w:rsidRDefault="00A802EF" w:rsidP="00A802EF">
      <w:pPr>
        <w:pStyle w:val="Call"/>
      </w:pPr>
      <w:r>
        <w:t>considering</w:t>
      </w:r>
    </w:p>
    <w:p w14:paraId="762CAED9" w14:textId="77777777" w:rsidR="00A802EF" w:rsidRDefault="00A802EF" w:rsidP="00A802EF">
      <w:r>
        <w:rPr>
          <w:i/>
          <w:iCs/>
        </w:rPr>
        <w:t>a)</w:t>
      </w:r>
      <w:r>
        <w:tab/>
        <w:t>that there is a need to provide effective communication for moveable, portable and mobile computer based equipment not only within the workplace but also in many public spaces;</w:t>
      </w:r>
    </w:p>
    <w:p w14:paraId="2B3CA36F" w14:textId="77777777" w:rsidR="00A802EF" w:rsidRDefault="00A802EF" w:rsidP="00A802EF">
      <w:r>
        <w:rPr>
          <w:i/>
          <w:iCs/>
        </w:rPr>
        <w:t>b)</w:t>
      </w:r>
      <w:r>
        <w:tab/>
        <w:t>that ITU-R has defined nomadic wireless access in Recommendation ITU</w:t>
      </w:r>
      <w:r>
        <w:noBreakHyphen/>
        <w:t xml:space="preserve">R F.1399 on vocabulary of terms for wireless access; </w:t>
      </w:r>
    </w:p>
    <w:p w14:paraId="5056A2AE" w14:textId="77777777" w:rsidR="00A802EF" w:rsidRDefault="00A802EF" w:rsidP="00A802EF">
      <w:r>
        <w:rPr>
          <w:i/>
          <w:iCs/>
        </w:rPr>
        <w:t>c)</w:t>
      </w:r>
      <w:r>
        <w:tab/>
        <w:t>that it is desirable to identify operational and technical characteristics for nomadic wireless access (NWA) systems including radio local area networks (RLAN) applications;</w:t>
      </w:r>
    </w:p>
    <w:p w14:paraId="26ABC062" w14:textId="77777777" w:rsidR="00A802EF" w:rsidRDefault="00A802EF" w:rsidP="00A802EF">
      <w:r>
        <w:rPr>
          <w:i/>
          <w:iCs/>
        </w:rPr>
        <w:t>d)</w:t>
      </w:r>
      <w:r>
        <w:tab/>
        <w:t>that NWA systems including RLANs use frequency allocations designated for fixed and/or mobile services dependant on the application;</w:t>
      </w:r>
    </w:p>
    <w:p w14:paraId="26003AE8" w14:textId="77777777" w:rsidR="00A802EF" w:rsidRDefault="00A802EF" w:rsidP="00A802EF">
      <w:r>
        <w:rPr>
          <w:i/>
          <w:iCs/>
        </w:rPr>
        <w:t>e)</w:t>
      </w:r>
      <w:r>
        <w:tab/>
        <w:t>that there are RLANs currently in operation and also in development for operation in various frequency bands (e.g. the frequency bands used for ISM applications);</w:t>
      </w:r>
    </w:p>
    <w:p w14:paraId="71E09ECF" w14:textId="77777777" w:rsidR="00A802EF" w:rsidRDefault="00A802EF" w:rsidP="00A802EF">
      <w:r>
        <w:rPr>
          <w:i/>
          <w:iCs/>
        </w:rPr>
        <w:t>f)</w:t>
      </w:r>
      <w:r>
        <w:tab/>
        <w:t>that in the broadband wired networks basic signal transfer methods based on and internet protocol (IP) are in use;</w:t>
      </w:r>
    </w:p>
    <w:p w14:paraId="513964CF" w14:textId="77777777" w:rsidR="00A802EF" w:rsidRDefault="00A802EF" w:rsidP="00A802EF">
      <w:r>
        <w:rPr>
          <w:i/>
          <w:iCs/>
        </w:rPr>
        <w:t>g)</w:t>
      </w:r>
      <w:r>
        <w:tab/>
        <w:t>that the IP-based LAN using the high clock frequency may impact the design of NWA systems including RLANs as well as utilization of the radio-frequency spectrum;</w:t>
      </w:r>
    </w:p>
    <w:p w14:paraId="21DD2B8C" w14:textId="77777777" w:rsidR="00A802EF" w:rsidRDefault="00A802EF" w:rsidP="00A802EF">
      <w:r>
        <w:rPr>
          <w:i/>
          <w:iCs/>
        </w:rPr>
        <w:t>h)</w:t>
      </w:r>
      <w:r>
        <w:tab/>
        <w:t>that there is a need to identify appropriate frequency bands for NWA systems;</w:t>
      </w:r>
    </w:p>
    <w:p w14:paraId="3CDC653D" w14:textId="77777777" w:rsidR="00A802EF" w:rsidRDefault="00A802EF" w:rsidP="00A802EF">
      <w:r>
        <w:rPr>
          <w:i/>
          <w:iCs/>
        </w:rPr>
        <w:t>i)</w:t>
      </w:r>
      <w:r>
        <w:tab/>
        <w:t>that technical constraints on NWA systems including RLANs may be needed to facilitate sharing with other services;</w:t>
      </w:r>
    </w:p>
    <w:p w14:paraId="6E24A4A8" w14:textId="77777777" w:rsidR="00A802EF" w:rsidRDefault="00A802EF" w:rsidP="00A802EF">
      <w:r>
        <w:rPr>
          <w:i/>
          <w:iCs/>
        </w:rPr>
        <w:t>j)</w:t>
      </w:r>
      <w:r>
        <w:tab/>
        <w:t>that the standardization works of NWA systems including RLANs concerning architecture, technical features and spectrum needs are being studied by regional standardization bodies,</w:t>
      </w:r>
    </w:p>
    <w:p w14:paraId="0ECDB686" w14:textId="77777777" w:rsidR="00A802EF" w:rsidRDefault="00A802EF" w:rsidP="00A802EF">
      <w:pPr>
        <w:pStyle w:val="Call"/>
        <w:rPr>
          <w:i w:val="0"/>
          <w:iCs/>
        </w:rPr>
      </w:pPr>
      <w:r>
        <w:t>decides</w:t>
      </w:r>
      <w:r>
        <w:rPr>
          <w:i w:val="0"/>
          <w:iCs/>
        </w:rPr>
        <w:t xml:space="preserve"> that the following Questions should be studied</w:t>
      </w:r>
    </w:p>
    <w:p w14:paraId="04DFDEF7" w14:textId="77777777" w:rsidR="00A802EF" w:rsidRDefault="00A802EF" w:rsidP="00A802EF">
      <w:r>
        <w:t>1</w:t>
      </w:r>
      <w:r>
        <w:tab/>
        <w:t>What are the operational and technical requirements of NWA systems?</w:t>
      </w:r>
    </w:p>
    <w:p w14:paraId="1B796A9F" w14:textId="77777777" w:rsidR="00A802EF" w:rsidRDefault="00A802EF" w:rsidP="00A802EF">
      <w:r>
        <w:t>2</w:t>
      </w:r>
      <w:r>
        <w:tab/>
        <w:t>What specifications may be recommended for NWA systems?</w:t>
      </w:r>
    </w:p>
    <w:p w14:paraId="1BFC14C7" w14:textId="77777777" w:rsidR="00A802EF" w:rsidRDefault="00A802EF" w:rsidP="00A802EF">
      <w:r>
        <w:t>3</w:t>
      </w:r>
      <w:r>
        <w:tab/>
        <w:t>What are the relationships of NWA systems including those based on IP with other radio systems to provide for multiple system operation?</w:t>
      </w:r>
    </w:p>
    <w:p w14:paraId="30B5E6EB" w14:textId="77777777" w:rsidR="00A802EF" w:rsidRDefault="00A802EF" w:rsidP="00A802EF">
      <w:pPr>
        <w:rPr>
          <w:b/>
        </w:rPr>
      </w:pPr>
      <w:r>
        <w:lastRenderedPageBreak/>
        <w:t>4</w:t>
      </w:r>
      <w:r>
        <w:tab/>
        <w:t>What types of system techniques, including multi-hop rel</w:t>
      </w:r>
      <w:r>
        <w:rPr>
          <w:lang w:eastAsia="ja-JP"/>
        </w:rPr>
        <w:t>a</w:t>
      </w:r>
      <w:r>
        <w:t>y stations, provide for reliable area coverage for NWA applications?</w:t>
      </w:r>
    </w:p>
    <w:p w14:paraId="4D6889EE" w14:textId="77777777" w:rsidR="00A802EF" w:rsidRDefault="00A802EF" w:rsidP="00A802EF">
      <w:r>
        <w:t>5</w:t>
      </w:r>
      <w:r>
        <w:rPr>
          <w:b/>
        </w:rPr>
        <w:tab/>
      </w:r>
      <w:r>
        <w:t>What are the frequency sharing or compatibility criteria between NWA systems including RLANs and other radio services?</w:t>
      </w:r>
    </w:p>
    <w:p w14:paraId="3E805105" w14:textId="77777777" w:rsidR="00A802EF" w:rsidRDefault="00A802EF" w:rsidP="00A802EF">
      <w:r>
        <w:t>6</w:t>
      </w:r>
      <w:r>
        <w:tab/>
        <w:t>What frequency bands are suitable for operation of NWA systems including RLANs considering the required operational and technical characteristics, and sharing compatibility with other services?</w:t>
      </w:r>
    </w:p>
    <w:p w14:paraId="5BB0F353" w14:textId="77777777" w:rsidR="00A802EF" w:rsidRDefault="00A802EF" w:rsidP="00A802EF">
      <w:r>
        <w:t>7</w:t>
      </w:r>
      <w:r>
        <w:tab/>
        <w:t>What amount of frequency spectrum is needed for NWA systems in particular for broadband applications higher than 10 Mbit/s ensuring wireless access from public spaces?</w:t>
      </w:r>
    </w:p>
    <w:p w14:paraId="2E738E12" w14:textId="77777777" w:rsidR="00A802EF" w:rsidRDefault="00A802EF" w:rsidP="00A802EF">
      <w:pPr>
        <w:pStyle w:val="Call"/>
      </w:pPr>
      <w:r>
        <w:t>further decides</w:t>
      </w:r>
    </w:p>
    <w:p w14:paraId="221E16FE" w14:textId="77777777" w:rsidR="00A802EF" w:rsidRDefault="00A802EF" w:rsidP="00A802EF">
      <w:r>
        <w:t>1</w:t>
      </w:r>
      <w:r>
        <w:tab/>
        <w:t>that the results of the above studies should be included in one or more Recommendations,</w:t>
      </w:r>
      <w:r>
        <w:rPr>
          <w:color w:val="000000"/>
        </w:rPr>
        <w:t xml:space="preserve"> Reports, or Handbooks</w:t>
      </w:r>
      <w:r>
        <w:t>;</w:t>
      </w:r>
    </w:p>
    <w:p w14:paraId="7764C891" w14:textId="56BDCC4C" w:rsidR="00A802EF" w:rsidRDefault="00A802EF" w:rsidP="00A802EF">
      <w:r>
        <w:t>2</w:t>
      </w:r>
      <w:r>
        <w:tab/>
        <w:t>the above studies should be completed by 20</w:t>
      </w:r>
      <w:r w:rsidR="001375D5">
        <w:t>2</w:t>
      </w:r>
      <w:r w:rsidR="00C17850">
        <w:t>7</w:t>
      </w:r>
      <w:r>
        <w:t>.</w:t>
      </w:r>
    </w:p>
    <w:p w14:paraId="706F48A7" w14:textId="77777777" w:rsidR="00A802EF" w:rsidRDefault="00A802EF" w:rsidP="00A802EF">
      <w:pPr>
        <w:spacing w:before="240"/>
        <w:rPr>
          <w:lang w:eastAsia="ja-JP"/>
        </w:rPr>
      </w:pPr>
      <w:r>
        <w:rPr>
          <w:lang w:eastAsia="ja-JP"/>
        </w:rPr>
        <w:t>Category: S2</w:t>
      </w:r>
    </w:p>
    <w:sectPr w:rsidR="00A802EF" w:rsidSect="002F667E">
      <w:headerReference w:type="defaul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D384" w14:textId="77777777" w:rsidR="00CD3A82" w:rsidRDefault="00CD3A82">
      <w:r>
        <w:separator/>
      </w:r>
    </w:p>
  </w:endnote>
  <w:endnote w:type="continuationSeparator" w:id="0">
    <w:p w14:paraId="16C43F36" w14:textId="77777777" w:rsidR="00CD3A82" w:rsidRDefault="00C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10BF" w14:textId="77777777" w:rsidR="00CD3A82" w:rsidRDefault="00CD3A82">
      <w:r>
        <w:t>____________________</w:t>
      </w:r>
    </w:p>
  </w:footnote>
  <w:footnote w:type="continuationSeparator" w:id="0">
    <w:p w14:paraId="050094DE" w14:textId="77777777" w:rsidR="00CD3A82" w:rsidRDefault="00CD3A82">
      <w:r>
        <w:continuationSeparator/>
      </w:r>
    </w:p>
  </w:footnote>
  <w:footnote w:id="1">
    <w:p w14:paraId="6900DF18" w14:textId="77777777" w:rsidR="0071274D" w:rsidRDefault="0071274D" w:rsidP="00A802EF">
      <w:pPr>
        <w:pStyle w:val="FootnoteText"/>
        <w:tabs>
          <w:tab w:val="clear" w:pos="255"/>
          <w:tab w:val="left" w:pos="284"/>
        </w:tabs>
      </w:pPr>
      <w:r>
        <w:rPr>
          <w:rStyle w:val="FootnoteReference"/>
        </w:rPr>
        <w:t>*</w:t>
      </w:r>
      <w:r>
        <w:tab/>
        <w:t>This Question should be brought to the attention of Radiocommunication Study Groups 1, 4</w:t>
      </w:r>
      <w:r>
        <w:rPr>
          <w:szCs w:val="24"/>
        </w:rPr>
        <w:t xml:space="preserve"> and</w:t>
      </w:r>
      <w:r>
        <w:rPr>
          <w:sz w:val="22"/>
        </w:rPr>
        <w:t> </w:t>
      </w:r>
      <w:r>
        <w:t>7, and to the Telecommunication Standardization Sector.</w:t>
      </w:r>
    </w:p>
  </w:footnote>
  <w:footnote w:id="2">
    <w:p w14:paraId="617B8298" w14:textId="5AD743B8" w:rsidR="00E256BB" w:rsidRPr="00E256BB" w:rsidRDefault="00E256BB" w:rsidP="00E256BB">
      <w:pPr>
        <w:pStyle w:val="FootnoteText"/>
        <w:rPr>
          <w:lang w:val="en-US"/>
        </w:rPr>
      </w:pPr>
      <w:r>
        <w:rPr>
          <w:rStyle w:val="FootnoteReference"/>
        </w:rPr>
        <w:t>**</w:t>
      </w:r>
      <w:r>
        <w:t xml:space="preserve"> </w:t>
      </w:r>
      <w:r>
        <w:rPr>
          <w:lang w:val="en-US"/>
        </w:rPr>
        <w:tab/>
      </w:r>
      <w:r>
        <w:rPr>
          <w:rFonts w:eastAsia="Arial Unicode MS"/>
        </w:rPr>
        <w:t>In the year 201</w:t>
      </w:r>
      <w:r w:rsidR="001375D5">
        <w:rPr>
          <w:rFonts w:eastAsia="Arial Unicode MS"/>
        </w:rPr>
        <w:t>9</w:t>
      </w:r>
      <w:r>
        <w:rPr>
          <w:rFonts w:eastAsia="Arial Unicode MS"/>
        </w:rPr>
        <w:t xml:space="preserve">, Radiocommunication Study Group 5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F574" w14:textId="77777777" w:rsidR="0071274D" w:rsidRPr="00802F19" w:rsidRDefault="0071274D" w:rsidP="00330567">
    <w:pPr>
      <w:pStyle w:val="Header"/>
      <w:rPr>
        <w:rStyle w:val="PageNumber"/>
        <w:lang w:val="pt-BR"/>
      </w:rPr>
    </w:pPr>
    <w:r w:rsidRPr="00802F19">
      <w:rPr>
        <w:lang w:val="pt-BR"/>
      </w:rPr>
      <w:t xml:space="preserve">- </w:t>
    </w:r>
    <w:r>
      <w:rPr>
        <w:rStyle w:val="PageNumber"/>
      </w:rPr>
      <w:fldChar w:fldCharType="begin"/>
    </w:r>
    <w:r w:rsidRPr="00802F19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21199D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  <w:r w:rsidRPr="00802F19">
      <w:rPr>
        <w:rStyle w:val="PageNumber"/>
        <w:lang w:val="pt-B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269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D26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CA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48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2A2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4CA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A9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60B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C9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9C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C0553"/>
    <w:multiLevelType w:val="hybridMultilevel"/>
    <w:tmpl w:val="7D164AE8"/>
    <w:lvl w:ilvl="0" w:tplc="6F1A998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438617">
    <w:abstractNumId w:val="10"/>
  </w:num>
  <w:num w:numId="2" w16cid:durableId="222639707">
    <w:abstractNumId w:val="9"/>
  </w:num>
  <w:num w:numId="3" w16cid:durableId="945311967">
    <w:abstractNumId w:val="7"/>
  </w:num>
  <w:num w:numId="4" w16cid:durableId="958608392">
    <w:abstractNumId w:val="6"/>
  </w:num>
  <w:num w:numId="5" w16cid:durableId="1160925391">
    <w:abstractNumId w:val="5"/>
  </w:num>
  <w:num w:numId="6" w16cid:durableId="1227836029">
    <w:abstractNumId w:val="4"/>
  </w:num>
  <w:num w:numId="7" w16cid:durableId="338044903">
    <w:abstractNumId w:val="8"/>
  </w:num>
  <w:num w:numId="8" w16cid:durableId="794445855">
    <w:abstractNumId w:val="3"/>
  </w:num>
  <w:num w:numId="9" w16cid:durableId="1448088466">
    <w:abstractNumId w:val="2"/>
  </w:num>
  <w:num w:numId="10" w16cid:durableId="32341695">
    <w:abstractNumId w:val="1"/>
  </w:num>
  <w:num w:numId="11" w16cid:durableId="28967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A2"/>
    <w:rsid w:val="000069D4"/>
    <w:rsid w:val="000174AD"/>
    <w:rsid w:val="000A7D55"/>
    <w:rsid w:val="000B2827"/>
    <w:rsid w:val="000C2E8E"/>
    <w:rsid w:val="000D53E2"/>
    <w:rsid w:val="000E0E7C"/>
    <w:rsid w:val="000F1B4B"/>
    <w:rsid w:val="0012744F"/>
    <w:rsid w:val="001279F0"/>
    <w:rsid w:val="001375D5"/>
    <w:rsid w:val="00156F66"/>
    <w:rsid w:val="00163271"/>
    <w:rsid w:val="00182528"/>
    <w:rsid w:val="0018500B"/>
    <w:rsid w:val="00196A19"/>
    <w:rsid w:val="001A203E"/>
    <w:rsid w:val="001C48A2"/>
    <w:rsid w:val="001E52D7"/>
    <w:rsid w:val="00202DC1"/>
    <w:rsid w:val="002116EE"/>
    <w:rsid w:val="0021199D"/>
    <w:rsid w:val="002309D8"/>
    <w:rsid w:val="00236078"/>
    <w:rsid w:val="0025530D"/>
    <w:rsid w:val="00261739"/>
    <w:rsid w:val="002916C9"/>
    <w:rsid w:val="002927F9"/>
    <w:rsid w:val="00296CAF"/>
    <w:rsid w:val="002A7DFB"/>
    <w:rsid w:val="002A7FE2"/>
    <w:rsid w:val="002E1B4F"/>
    <w:rsid w:val="002F2E67"/>
    <w:rsid w:val="002F667E"/>
    <w:rsid w:val="002F7CB3"/>
    <w:rsid w:val="00315546"/>
    <w:rsid w:val="00330567"/>
    <w:rsid w:val="00386A9D"/>
    <w:rsid w:val="00391081"/>
    <w:rsid w:val="003A04D7"/>
    <w:rsid w:val="003B2789"/>
    <w:rsid w:val="003C13CE"/>
    <w:rsid w:val="003E2518"/>
    <w:rsid w:val="003E7CEF"/>
    <w:rsid w:val="00400EDC"/>
    <w:rsid w:val="00413041"/>
    <w:rsid w:val="004252C1"/>
    <w:rsid w:val="00464312"/>
    <w:rsid w:val="004B1EF7"/>
    <w:rsid w:val="004B3FAD"/>
    <w:rsid w:val="004B6956"/>
    <w:rsid w:val="00501DCA"/>
    <w:rsid w:val="00513A47"/>
    <w:rsid w:val="005408DF"/>
    <w:rsid w:val="00554EFE"/>
    <w:rsid w:val="00573344"/>
    <w:rsid w:val="00583F9B"/>
    <w:rsid w:val="00584E94"/>
    <w:rsid w:val="005E3495"/>
    <w:rsid w:val="005E5C10"/>
    <w:rsid w:val="005F2C78"/>
    <w:rsid w:val="00600EEC"/>
    <w:rsid w:val="006144E4"/>
    <w:rsid w:val="00650299"/>
    <w:rsid w:val="00655FC5"/>
    <w:rsid w:val="00660564"/>
    <w:rsid w:val="0071274D"/>
    <w:rsid w:val="00731C0A"/>
    <w:rsid w:val="00733272"/>
    <w:rsid w:val="007474F1"/>
    <w:rsid w:val="00753276"/>
    <w:rsid w:val="00763D33"/>
    <w:rsid w:val="00776B91"/>
    <w:rsid w:val="007D2E85"/>
    <w:rsid w:val="00802F19"/>
    <w:rsid w:val="00814E0A"/>
    <w:rsid w:val="00815083"/>
    <w:rsid w:val="00820E10"/>
    <w:rsid w:val="00822581"/>
    <w:rsid w:val="008309DD"/>
    <w:rsid w:val="0083227A"/>
    <w:rsid w:val="00840345"/>
    <w:rsid w:val="00866900"/>
    <w:rsid w:val="00881BA1"/>
    <w:rsid w:val="008C26B8"/>
    <w:rsid w:val="008C2C4A"/>
    <w:rsid w:val="008F208F"/>
    <w:rsid w:val="00904B51"/>
    <w:rsid w:val="00947355"/>
    <w:rsid w:val="0098033C"/>
    <w:rsid w:val="00982084"/>
    <w:rsid w:val="00995963"/>
    <w:rsid w:val="009A6539"/>
    <w:rsid w:val="009B61EB"/>
    <w:rsid w:val="009C1647"/>
    <w:rsid w:val="009C2064"/>
    <w:rsid w:val="009C660A"/>
    <w:rsid w:val="009D01E6"/>
    <w:rsid w:val="009D1697"/>
    <w:rsid w:val="00A014F8"/>
    <w:rsid w:val="00A0615E"/>
    <w:rsid w:val="00A5173C"/>
    <w:rsid w:val="00A61AEF"/>
    <w:rsid w:val="00A75C12"/>
    <w:rsid w:val="00A802EF"/>
    <w:rsid w:val="00AD2345"/>
    <w:rsid w:val="00AF173A"/>
    <w:rsid w:val="00B066A4"/>
    <w:rsid w:val="00B07A13"/>
    <w:rsid w:val="00B173BE"/>
    <w:rsid w:val="00B240F2"/>
    <w:rsid w:val="00B4279B"/>
    <w:rsid w:val="00B45FC9"/>
    <w:rsid w:val="00B516C7"/>
    <w:rsid w:val="00B670B9"/>
    <w:rsid w:val="00B81138"/>
    <w:rsid w:val="00BC3831"/>
    <w:rsid w:val="00BC7CCF"/>
    <w:rsid w:val="00BE470B"/>
    <w:rsid w:val="00BE4A66"/>
    <w:rsid w:val="00C17850"/>
    <w:rsid w:val="00C35AAD"/>
    <w:rsid w:val="00C537BF"/>
    <w:rsid w:val="00C57A91"/>
    <w:rsid w:val="00CC01C2"/>
    <w:rsid w:val="00CD3A82"/>
    <w:rsid w:val="00CD4800"/>
    <w:rsid w:val="00CF21F2"/>
    <w:rsid w:val="00D02712"/>
    <w:rsid w:val="00D214D0"/>
    <w:rsid w:val="00D6546B"/>
    <w:rsid w:val="00D83A07"/>
    <w:rsid w:val="00DD4BED"/>
    <w:rsid w:val="00DE39F0"/>
    <w:rsid w:val="00DF0AF3"/>
    <w:rsid w:val="00DF7E9F"/>
    <w:rsid w:val="00E064F2"/>
    <w:rsid w:val="00E256BB"/>
    <w:rsid w:val="00E27D7E"/>
    <w:rsid w:val="00E42E13"/>
    <w:rsid w:val="00E479C1"/>
    <w:rsid w:val="00E55121"/>
    <w:rsid w:val="00E55FEA"/>
    <w:rsid w:val="00E56D5C"/>
    <w:rsid w:val="00E6257C"/>
    <w:rsid w:val="00E63C59"/>
    <w:rsid w:val="00EB357C"/>
    <w:rsid w:val="00EC6530"/>
    <w:rsid w:val="00EF2B8F"/>
    <w:rsid w:val="00F44707"/>
    <w:rsid w:val="00FA124A"/>
    <w:rsid w:val="00FA56B0"/>
    <w:rsid w:val="00FC08DD"/>
    <w:rsid w:val="00FC2316"/>
    <w:rsid w:val="00FC2CFD"/>
    <w:rsid w:val="00FE0752"/>
    <w:rsid w:val="00FF0B09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829C2AE"/>
  <w15:docId w15:val="{6C1C2DA8-6146-41D5-A4AB-EC8649E3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uiPriority w:val="99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1C48A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1C48A2"/>
    <w:pPr>
      <w:ind w:leftChars="400" w:left="840"/>
    </w:pPr>
    <w:rPr>
      <w:rFonts w:eastAsia="MS Mincho"/>
    </w:rPr>
  </w:style>
  <w:style w:type="character" w:styleId="Hyperlink">
    <w:name w:val="Hyperlink"/>
    <w:basedOn w:val="DefaultParagraphFont"/>
    <w:rsid w:val="001C48A2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uiPriority w:val="99"/>
    <w:rsid w:val="001C48A2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1C48A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1C48A2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1C48A2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rsid w:val="00B173BE"/>
  </w:style>
  <w:style w:type="table" w:styleId="TableGrid">
    <w:name w:val="Table Grid"/>
    <w:basedOn w:val="TableNormal"/>
    <w:rsid w:val="008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2927F9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927F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MS Mincho"/>
      <w:i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802E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B49D913639488838AFE94CC05B8A" ma:contentTypeVersion="3" ma:contentTypeDescription="Create a new document." ma:contentTypeScope="" ma:versionID="ee2b2f7259af8e4a1194658662fcc12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WP 5A</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2118-D76E-4286-AED8-26E4C2319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39F6D-20A7-4F79-8F68-6F733AD64F59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a029cd6-340b-4c4d-a48a-2df986580122"/>
    <ds:schemaRef ds:uri="4c6a61cb-1973-4fc6-92ae-f4d7a447140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E3733A-9897-49F4-BD80-70504F242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59113-56CF-4CE8-88A7-F0D23862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draft revisions of Questions</vt:lpstr>
    </vt:vector>
  </TitlesOfParts>
  <Company>ITU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draft revisions of Questions</dc:title>
  <dc:subject/>
  <dc:creator>ITU</dc:creator>
  <cp:lastModifiedBy>Author</cp:lastModifiedBy>
  <cp:revision>8</cp:revision>
  <cp:lastPrinted>2015-07-24T12:37:00Z</cp:lastPrinted>
  <dcterms:created xsi:type="dcterms:W3CDTF">2015-08-11T13:37:00Z</dcterms:created>
  <dcterms:modified xsi:type="dcterms:W3CDTF">2023-11-01T16:24:00Z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0x01010040EEB49D913639488838AFE94CC05B8A</vt:lpwstr>
  </property>
</Properties>
</file>