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EF" w:rsidRPr="007B64AD" w:rsidRDefault="00A802EF" w:rsidP="00A802EF">
      <w:pPr>
        <w:pStyle w:val="QuestionNoBR"/>
        <w:tabs>
          <w:tab w:val="clear" w:pos="794"/>
          <w:tab w:val="left" w:pos="1134"/>
        </w:tabs>
      </w:pPr>
      <w:r>
        <w:t>QUESTION ITU-R 238-2/5</w:t>
      </w:r>
      <w:r>
        <w:rPr>
          <w:rStyle w:val="FootnoteReference"/>
        </w:rPr>
        <w:footnoteReference w:customMarkFollows="1" w:id="1"/>
        <w:t>*</w:t>
      </w:r>
      <w:r>
        <w:rPr>
          <w:vertAlign w:val="superscript"/>
        </w:rPr>
        <w:t xml:space="preserve">, </w:t>
      </w:r>
      <w:r>
        <w:rPr>
          <w:rStyle w:val="FootnoteReference"/>
        </w:rPr>
        <w:footnoteReference w:customMarkFollows="1" w:id="2"/>
        <w:t>**</w:t>
      </w:r>
      <w:r w:rsidR="009B23D2">
        <w:rPr>
          <w:vertAlign w:val="superscript"/>
        </w:rPr>
        <w:t xml:space="preserve">, </w:t>
      </w:r>
      <w:bookmarkStart w:id="0" w:name="_GoBack"/>
      <w:r w:rsidR="009B23D2" w:rsidRPr="007B64AD">
        <w:rPr>
          <w:rStyle w:val="FootnoteReference"/>
        </w:rPr>
        <w:footnoteReference w:customMarkFollows="1" w:id="3"/>
        <w:t>***</w:t>
      </w:r>
    </w:p>
    <w:bookmarkEnd w:id="0"/>
    <w:p w:rsidR="00A802EF" w:rsidRDefault="00A802EF" w:rsidP="00A802EF">
      <w:pPr>
        <w:pStyle w:val="Questiontitle"/>
      </w:pPr>
      <w:r>
        <w:rPr>
          <w:lang w:eastAsia="ja-JP"/>
        </w:rPr>
        <w:t>Mobile b</w:t>
      </w:r>
      <w:r>
        <w:t>roadband wireless access systems</w:t>
      </w:r>
    </w:p>
    <w:p w:rsidR="00A802EF" w:rsidRDefault="00A802EF" w:rsidP="00A802EF">
      <w:pPr>
        <w:pStyle w:val="Questiondate"/>
        <w:spacing w:before="240"/>
      </w:pPr>
      <w:r>
        <w:t>(2006-2007-2012)</w:t>
      </w:r>
    </w:p>
    <w:p w:rsidR="00A802EF" w:rsidRDefault="00A802EF" w:rsidP="00A802EF">
      <w:pPr>
        <w:pStyle w:val="Normalaftertitle0"/>
        <w:ind w:right="-676"/>
      </w:pPr>
      <w:r>
        <w:t>The ITU Radiocommunication Assembly,</w:t>
      </w:r>
    </w:p>
    <w:p w:rsidR="00A802EF" w:rsidRDefault="00A802EF" w:rsidP="00A802EF">
      <w:pPr>
        <w:pStyle w:val="Call"/>
      </w:pPr>
      <w:r>
        <w:t>considering</w:t>
      </w:r>
    </w:p>
    <w:p w:rsidR="00A802EF" w:rsidRDefault="00A802EF" w:rsidP="00A802EF">
      <w:r>
        <w:rPr>
          <w:i/>
          <w:iCs/>
        </w:rPr>
        <w:t>a)</w:t>
      </w:r>
      <w:r>
        <w:tab/>
        <w:t xml:space="preserve">that there is a need to provide broadband wireless access </w:t>
      </w:r>
      <w:r>
        <w:rPr>
          <w:lang w:eastAsia="ja-JP"/>
        </w:rPr>
        <w:t xml:space="preserve">(BWA) </w:t>
      </w:r>
      <w:r>
        <w:t>in a variety of environments;</w:t>
      </w:r>
    </w:p>
    <w:p w:rsidR="00A802EF" w:rsidRDefault="00A802EF" w:rsidP="00A802EF">
      <w:r>
        <w:rPr>
          <w:i/>
          <w:iCs/>
        </w:rPr>
        <w:t>b)</w:t>
      </w:r>
      <w:r>
        <w:tab/>
        <w:t xml:space="preserve">that it is desirable to recommend radio interface standards for </w:t>
      </w:r>
      <w:r>
        <w:rPr>
          <w:lang w:eastAsia="ja-JP"/>
        </w:rPr>
        <w:t xml:space="preserve">mobile </w:t>
      </w:r>
      <w:r>
        <w:t>broadband wireless access systems;</w:t>
      </w:r>
    </w:p>
    <w:p w:rsidR="00A802EF" w:rsidRDefault="00A802EF" w:rsidP="00A802EF">
      <w:pPr>
        <w:ind w:right="-284"/>
      </w:pPr>
      <w:r>
        <w:rPr>
          <w:i/>
          <w:iCs/>
        </w:rPr>
        <w:t>c)</w:t>
      </w:r>
      <w:r>
        <w:tab/>
        <w:t xml:space="preserve">that it is desirable to identify the technical and operational requirements for </w:t>
      </w:r>
      <w:r>
        <w:rPr>
          <w:lang w:eastAsia="ja-JP"/>
        </w:rPr>
        <w:t xml:space="preserve">mobile </w:t>
      </w:r>
      <w:r>
        <w:t>broadband wireless access systems;</w:t>
      </w:r>
    </w:p>
    <w:p w:rsidR="00A802EF" w:rsidRDefault="00A802EF" w:rsidP="00A802EF">
      <w:r>
        <w:rPr>
          <w:i/>
          <w:iCs/>
        </w:rPr>
        <w:t>d)</w:t>
      </w:r>
      <w:r>
        <w:tab/>
        <w:t>that in today’s radiocommunications, mobile “broadband” services provide similar capabilities and experience, with the added benefit of mobility, as is available from widely-deployed wireline networks, such as cable modems and higher speed DSL, in particular when receiving and transmitting multiple media applications;</w:t>
      </w:r>
    </w:p>
    <w:p w:rsidR="00A802EF" w:rsidRDefault="00A802EF" w:rsidP="00A802EF">
      <w:r>
        <w:rPr>
          <w:i/>
          <w:iCs/>
        </w:rPr>
        <w:t>e)</w:t>
      </w:r>
      <w:r>
        <w:tab/>
        <w:t>that there are mobile and fixed systems currently in operation and also in development that provide broadband wireless access in various frequency bands;</w:t>
      </w:r>
    </w:p>
    <w:p w:rsidR="00A802EF" w:rsidRDefault="00A802EF" w:rsidP="00A802EF">
      <w:pPr>
        <w:ind w:right="-142"/>
      </w:pPr>
      <w:r>
        <w:rPr>
          <w:i/>
          <w:iCs/>
        </w:rPr>
        <w:t>f)</w:t>
      </w:r>
      <w:r>
        <w:tab/>
        <w:t>that information transfer methods based on internet protocol (IP) are being used in broadband infrastructure;</w:t>
      </w:r>
    </w:p>
    <w:p w:rsidR="00A802EF" w:rsidRDefault="00A802EF" w:rsidP="00A802EF">
      <w:pPr>
        <w:ind w:right="-284"/>
      </w:pPr>
      <w:r>
        <w:rPr>
          <w:i/>
          <w:iCs/>
        </w:rPr>
        <w:t>g)</w:t>
      </w:r>
      <w:r>
        <w:tab/>
        <w:t>that standardization bodies are addressing the architecture and technical features of broadband wireless access systems,</w:t>
      </w:r>
    </w:p>
    <w:p w:rsidR="00A802EF" w:rsidRDefault="00A802EF" w:rsidP="00A802EF">
      <w:pPr>
        <w:pStyle w:val="Call"/>
      </w:pPr>
      <w:r>
        <w:t>noting</w:t>
      </w:r>
    </w:p>
    <w:p w:rsidR="00A802EF" w:rsidRDefault="00A802EF" w:rsidP="00A802EF">
      <w:r>
        <w:rPr>
          <w:i/>
          <w:iCs/>
        </w:rPr>
        <w:t>a)</w:t>
      </w:r>
      <w:r>
        <w:tab/>
        <w:t>that studies on BWA are also performed in the context of IMT systems (see Question ITU</w:t>
      </w:r>
      <w:r>
        <w:noBreakHyphen/>
        <w:t>R 229/5);</w:t>
      </w:r>
    </w:p>
    <w:p w:rsidR="00A802EF" w:rsidRDefault="00A802EF" w:rsidP="00A802EF">
      <w:pPr>
        <w:rPr>
          <w:lang w:eastAsia="ja-JP"/>
        </w:rPr>
      </w:pPr>
      <w:r>
        <w:rPr>
          <w:i/>
          <w:iCs/>
        </w:rPr>
        <w:t>b)</w:t>
      </w:r>
      <w:r>
        <w:tab/>
      </w:r>
      <w:r>
        <w:rPr>
          <w:lang w:eastAsia="ja-JP"/>
        </w:rPr>
        <w:t>that studies on fixed BWA and nomadic BWA are performed under the scope of Questions ITU</w:t>
      </w:r>
      <w:r>
        <w:rPr>
          <w:lang w:eastAsia="ja-JP"/>
        </w:rPr>
        <w:noBreakHyphen/>
        <w:t>R 215/5 and ITU-R 212/5, respectively,</w:t>
      </w:r>
    </w:p>
    <w:p w:rsidR="00A802EF" w:rsidRDefault="00A802EF" w:rsidP="00A802EF">
      <w:pPr>
        <w:pStyle w:val="Call"/>
        <w:rPr>
          <w:i w:val="0"/>
          <w:iCs/>
        </w:rPr>
      </w:pPr>
      <w:r>
        <w:t>decides</w:t>
      </w:r>
      <w:r>
        <w:rPr>
          <w:i w:val="0"/>
          <w:iCs/>
        </w:rPr>
        <w:t xml:space="preserve"> that the following Questions should be studied</w:t>
      </w:r>
    </w:p>
    <w:p w:rsidR="00A802EF" w:rsidRDefault="00A802EF" w:rsidP="00A802EF">
      <w:r>
        <w:t>1</w:t>
      </w:r>
      <w:r>
        <w:tab/>
        <w:t xml:space="preserve">What are the technical and operational requirements for </w:t>
      </w:r>
      <w:r>
        <w:rPr>
          <w:lang w:eastAsia="ja-JP"/>
        </w:rPr>
        <w:t xml:space="preserve">mobile </w:t>
      </w:r>
      <w:r>
        <w:t>broadband wireless access systems in the mobile service?</w:t>
      </w:r>
    </w:p>
    <w:p w:rsidR="00A802EF" w:rsidRDefault="00A802EF" w:rsidP="00A802EF">
      <w:r>
        <w:t>2</w:t>
      </w:r>
      <w:r>
        <w:tab/>
        <w:t xml:space="preserve">What are the applicable radio interface standards for </w:t>
      </w:r>
      <w:r>
        <w:rPr>
          <w:lang w:eastAsia="ja-JP"/>
        </w:rPr>
        <w:t xml:space="preserve">mobile </w:t>
      </w:r>
      <w:r>
        <w:t>broadband wireless access systems in the mobile service?</w:t>
      </w:r>
    </w:p>
    <w:p w:rsidR="00A802EF" w:rsidRDefault="00A802EF" w:rsidP="00A802EF">
      <w:pPr>
        <w:rPr>
          <w:b/>
        </w:rPr>
      </w:pPr>
      <w:r>
        <w:lastRenderedPageBreak/>
        <w:t>3</w:t>
      </w:r>
      <w:r>
        <w:tab/>
        <w:t xml:space="preserve">What are the applicable antenna systems suitable for </w:t>
      </w:r>
      <w:r>
        <w:rPr>
          <w:lang w:eastAsia="ja-JP"/>
        </w:rPr>
        <w:t xml:space="preserve">mobile </w:t>
      </w:r>
      <w:r>
        <w:t>broadband wireless access systems in the mobile service?</w:t>
      </w:r>
    </w:p>
    <w:p w:rsidR="00A802EF" w:rsidRDefault="00A802EF" w:rsidP="00A802EF">
      <w:r>
        <w:t>4</w:t>
      </w:r>
      <w:r>
        <w:rPr>
          <w:b/>
        </w:rPr>
        <w:tab/>
      </w:r>
      <w:r>
        <w:t>What are the frequency sharing and/or compatibility criteria associated with BWA systems operating in the mobile service?</w:t>
      </w:r>
    </w:p>
    <w:p w:rsidR="00A802EF" w:rsidRDefault="00A802EF" w:rsidP="00A802EF">
      <w:pPr>
        <w:pStyle w:val="Call"/>
      </w:pPr>
      <w:r>
        <w:t>further decides</w:t>
      </w:r>
    </w:p>
    <w:p w:rsidR="00A802EF" w:rsidRDefault="00A802EF" w:rsidP="00A802EF">
      <w:r>
        <w:t>1</w:t>
      </w:r>
      <w:r>
        <w:tab/>
        <w:t>that the results of the above studies should be included in one or more Recommendations, Reports, or Handbooks;</w:t>
      </w:r>
    </w:p>
    <w:p w:rsidR="00A802EF" w:rsidRDefault="00A802EF" w:rsidP="00A802EF">
      <w:r>
        <w:t>2</w:t>
      </w:r>
      <w:r>
        <w:tab/>
        <w:t>the above studies should be completed by 2019.</w:t>
      </w:r>
    </w:p>
    <w:p w:rsidR="00A802EF" w:rsidRDefault="00A802EF" w:rsidP="00A802EF">
      <w:pPr>
        <w:spacing w:before="240"/>
        <w:rPr>
          <w:lang w:eastAsia="ja-JP"/>
        </w:rPr>
      </w:pPr>
      <w:r>
        <w:t>Category:  S</w:t>
      </w:r>
      <w:r>
        <w:rPr>
          <w:lang w:eastAsia="ja-JP"/>
        </w:rPr>
        <w:t>2</w:t>
      </w:r>
    </w:p>
    <w:sectPr w:rsidR="00A802EF" w:rsidSect="002F667E">
      <w:headerReference w:type="defaul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82" w:rsidRDefault="00CD3A82">
      <w:r>
        <w:separator/>
      </w:r>
    </w:p>
  </w:endnote>
  <w:endnote w:type="continuationSeparator" w:id="0">
    <w:p w:rsidR="00CD3A82" w:rsidRDefault="00CD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82" w:rsidRDefault="00CD3A82">
      <w:r>
        <w:t>____________________</w:t>
      </w:r>
    </w:p>
  </w:footnote>
  <w:footnote w:type="continuationSeparator" w:id="0">
    <w:p w:rsidR="00CD3A82" w:rsidRDefault="00CD3A82">
      <w:r>
        <w:continuationSeparator/>
      </w:r>
    </w:p>
  </w:footnote>
  <w:footnote w:id="1">
    <w:p w:rsidR="0071274D" w:rsidRDefault="0071274D" w:rsidP="00A802EF">
      <w:pPr>
        <w:pStyle w:val="FootnoteText"/>
      </w:pPr>
      <w:r>
        <w:rPr>
          <w:rStyle w:val="FootnoteReference"/>
          <w:szCs w:val="22"/>
        </w:rPr>
        <w:t>*</w:t>
      </w:r>
      <w:r>
        <w:rPr>
          <w:szCs w:val="22"/>
          <w:lang w:val="en-US"/>
        </w:rPr>
        <w:tab/>
      </w:r>
      <w:r>
        <w:rPr>
          <w:szCs w:val="22"/>
        </w:rPr>
        <w:t>Broadband wireless access is defined in Recommendation ITU-R F.1399.</w:t>
      </w:r>
    </w:p>
  </w:footnote>
  <w:footnote w:id="2">
    <w:p w:rsidR="0071274D" w:rsidRDefault="0071274D" w:rsidP="00A802EF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  <w:szCs w:val="22"/>
        </w:rPr>
        <w:t>**</w:t>
      </w:r>
      <w:r>
        <w:rPr>
          <w:szCs w:val="22"/>
        </w:rPr>
        <w:tab/>
        <w:t>This Question should be brought to the attention of ITU-D Study Group 2.</w:t>
      </w:r>
    </w:p>
  </w:footnote>
  <w:footnote w:id="3">
    <w:p w:rsidR="009B23D2" w:rsidRPr="009B23D2" w:rsidRDefault="009B23D2" w:rsidP="009B23D2">
      <w:pPr>
        <w:pStyle w:val="FootnoteText"/>
      </w:pPr>
      <w:r>
        <w:rPr>
          <w:rStyle w:val="FootnoteReference"/>
        </w:rPr>
        <w:t>***</w:t>
      </w:r>
      <w:r>
        <w:t xml:space="preserve"> </w:t>
      </w:r>
      <w:r>
        <w:rPr>
          <w:rFonts w:eastAsia="Arial Unicode MS"/>
        </w:rPr>
        <w:t xml:space="preserve">In the year 2015, Radiocommunication Study Group 5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74D" w:rsidRPr="00802F19" w:rsidRDefault="0071274D" w:rsidP="00330567">
    <w:pPr>
      <w:pStyle w:val="Header"/>
      <w:rPr>
        <w:rStyle w:val="PageNumber"/>
        <w:lang w:val="pt-BR"/>
      </w:rPr>
    </w:pPr>
    <w:r w:rsidRPr="00802F19">
      <w:rPr>
        <w:lang w:val="pt-BR"/>
      </w:rPr>
      <w:t xml:space="preserve">- </w:t>
    </w:r>
    <w:r>
      <w:rPr>
        <w:rStyle w:val="PageNumber"/>
      </w:rPr>
      <w:fldChar w:fldCharType="begin"/>
    </w:r>
    <w:r w:rsidRPr="00802F19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7B64AD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  <w:r w:rsidRPr="00802F19">
      <w:rPr>
        <w:rStyle w:val="PageNumber"/>
        <w:lang w:val="pt-B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269A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26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CAA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D48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2A26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4CA6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DA9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60B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4C9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9CF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C0553"/>
    <w:multiLevelType w:val="hybridMultilevel"/>
    <w:tmpl w:val="7D164AE8"/>
    <w:lvl w:ilvl="0" w:tplc="6F1A998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A2"/>
    <w:rsid w:val="000069D4"/>
    <w:rsid w:val="000174AD"/>
    <w:rsid w:val="000A7D55"/>
    <w:rsid w:val="000B2827"/>
    <w:rsid w:val="000C2E8E"/>
    <w:rsid w:val="000D53E2"/>
    <w:rsid w:val="000E0E7C"/>
    <w:rsid w:val="000F1B4B"/>
    <w:rsid w:val="0012744F"/>
    <w:rsid w:val="001279F0"/>
    <w:rsid w:val="00156F66"/>
    <w:rsid w:val="00163271"/>
    <w:rsid w:val="00182528"/>
    <w:rsid w:val="0018500B"/>
    <w:rsid w:val="00196A19"/>
    <w:rsid w:val="001A203E"/>
    <w:rsid w:val="001C48A2"/>
    <w:rsid w:val="001E52D7"/>
    <w:rsid w:val="00202DC1"/>
    <w:rsid w:val="002116EE"/>
    <w:rsid w:val="002309D8"/>
    <w:rsid w:val="00236078"/>
    <w:rsid w:val="0025530D"/>
    <w:rsid w:val="00261739"/>
    <w:rsid w:val="002916C9"/>
    <w:rsid w:val="002927F9"/>
    <w:rsid w:val="002A7DFB"/>
    <w:rsid w:val="002A7FE2"/>
    <w:rsid w:val="002E1B4F"/>
    <w:rsid w:val="002F2E67"/>
    <w:rsid w:val="002F667E"/>
    <w:rsid w:val="002F7CB3"/>
    <w:rsid w:val="00315546"/>
    <w:rsid w:val="00330567"/>
    <w:rsid w:val="00386A9D"/>
    <w:rsid w:val="00391081"/>
    <w:rsid w:val="003A04D7"/>
    <w:rsid w:val="003B2789"/>
    <w:rsid w:val="003C13CE"/>
    <w:rsid w:val="003E2518"/>
    <w:rsid w:val="003E7CEF"/>
    <w:rsid w:val="00400EDC"/>
    <w:rsid w:val="00413041"/>
    <w:rsid w:val="004252C1"/>
    <w:rsid w:val="00464312"/>
    <w:rsid w:val="004B1EF7"/>
    <w:rsid w:val="004B3FAD"/>
    <w:rsid w:val="004B6956"/>
    <w:rsid w:val="00501DCA"/>
    <w:rsid w:val="00513A47"/>
    <w:rsid w:val="005408DF"/>
    <w:rsid w:val="00554EFE"/>
    <w:rsid w:val="00573344"/>
    <w:rsid w:val="00583F9B"/>
    <w:rsid w:val="00584E94"/>
    <w:rsid w:val="005E3495"/>
    <w:rsid w:val="005E5C10"/>
    <w:rsid w:val="005F2C78"/>
    <w:rsid w:val="006144E4"/>
    <w:rsid w:val="006341FF"/>
    <w:rsid w:val="00650299"/>
    <w:rsid w:val="00655FC5"/>
    <w:rsid w:val="00660564"/>
    <w:rsid w:val="0071274D"/>
    <w:rsid w:val="00731C0A"/>
    <w:rsid w:val="00733272"/>
    <w:rsid w:val="007474F1"/>
    <w:rsid w:val="00753276"/>
    <w:rsid w:val="00763D33"/>
    <w:rsid w:val="00776B91"/>
    <w:rsid w:val="007B64AD"/>
    <w:rsid w:val="007D2E85"/>
    <w:rsid w:val="00802F19"/>
    <w:rsid w:val="00814E0A"/>
    <w:rsid w:val="00815083"/>
    <w:rsid w:val="00820E10"/>
    <w:rsid w:val="00822581"/>
    <w:rsid w:val="008309DD"/>
    <w:rsid w:val="0083227A"/>
    <w:rsid w:val="00840345"/>
    <w:rsid w:val="00853F8B"/>
    <w:rsid w:val="00866900"/>
    <w:rsid w:val="00881BA1"/>
    <w:rsid w:val="008C26B8"/>
    <w:rsid w:val="008C2C4A"/>
    <w:rsid w:val="008F208F"/>
    <w:rsid w:val="00904B51"/>
    <w:rsid w:val="00947355"/>
    <w:rsid w:val="0098033C"/>
    <w:rsid w:val="00982084"/>
    <w:rsid w:val="00995963"/>
    <w:rsid w:val="009A6539"/>
    <w:rsid w:val="009B23D2"/>
    <w:rsid w:val="009B61EB"/>
    <w:rsid w:val="009C1647"/>
    <w:rsid w:val="009C2064"/>
    <w:rsid w:val="009C660A"/>
    <w:rsid w:val="009D01E6"/>
    <w:rsid w:val="009D1697"/>
    <w:rsid w:val="00A014F8"/>
    <w:rsid w:val="00A0615E"/>
    <w:rsid w:val="00A5173C"/>
    <w:rsid w:val="00A61AEF"/>
    <w:rsid w:val="00A75C12"/>
    <w:rsid w:val="00A802EF"/>
    <w:rsid w:val="00AD2345"/>
    <w:rsid w:val="00AF173A"/>
    <w:rsid w:val="00B066A4"/>
    <w:rsid w:val="00B07A13"/>
    <w:rsid w:val="00B173BE"/>
    <w:rsid w:val="00B240F2"/>
    <w:rsid w:val="00B4279B"/>
    <w:rsid w:val="00B45FC9"/>
    <w:rsid w:val="00B516C7"/>
    <w:rsid w:val="00B670B9"/>
    <w:rsid w:val="00B81138"/>
    <w:rsid w:val="00BC3831"/>
    <w:rsid w:val="00BC7CCF"/>
    <w:rsid w:val="00BE470B"/>
    <w:rsid w:val="00BE4A66"/>
    <w:rsid w:val="00C35AAD"/>
    <w:rsid w:val="00C57A91"/>
    <w:rsid w:val="00C83571"/>
    <w:rsid w:val="00CC01C2"/>
    <w:rsid w:val="00CD3A82"/>
    <w:rsid w:val="00CD4800"/>
    <w:rsid w:val="00CE26FF"/>
    <w:rsid w:val="00CF21F2"/>
    <w:rsid w:val="00D02712"/>
    <w:rsid w:val="00D214D0"/>
    <w:rsid w:val="00D6546B"/>
    <w:rsid w:val="00D83A07"/>
    <w:rsid w:val="00DD4BED"/>
    <w:rsid w:val="00DE39F0"/>
    <w:rsid w:val="00DF0AF3"/>
    <w:rsid w:val="00DF7E9F"/>
    <w:rsid w:val="00E064F2"/>
    <w:rsid w:val="00E27D7E"/>
    <w:rsid w:val="00E42E13"/>
    <w:rsid w:val="00E479C1"/>
    <w:rsid w:val="00E55121"/>
    <w:rsid w:val="00E55FEA"/>
    <w:rsid w:val="00E56D5C"/>
    <w:rsid w:val="00E6257C"/>
    <w:rsid w:val="00E63C59"/>
    <w:rsid w:val="00EB357C"/>
    <w:rsid w:val="00EC6530"/>
    <w:rsid w:val="00EF2B8F"/>
    <w:rsid w:val="00FA124A"/>
    <w:rsid w:val="00FA56B0"/>
    <w:rsid w:val="00FC08DD"/>
    <w:rsid w:val="00FC2316"/>
    <w:rsid w:val="00FC2CFD"/>
    <w:rsid w:val="00FE0752"/>
    <w:rsid w:val="00FF0B09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C1C2DA8-6146-41D5-A4AB-EC8649E3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o,fr,Style 13,FR,Style 17,Style 3,Appel note de bas de p + 11 pt,Italic,Footnote,Appel note de bas de p1,Appel note de bas de p2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uiPriority w:val="99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1C48A2"/>
    <w:rPr>
      <w:rFonts w:ascii="Times New Roman" w:hAnsi="Times New Roman"/>
      <w:caps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1C48A2"/>
    <w:pPr>
      <w:ind w:leftChars="400" w:left="840"/>
    </w:pPr>
    <w:rPr>
      <w:rFonts w:eastAsia="MS Mincho"/>
    </w:rPr>
  </w:style>
  <w:style w:type="character" w:styleId="Hyperlink">
    <w:name w:val="Hyperlink"/>
    <w:basedOn w:val="DefaultParagraphFont"/>
    <w:rsid w:val="001C48A2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uiPriority w:val="99"/>
    <w:rsid w:val="001C48A2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1C48A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1C48A2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1C48A2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rsid w:val="00B173BE"/>
  </w:style>
  <w:style w:type="table" w:styleId="TableGrid">
    <w:name w:val="Table Grid"/>
    <w:basedOn w:val="TableNormal"/>
    <w:rsid w:val="0080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2927F9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2927F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MS Mincho"/>
      <w:i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802E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B49D913639488838AFE94CC05B8A" ma:contentTypeVersion="3" ma:contentTypeDescription="Create a new document." ma:contentTypeScope="" ma:versionID="ee2b2f7259af8e4a1194658662fcc12b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WP 5A</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733A-9897-49F4-BD80-70504F242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22118-D76E-4286-AED8-26E4C2319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39F6D-20A7-4F79-8F68-6F733AD64F59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1a029cd6-340b-4c4d-a48a-2df986580122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c6a61cb-1973-4fc6-92ae-f4d7a447140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E06BEC-38CE-4095-8B4A-581E003A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319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draft revisions of Questions</vt:lpstr>
    </vt:vector>
  </TitlesOfParts>
  <Company>ITU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draft revisions of Questions</dc:title>
  <dc:subject/>
  <dc:creator>ITU</dc:creator>
  <cp:lastModifiedBy>Sir Bosson, Ana</cp:lastModifiedBy>
  <cp:revision>3</cp:revision>
  <cp:lastPrinted>2015-07-24T12:34:00Z</cp:lastPrinted>
  <dcterms:created xsi:type="dcterms:W3CDTF">2015-08-11T13:39:00Z</dcterms:created>
  <dcterms:modified xsi:type="dcterms:W3CDTF">2015-08-13T13:30:00Z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0x01010040EEB49D913639488838AFE94CC05B8A</vt:lpwstr>
  </property>
</Properties>
</file>