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35" w:rsidRDefault="00F73A35" w:rsidP="00F73A35">
      <w:pPr>
        <w:pStyle w:val="QuestionNo"/>
        <w:rPr>
          <w:b/>
          <w:bCs/>
        </w:rPr>
      </w:pPr>
      <w:r>
        <w:rPr>
          <w:rtl/>
        </w:rPr>
        <w:t xml:space="preserve">ال‍مسألة </w:t>
      </w:r>
      <w:r>
        <w:t>ITU</w:t>
      </w:r>
      <w:r>
        <w:noBreakHyphen/>
        <w:t>R 255/5</w:t>
      </w:r>
      <w:r>
        <w:rPr>
          <w:rtl/>
        </w:rPr>
        <w:t xml:space="preserve"> لقطاع الاتصالات الراديوية</w:t>
      </w:r>
    </w:p>
    <w:p w:rsidR="00F73A35" w:rsidRDefault="00F73A35" w:rsidP="00F73A35">
      <w:pPr>
        <w:pStyle w:val="Questiontitle"/>
        <w:rPr>
          <w:rtl/>
        </w:rPr>
      </w:pPr>
      <w:r>
        <w:rPr>
          <w:rtl/>
        </w:rPr>
        <w:t>أهداف ومتطلبات الأداء والتيسر للأنظمة اللاسلكية الثابتة،</w:t>
      </w:r>
      <w:r>
        <w:rPr>
          <w:rtl/>
        </w:rPr>
        <w:br/>
        <w:t>بما في ذلك الأنظمة القائمة على الرزم</w:t>
      </w:r>
    </w:p>
    <w:p w:rsidR="00F73A35" w:rsidRDefault="00F73A35" w:rsidP="00F73A35">
      <w:pPr>
        <w:pStyle w:val="Questionref"/>
        <w:jc w:val="right"/>
        <w:rPr>
          <w:rtl/>
          <w:lang w:val="en-US"/>
        </w:rPr>
      </w:pPr>
      <w:r>
        <w:t>(2015)</w:t>
      </w:r>
    </w:p>
    <w:p w:rsidR="00F73A35" w:rsidRDefault="00F73A35" w:rsidP="00F73A35">
      <w:pPr>
        <w:pStyle w:val="Normalaftertitle"/>
      </w:pPr>
      <w:r>
        <w:rPr>
          <w:rtl/>
        </w:rPr>
        <w:t>إن ج‍معية الاتصالات الراديوية للات‍حاد الدولي للاتصالات،</w:t>
      </w:r>
    </w:p>
    <w:p w:rsidR="00F73A35" w:rsidRDefault="00F73A35" w:rsidP="00F73A35">
      <w:pPr>
        <w:pStyle w:val="Call"/>
        <w:rPr>
          <w:i w:val="0"/>
          <w:iCs/>
          <w:rtl/>
        </w:rPr>
      </w:pPr>
      <w:r>
        <w:rPr>
          <w:i w:val="0"/>
          <w:iCs/>
          <w:rtl/>
        </w:rPr>
        <w:t>إذ تضع في اعتبارها</w:t>
      </w:r>
    </w:p>
    <w:p w:rsidR="00F73A35" w:rsidRDefault="00F73A35" w:rsidP="00F73A35">
      <w:pPr>
        <w:tabs>
          <w:tab w:val="left" w:pos="720"/>
        </w:tabs>
        <w:rPr>
          <w:rtl/>
        </w:rPr>
      </w:pPr>
      <w:r>
        <w:rPr>
          <w:i/>
          <w:iCs/>
          <w:rtl/>
        </w:rPr>
        <w:t xml:space="preserve"> أ )</w:t>
      </w:r>
      <w:r>
        <w:rPr>
          <w:rtl/>
        </w:rPr>
        <w:tab/>
        <w:t>أنه مع الزيادة الكبيرة في الوقت الراهن في الطلب على عرض النطاق، تطورت تكنولوجيا الأنظمة اللاسلكية الثابتة </w:t>
      </w:r>
      <w:r>
        <w:t>(FWS)</w:t>
      </w:r>
      <w:r>
        <w:rPr>
          <w:rtl/>
        </w:rPr>
        <w:t xml:space="preserve"> من دعم السعات المنخفضة إلى دعم السعات العالية، وهو ما يمكن من توفير إرسال للبيانات بسرعات أكبر بكثير؛</w:t>
      </w:r>
    </w:p>
    <w:p w:rsidR="00F73A35" w:rsidRDefault="00F73A35" w:rsidP="00F73A35">
      <w:pPr>
        <w:tabs>
          <w:tab w:val="left" w:pos="720"/>
        </w:tabs>
        <w:rPr>
          <w:spacing w:val="-6"/>
          <w:rtl/>
        </w:rPr>
      </w:pPr>
      <w:r>
        <w:rPr>
          <w:i/>
          <w:iCs/>
          <w:spacing w:val="-6"/>
          <w:rtl/>
        </w:rPr>
        <w:t>ب)</w:t>
      </w:r>
      <w:r>
        <w:rPr>
          <w:spacing w:val="-6"/>
          <w:rtl/>
        </w:rPr>
        <w:tab/>
        <w:t>أن تكنولوجيا الأنظمة اللاسلكية الثابتة، من حيث تطور السعة، تطورت عبر السنين سواء من منظور التكنولوجيا أو التطبيقات؛</w:t>
      </w:r>
    </w:p>
    <w:p w:rsidR="00F73A35" w:rsidRDefault="00F73A35" w:rsidP="00F73A35">
      <w:pPr>
        <w:tabs>
          <w:tab w:val="left" w:pos="720"/>
        </w:tabs>
        <w:rPr>
          <w:rtl/>
        </w:rPr>
      </w:pPr>
      <w:r>
        <w:rPr>
          <w:i/>
          <w:iCs/>
          <w:rtl/>
        </w:rPr>
        <w:t>ج)</w:t>
      </w:r>
      <w:r>
        <w:rPr>
          <w:rtl/>
        </w:rPr>
        <w:tab/>
        <w:t>أن هذا التطور في تكنولوجيا الأنظمة اللاسلكية الثابتة يؤدي كذلك إلى تطور مستمر في أداء الشبكات وتيسرها ومعماريتها وسعاتها واحتياجاتها من عرض النطاق؛</w:t>
      </w:r>
    </w:p>
    <w:p w:rsidR="00F73A35" w:rsidRDefault="00F73A35" w:rsidP="00F73A35">
      <w:pPr>
        <w:tabs>
          <w:tab w:val="left" w:pos="720"/>
        </w:tabs>
        <w:rPr>
          <w:spacing w:val="-8"/>
          <w:rtl/>
        </w:rPr>
      </w:pPr>
      <w:r>
        <w:rPr>
          <w:i/>
          <w:iCs/>
          <w:spacing w:val="-6"/>
          <w:rtl/>
        </w:rPr>
        <w:t>د )</w:t>
      </w:r>
      <w:r>
        <w:rPr>
          <w:spacing w:val="-6"/>
          <w:rtl/>
        </w:rPr>
        <w:tab/>
      </w:r>
      <w:r>
        <w:rPr>
          <w:spacing w:val="-8"/>
          <w:rtl/>
        </w:rPr>
        <w:t>أن التطبيقات القائمة على الرزم تشكل جزءاً رئيسياً في شبكات النقل والنفاذ الحالية، ويتوقع أن تزداد بشدة في المستقبل القريب؛</w:t>
      </w:r>
    </w:p>
    <w:p w:rsidR="00F73A35" w:rsidRDefault="00F73A35" w:rsidP="00F73A35">
      <w:pPr>
        <w:tabs>
          <w:tab w:val="left" w:pos="720"/>
        </w:tabs>
        <w:rPr>
          <w:rtl/>
        </w:rPr>
      </w:pPr>
      <w:r>
        <w:rPr>
          <w:i/>
          <w:iCs/>
          <w:rtl/>
        </w:rPr>
        <w:t>ﻫ )</w:t>
      </w:r>
      <w:r>
        <w:rPr>
          <w:rtl/>
        </w:rPr>
        <w:tab/>
        <w:t>أن هناك حاجة إلى فهم أهداف ومتطلبات الأداء والتيسر لطبقة البيانات المادية بالنسبة للأنظمة اللاسلكية الثابتة المتطورة تلك، بما في ذلك الأنظمة القائمة على الرزم؛</w:t>
      </w:r>
    </w:p>
    <w:p w:rsidR="00F73A35" w:rsidRDefault="00F73A35" w:rsidP="00F73A35">
      <w:pPr>
        <w:tabs>
          <w:tab w:val="left" w:pos="720"/>
        </w:tabs>
        <w:rPr>
          <w:spacing w:val="-6"/>
          <w:rtl/>
        </w:rPr>
      </w:pPr>
      <w:r>
        <w:rPr>
          <w:i/>
          <w:iCs/>
          <w:spacing w:val="-2"/>
          <w:rtl/>
        </w:rPr>
        <w:t>و )</w:t>
      </w:r>
      <w:r>
        <w:rPr>
          <w:spacing w:val="-2"/>
          <w:rtl/>
        </w:rPr>
        <w:tab/>
        <w:t xml:space="preserve">أن </w:t>
      </w:r>
      <w:r>
        <w:rPr>
          <w:spacing w:val="-6"/>
          <w:rtl/>
        </w:rPr>
        <w:t>هناك حاجة إلى توفير توجيهات تساعد الإدارات والمصنعين وشركات تشغيل الاتصالات إبان إنشاء الشبكات وصيانتها،</w:t>
      </w:r>
    </w:p>
    <w:p w:rsidR="00F73A35" w:rsidRDefault="00F73A35" w:rsidP="00F73A35">
      <w:pPr>
        <w:pStyle w:val="Call"/>
        <w:rPr>
          <w:i w:val="0"/>
          <w:iCs/>
          <w:rtl/>
        </w:rPr>
      </w:pPr>
      <w:r>
        <w:rPr>
          <w:i w:val="0"/>
          <w:iCs/>
          <w:rtl/>
        </w:rPr>
        <w:t>وإذ تلاحظ</w:t>
      </w:r>
    </w:p>
    <w:p w:rsidR="00F73A35" w:rsidRDefault="00F73A35" w:rsidP="00F73A35">
      <w:pPr>
        <w:tabs>
          <w:tab w:val="left" w:pos="720"/>
        </w:tabs>
        <w:rPr>
          <w:spacing w:val="2"/>
          <w:rtl/>
        </w:rPr>
      </w:pPr>
      <w:r>
        <w:rPr>
          <w:spacing w:val="2"/>
          <w:rtl/>
        </w:rPr>
        <w:t xml:space="preserve">أن التوصيتين </w:t>
      </w:r>
      <w:r>
        <w:rPr>
          <w:spacing w:val="2"/>
        </w:rPr>
        <w:t>ITU-R F.1668</w:t>
      </w:r>
      <w:r>
        <w:rPr>
          <w:spacing w:val="2"/>
          <w:rtl/>
        </w:rPr>
        <w:t xml:space="preserve"> و</w:t>
      </w:r>
      <w:r>
        <w:rPr>
          <w:spacing w:val="2"/>
        </w:rPr>
        <w:t>ITU-R F.1703</w:t>
      </w:r>
      <w:r>
        <w:rPr>
          <w:spacing w:val="2"/>
          <w:rtl/>
        </w:rPr>
        <w:t xml:space="preserve"> توصفان أهداف أداء الأخطاء والتيسر للوصلات اللاسلكية الثابتة الحقيقية المستعملة في المسيرات والتوصيلات المرجعية الافتراضية، </w:t>
      </w:r>
      <w:r>
        <w:rPr>
          <w:spacing w:val="2"/>
        </w:rPr>
        <w:t>km 27 500</w:t>
      </w:r>
      <w:r>
        <w:rPr>
          <w:spacing w:val="2"/>
          <w:rtl/>
        </w:rPr>
        <w:t>، استناداً إلى التوصية </w:t>
      </w:r>
      <w:r>
        <w:rPr>
          <w:spacing w:val="2"/>
        </w:rPr>
        <w:t>ITU-T G.826</w:t>
      </w:r>
      <w:r>
        <w:rPr>
          <w:spacing w:val="2"/>
          <w:rtl/>
        </w:rPr>
        <w:t xml:space="preserve"> و</w:t>
      </w:r>
      <w:r>
        <w:rPr>
          <w:spacing w:val="2"/>
        </w:rPr>
        <w:t>ITU-T G.827</w:t>
      </w:r>
      <w:r>
        <w:rPr>
          <w:spacing w:val="2"/>
          <w:rtl/>
        </w:rPr>
        <w:t>، على التوالي،</w:t>
      </w:r>
    </w:p>
    <w:p w:rsidR="00F73A35" w:rsidRDefault="00F73A35" w:rsidP="00F73A35">
      <w:pPr>
        <w:pStyle w:val="Call"/>
        <w:rPr>
          <w:rtl/>
        </w:rPr>
      </w:pPr>
      <w:r>
        <w:rPr>
          <w:i w:val="0"/>
          <w:iCs/>
          <w:rtl/>
        </w:rPr>
        <w:t xml:space="preserve">تقرر </w:t>
      </w:r>
      <w:r>
        <w:rPr>
          <w:rtl/>
        </w:rPr>
        <w:t>أن ال‍مسألة التالية ينبغي دراستها</w:t>
      </w:r>
    </w:p>
    <w:p w:rsidR="00F73A35" w:rsidRDefault="00F73A35" w:rsidP="00F73A35">
      <w:pPr>
        <w:tabs>
          <w:tab w:val="left" w:pos="720"/>
        </w:tabs>
        <w:rPr>
          <w:rtl/>
        </w:rPr>
      </w:pPr>
      <w:r>
        <w:rPr>
          <w:rtl/>
        </w:rPr>
        <w:t>ما هي البنود الرئيسية ذات الصلة بأهداف ومتطلبات الأداء والتيسر للطبقة المادية للبيانات في الأنظمة اللاسلكية الثابتة، بما في ذلك الأنظمة القائمة على الرزم، على أن يراعى:</w:t>
      </w:r>
    </w:p>
    <w:p w:rsidR="00F73A35" w:rsidRDefault="00F73A35" w:rsidP="00F73A35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المواصفات الحالية لقطاع تقييس الاتصالات المستقلة عن الوسائط بشأن المعمارية والسطوح البينية؛</w:t>
      </w:r>
    </w:p>
    <w:p w:rsidR="00F73A35" w:rsidRDefault="00F73A35" w:rsidP="00F73A35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التوصيات الحالية المحددة لقطاع تقييس الاتصالات بشأن أهداف أداء الأخطاء والتيسر؛</w:t>
      </w:r>
    </w:p>
    <w:p w:rsidR="00F73A35" w:rsidRDefault="00F73A35" w:rsidP="00F73A35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التوصيات الحالية المحددة لقطاع تقييس الاتصالات بشأن تخطيط الوصلة والانتشار؛</w:t>
      </w:r>
    </w:p>
    <w:p w:rsidR="00F73A35" w:rsidRDefault="00F73A35" w:rsidP="00F73A35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المنشورات الحالية للمنظمات الأخرى التي يتعين التواصل معها للقيام بهذا العمل،</w:t>
      </w:r>
    </w:p>
    <w:p w:rsidR="00F73A35" w:rsidRDefault="00F73A35" w:rsidP="00F73A35">
      <w:pPr>
        <w:pStyle w:val="Call"/>
        <w:rPr>
          <w:i w:val="0"/>
          <w:iCs/>
          <w:rtl/>
        </w:rPr>
      </w:pPr>
      <w:r>
        <w:rPr>
          <w:i w:val="0"/>
          <w:iCs/>
          <w:rtl/>
        </w:rPr>
        <w:lastRenderedPageBreak/>
        <w:t>تقرر كذلك</w:t>
      </w:r>
    </w:p>
    <w:p w:rsidR="00F73A35" w:rsidRDefault="00F73A35" w:rsidP="00F73A35">
      <w:pPr>
        <w:keepNext/>
        <w:keepLines/>
        <w:rPr>
          <w:rtl/>
        </w:rPr>
      </w:pPr>
      <w:r>
        <w:t>1</w:t>
      </w:r>
      <w:r>
        <w:rPr>
          <w:rtl/>
        </w:rPr>
        <w:tab/>
        <w:t>أن ترسل أي مشاكل تكون قد وقعت في التحليلات إلى قطاع تقييس الاتصالات و/أو المنتديات الأخرى لالتماس التوجيه وسعياً إلى الاتساق؛</w:t>
      </w:r>
    </w:p>
    <w:p w:rsidR="00F73A35" w:rsidRDefault="00F73A35" w:rsidP="00F73A35">
      <w:pPr>
        <w:keepNext/>
        <w:keepLines/>
        <w:rPr>
          <w:rtl/>
        </w:rPr>
      </w:pPr>
      <w:r>
        <w:t>2</w:t>
      </w:r>
      <w:r>
        <w:rPr>
          <w:rtl/>
        </w:rPr>
        <w:tab/>
        <w:t>ضرورة إدراج نتائج الدراسات المذكورة أعلاه في توصيات/تقارير جديدة و/أو مراجعة لقطاع الاتصالات الراديوية حسب الاقتضاء؛</w:t>
      </w:r>
    </w:p>
    <w:p w:rsidR="00F73A35" w:rsidRDefault="00F73A35" w:rsidP="00F73A35">
      <w:pPr>
        <w:rPr>
          <w:rtl/>
        </w:rPr>
      </w:pPr>
      <w:r>
        <w:t>3</w:t>
      </w:r>
      <w:r>
        <w:rPr>
          <w:rtl/>
        </w:rPr>
        <w:tab/>
        <w:t>ضرورة التوصل إلى النتائج الأولية للدراسات المذكورة أعلاه بحلول عام </w:t>
      </w:r>
      <w:r>
        <w:t>2019</w:t>
      </w:r>
      <w:r>
        <w:rPr>
          <w:rtl/>
        </w:rPr>
        <w:t>.</w:t>
      </w:r>
    </w:p>
    <w:p w:rsidR="00F73A35" w:rsidRDefault="00F73A35" w:rsidP="00F73A35">
      <w:pPr>
        <w:spacing w:before="480"/>
        <w:rPr>
          <w:rtl/>
        </w:rPr>
      </w:pPr>
      <w:r>
        <w:rPr>
          <w:rtl/>
        </w:rPr>
        <w:t xml:space="preserve">الفئة: </w:t>
      </w:r>
      <w:r>
        <w:t>S2</w:t>
      </w:r>
    </w:p>
    <w:p w:rsidR="00CC001C" w:rsidRDefault="00CC001C"/>
    <w:sectPr w:rsidR="00CC001C" w:rsidSect="006E3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BB" w:rsidRDefault="006E3CBB" w:rsidP="006E3CBB">
      <w:pPr>
        <w:spacing w:before="0" w:line="240" w:lineRule="auto"/>
      </w:pPr>
      <w:r>
        <w:separator/>
      </w:r>
    </w:p>
  </w:endnote>
  <w:endnote w:type="continuationSeparator" w:id="0">
    <w:p w:rsidR="006E3CBB" w:rsidRDefault="006E3CBB" w:rsidP="006E3CB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BB" w:rsidRDefault="006E3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BB" w:rsidRDefault="006E3C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BB" w:rsidRDefault="006E3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BB" w:rsidRDefault="006E3CBB" w:rsidP="006E3CBB">
      <w:pPr>
        <w:spacing w:before="0" w:line="240" w:lineRule="auto"/>
      </w:pPr>
      <w:r>
        <w:separator/>
      </w:r>
    </w:p>
  </w:footnote>
  <w:footnote w:type="continuationSeparator" w:id="0">
    <w:p w:rsidR="006E3CBB" w:rsidRDefault="006E3CBB" w:rsidP="006E3CB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BB" w:rsidRDefault="006E3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BB" w:rsidRDefault="006E3CBB">
    <w:pPr>
      <w:pStyle w:val="Header"/>
      <w:jc w:val="center"/>
    </w:pPr>
    <w:r>
      <w:t xml:space="preserve"> </w:t>
    </w:r>
    <w:bookmarkStart w:id="0" w:name="_GoBack"/>
    <w:bookmarkEnd w:id="0"/>
    <w:sdt>
      <w:sdtPr>
        <w:rPr>
          <w:rtl/>
        </w:rPr>
        <w:id w:val="1527989172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Pr="006E3CBB">
          <w:rPr>
            <w:sz w:val="18"/>
            <w:szCs w:val="18"/>
          </w:rPr>
          <w:fldChar w:fldCharType="begin"/>
        </w:r>
        <w:r w:rsidRPr="006E3CBB">
          <w:rPr>
            <w:sz w:val="18"/>
            <w:szCs w:val="18"/>
          </w:rPr>
          <w:instrText xml:space="preserve"> PAGE   \* MERGEFORMAT </w:instrText>
        </w:r>
        <w:r w:rsidRPr="006E3CB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  <w:rtl/>
          </w:rPr>
          <w:t>2</w:t>
        </w:r>
        <w:r w:rsidRPr="006E3CBB">
          <w:rPr>
            <w:noProof/>
            <w:sz w:val="18"/>
            <w:szCs w:val="18"/>
          </w:rPr>
          <w:fldChar w:fldCharType="end"/>
        </w:r>
      </w:sdtContent>
    </w:sdt>
  </w:p>
  <w:p w:rsidR="006E3CBB" w:rsidRDefault="006E3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BB" w:rsidRDefault="006E3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35"/>
    <w:rsid w:val="006E3CBB"/>
    <w:rsid w:val="00CC001C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5C3CB-6199-4BC2-874C-9E26318F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A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</w:pPr>
    <w:rPr>
      <w:rFonts w:eastAsia="Times New Roman" w:cs="Traditional Arabic"/>
      <w:sz w:val="24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F73A35"/>
    <w:pPr>
      <w:spacing w:before="360"/>
    </w:pPr>
  </w:style>
  <w:style w:type="character" w:customStyle="1" w:styleId="CallChar">
    <w:name w:val="Call Char"/>
    <w:basedOn w:val="DefaultParagraphFont"/>
    <w:link w:val="Call"/>
    <w:locked/>
    <w:rsid w:val="00F73A35"/>
    <w:rPr>
      <w:rFonts w:cs="Traditional Arabic"/>
      <w:i/>
      <w:sz w:val="24"/>
      <w:szCs w:val="30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F73A35"/>
    <w:pPr>
      <w:keepNext/>
      <w:keepLines/>
      <w:spacing w:before="160"/>
      <w:ind w:left="794"/>
    </w:pPr>
    <w:rPr>
      <w:rFonts w:eastAsiaTheme="minorEastAsia"/>
      <w:i/>
    </w:rPr>
  </w:style>
  <w:style w:type="character" w:customStyle="1" w:styleId="QuestiontitleChar">
    <w:name w:val="Question_title Char"/>
    <w:basedOn w:val="DefaultParagraphFont"/>
    <w:link w:val="Questiontitle"/>
    <w:locked/>
    <w:rsid w:val="00F73A35"/>
    <w:rPr>
      <w:rFonts w:cs="Traditional Arabic"/>
      <w:b/>
      <w:bCs/>
      <w:sz w:val="28"/>
      <w:szCs w:val="40"/>
      <w:lang w:eastAsia="en-US"/>
    </w:rPr>
  </w:style>
  <w:style w:type="paragraph" w:customStyle="1" w:styleId="Questionref">
    <w:name w:val="Question_ref"/>
    <w:basedOn w:val="Normal"/>
    <w:next w:val="Normal"/>
    <w:rsid w:val="00F73A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title">
    <w:name w:val="Question_title"/>
    <w:basedOn w:val="Normal"/>
    <w:next w:val="Questionref"/>
    <w:link w:val="QuestiontitleChar"/>
    <w:rsid w:val="00F73A35"/>
    <w:pPr>
      <w:keepNext/>
      <w:keepLines/>
      <w:spacing w:before="360"/>
      <w:jc w:val="center"/>
    </w:pPr>
    <w:rPr>
      <w:rFonts w:eastAsiaTheme="minorEastAsia"/>
      <w:b/>
      <w:bCs/>
      <w:sz w:val="28"/>
      <w:szCs w:val="40"/>
    </w:rPr>
  </w:style>
  <w:style w:type="paragraph" w:customStyle="1" w:styleId="enumlev1">
    <w:name w:val="enumlev1"/>
    <w:basedOn w:val="Normal"/>
    <w:rsid w:val="00F73A35"/>
    <w:pPr>
      <w:spacing w:before="80"/>
      <w:ind w:left="794" w:hanging="794"/>
    </w:pPr>
  </w:style>
  <w:style w:type="paragraph" w:customStyle="1" w:styleId="QuestionNo">
    <w:name w:val="Question_No"/>
    <w:basedOn w:val="Normal"/>
    <w:next w:val="Questiontitle"/>
    <w:rsid w:val="00F73A35"/>
    <w:pPr>
      <w:keepNext/>
      <w:keepLines/>
      <w:spacing w:before="240" w:after="240"/>
      <w:jc w:val="center"/>
    </w:pPr>
    <w:rPr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6E3CBB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CBB"/>
    <w:rPr>
      <w:rFonts w:eastAsia="Times New Roman" w:cs="Traditional Arabic"/>
      <w:sz w:val="24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3CBB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CBB"/>
    <w:rPr>
      <w:rFonts w:eastAsia="Times New Roman" w:cs="Traditional Arabic"/>
      <w:sz w:val="24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1910</Characters>
  <Application>Microsoft Office Word</Application>
  <DocSecurity>0</DocSecurity>
  <Lines>15</Lines>
  <Paragraphs>4</Paragraphs>
  <ScaleCrop>false</ScaleCrop>
  <Company>ITU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2</cp:revision>
  <dcterms:created xsi:type="dcterms:W3CDTF">2015-02-11T13:32:00Z</dcterms:created>
  <dcterms:modified xsi:type="dcterms:W3CDTF">2015-02-11T13:36:00Z</dcterms:modified>
</cp:coreProperties>
</file>