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3E" w:rsidRPr="00445A30" w:rsidRDefault="00C1003E" w:rsidP="00C1003E">
      <w:pPr>
        <w:pStyle w:val="QuestionNo"/>
        <w:spacing w:before="360"/>
        <w:jc w:val="center"/>
        <w:rPr>
          <w:b w:val="0"/>
          <w:bCs/>
          <w:lang w:eastAsia="zh-CN"/>
        </w:rPr>
      </w:pPr>
      <w:r w:rsidRPr="00445A30">
        <w:rPr>
          <w:rFonts w:hint="eastAsia"/>
          <w:b w:val="0"/>
          <w:bCs/>
          <w:lang w:eastAsia="zh-CN"/>
        </w:rPr>
        <w:t>ITU-R</w:t>
      </w:r>
      <w:r w:rsidRPr="00445A30">
        <w:rPr>
          <w:rFonts w:hint="eastAsia"/>
          <w:b w:val="0"/>
          <w:bCs/>
          <w:lang w:eastAsia="zh-CN"/>
        </w:rPr>
        <w:t>第</w:t>
      </w:r>
      <w:r w:rsidRPr="00445A30">
        <w:rPr>
          <w:rFonts w:hint="eastAsia"/>
          <w:b w:val="0"/>
          <w:bCs/>
          <w:lang w:eastAsia="zh-CN"/>
        </w:rPr>
        <w:t>255/5</w:t>
      </w:r>
      <w:r w:rsidRPr="00445A30">
        <w:rPr>
          <w:rFonts w:hint="eastAsia"/>
          <w:b w:val="0"/>
          <w:bCs/>
          <w:lang w:eastAsia="zh-CN"/>
        </w:rPr>
        <w:t>号课题</w:t>
      </w:r>
    </w:p>
    <w:p w:rsidR="00C1003E" w:rsidRPr="00445A30" w:rsidRDefault="00C1003E" w:rsidP="00C1003E">
      <w:pPr>
        <w:pStyle w:val="Questiontitle"/>
        <w:rPr>
          <w:lang w:eastAsia="zh-CN"/>
        </w:rPr>
      </w:pPr>
      <w:r w:rsidRPr="00445A30">
        <w:rPr>
          <w:rFonts w:hint="eastAsia"/>
          <w:lang w:eastAsia="zh-CN"/>
        </w:rPr>
        <w:t>固定无线系统（包括分组系统）性能和可用度指标及要求</w:t>
      </w:r>
    </w:p>
    <w:p w:rsidR="00C1003E" w:rsidRPr="00445A30" w:rsidRDefault="00C1003E" w:rsidP="00C1003E">
      <w:pPr>
        <w:pStyle w:val="Normalaftertitle"/>
        <w:jc w:val="right"/>
        <w:rPr>
          <w:rFonts w:ascii="Calibri" w:eastAsia="SimSun" w:hAnsi="Calibri"/>
          <w:lang w:eastAsia="zh-CN"/>
        </w:rPr>
      </w:pPr>
      <w:r w:rsidRPr="00445A30">
        <w:rPr>
          <w:rFonts w:ascii="Calibri" w:eastAsia="SimSun" w:hAnsi="Calibri" w:hint="eastAsia"/>
          <w:lang w:val="en-US" w:eastAsia="zh-CN"/>
        </w:rPr>
        <w:t>（</w:t>
      </w:r>
      <w:r w:rsidRPr="00445A30">
        <w:rPr>
          <w:rFonts w:ascii="Calibri" w:eastAsia="SimSun" w:hAnsi="Calibri" w:hint="eastAsia"/>
          <w:lang w:val="en-US" w:eastAsia="zh-CN"/>
        </w:rPr>
        <w:t>2015</w:t>
      </w:r>
      <w:r w:rsidRPr="00445A30">
        <w:rPr>
          <w:rFonts w:ascii="Calibri" w:eastAsia="SimSun" w:hAnsi="Calibri" w:hint="eastAsia"/>
          <w:lang w:val="en-US" w:eastAsia="zh-CN"/>
        </w:rPr>
        <w:t>年</w:t>
      </w:r>
      <w:r w:rsidRPr="00445A30">
        <w:rPr>
          <w:rFonts w:ascii="Calibri" w:eastAsia="SimSun" w:hAnsi="Calibri"/>
          <w:lang w:val="en-US" w:eastAsia="zh-CN"/>
        </w:rPr>
        <w:t>）</w:t>
      </w:r>
    </w:p>
    <w:p w:rsidR="00C1003E" w:rsidRPr="00C33A81" w:rsidRDefault="00C1003E" w:rsidP="00C1003E">
      <w:pPr>
        <w:pStyle w:val="Normalaftertitle"/>
        <w:rPr>
          <w:rFonts w:eastAsia="SimSun"/>
          <w:lang w:eastAsia="zh-CN"/>
        </w:rPr>
      </w:pPr>
      <w:r w:rsidRPr="00C33A81">
        <w:rPr>
          <w:rFonts w:eastAsia="SimSun" w:hint="eastAsia"/>
          <w:lang w:eastAsia="zh-CN"/>
        </w:rPr>
        <w:t>国际电联无线电通信全会，</w:t>
      </w:r>
    </w:p>
    <w:p w:rsidR="00C1003E" w:rsidRPr="00445A30" w:rsidRDefault="00C1003E" w:rsidP="00C1003E">
      <w:pPr>
        <w:pStyle w:val="Call"/>
        <w:rPr>
          <w:lang w:eastAsia="zh-CN"/>
        </w:rPr>
      </w:pPr>
      <w:r w:rsidRPr="00445A30">
        <w:rPr>
          <w:rFonts w:hint="eastAsia"/>
          <w:lang w:eastAsia="zh-CN"/>
        </w:rPr>
        <w:t>考虑到</w:t>
      </w:r>
    </w:p>
    <w:p w:rsidR="00C1003E" w:rsidRPr="00445A30" w:rsidRDefault="00C1003E" w:rsidP="00C1003E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a)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当前对带宽的需求日益显著增长，固定无线系统（</w:t>
      </w:r>
      <w:r w:rsidRPr="00445A30">
        <w:rPr>
          <w:lang w:eastAsia="zh-CN"/>
        </w:rPr>
        <w:t>FWS</w:t>
      </w:r>
      <w:r w:rsidRPr="00445A30">
        <w:rPr>
          <w:rFonts w:hint="eastAsia"/>
          <w:lang w:eastAsia="zh-CN"/>
        </w:rPr>
        <w:t>）技术也从支持低容量向支持高容量演进，可以提供更高速的数据传输；</w:t>
      </w:r>
    </w:p>
    <w:p w:rsidR="00C1003E" w:rsidRPr="00445A30" w:rsidRDefault="00C1003E" w:rsidP="00C1003E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b)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关于容量的发展，固定业务已经历多年发展，且在技术和应用方面仍在不断演进；</w:t>
      </w:r>
    </w:p>
    <w:p w:rsidR="00C1003E" w:rsidRPr="00445A30" w:rsidRDefault="00C1003E" w:rsidP="00C1003E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c)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固定无线系统技术的演进也正在引起网络性能、可用度、架构、容量和带宽要求方面的不断变化；</w:t>
      </w:r>
    </w:p>
    <w:p w:rsidR="00C1003E" w:rsidRPr="00445A30" w:rsidRDefault="00C1003E" w:rsidP="00C1003E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d)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分组应用构成了当前传输和接入网的主要部分，预计将在不久的未来强劲增长；</w:t>
      </w:r>
    </w:p>
    <w:p w:rsidR="00C1003E" w:rsidRPr="00445A30" w:rsidRDefault="00C1003E" w:rsidP="00C1003E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e)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有必要了解这些正在演进的固定无线系统（包括分组系统）物理数据层的性能、可用度指标及要求；</w:t>
      </w:r>
    </w:p>
    <w:p w:rsidR="00C1003E" w:rsidRPr="00445A30" w:rsidRDefault="00C1003E" w:rsidP="00C1003E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f)</w:t>
      </w:r>
      <w:r w:rsidRPr="00445A30">
        <w:rPr>
          <w:rFonts w:hint="eastAsia"/>
          <w:lang w:eastAsia="zh-CN"/>
        </w:rPr>
        <w:tab/>
      </w:r>
      <w:r w:rsidRPr="00445A30">
        <w:rPr>
          <w:rFonts w:hint="eastAsia"/>
          <w:lang w:eastAsia="zh-CN"/>
        </w:rPr>
        <w:t>有必要提供导则，协助各主管部门、生产厂商和电信运营商建设并维护网络，</w:t>
      </w:r>
    </w:p>
    <w:p w:rsidR="00C1003E" w:rsidRPr="00445A30" w:rsidRDefault="00C1003E" w:rsidP="00C1003E">
      <w:pPr>
        <w:pStyle w:val="Call"/>
        <w:rPr>
          <w:lang w:eastAsia="zh-CN"/>
        </w:rPr>
      </w:pPr>
      <w:r w:rsidRPr="00445A30">
        <w:rPr>
          <w:rFonts w:hint="eastAsia"/>
          <w:lang w:eastAsia="zh-CN"/>
        </w:rPr>
        <w:t>注意到</w:t>
      </w:r>
    </w:p>
    <w:p w:rsidR="00C1003E" w:rsidRPr="00445A30" w:rsidRDefault="00C1003E" w:rsidP="00C1003E">
      <w:pPr>
        <w:spacing w:before="120"/>
        <w:ind w:firstLineChars="200" w:firstLine="480"/>
        <w:rPr>
          <w:lang w:eastAsia="zh-CN"/>
        </w:rPr>
      </w:pPr>
      <w:r w:rsidRPr="00445A30">
        <w:rPr>
          <w:lang w:eastAsia="zh-CN"/>
        </w:rPr>
        <w:t>ITU-R F.1668</w:t>
      </w:r>
      <w:r w:rsidRPr="00445A30">
        <w:rPr>
          <w:rFonts w:hint="eastAsia"/>
          <w:lang w:eastAsia="zh-CN"/>
        </w:rPr>
        <w:t>和</w:t>
      </w:r>
      <w:r w:rsidRPr="00445A30">
        <w:rPr>
          <w:lang w:eastAsia="zh-CN"/>
        </w:rPr>
        <w:t>ITU-R F.1703</w:t>
      </w:r>
      <w:r w:rsidRPr="00445A30">
        <w:rPr>
          <w:rFonts w:hint="eastAsia"/>
          <w:lang w:eastAsia="zh-CN"/>
        </w:rPr>
        <w:t>建议书规定了分别根据</w:t>
      </w:r>
      <w:r w:rsidRPr="00445A30">
        <w:rPr>
          <w:lang w:eastAsia="zh-CN"/>
        </w:rPr>
        <w:t>ITU-T G.826</w:t>
      </w:r>
      <w:r w:rsidRPr="00445A30">
        <w:rPr>
          <w:rFonts w:hint="eastAsia"/>
          <w:lang w:eastAsia="zh-CN"/>
        </w:rPr>
        <w:t>和</w:t>
      </w:r>
      <w:r w:rsidRPr="00445A30">
        <w:rPr>
          <w:lang w:eastAsia="zh-CN"/>
        </w:rPr>
        <w:t>ITU-T G.827</w:t>
      </w:r>
      <w:r w:rsidRPr="00445A30">
        <w:rPr>
          <w:rFonts w:hint="eastAsia"/>
          <w:lang w:eastAsia="zh-CN"/>
        </w:rPr>
        <w:t>建议书在</w:t>
      </w:r>
      <w:r w:rsidRPr="00445A30">
        <w:rPr>
          <w:lang w:eastAsia="zh-CN"/>
        </w:rPr>
        <w:t>27 500</w:t>
      </w:r>
      <w:r w:rsidRPr="00445A30">
        <w:rPr>
          <w:rFonts w:hint="eastAsia"/>
          <w:lang w:eastAsia="zh-CN"/>
        </w:rPr>
        <w:t>公里假定参考路径和连接中使用的、真实固定无线链路的误码性能和可用度指标，</w:t>
      </w:r>
    </w:p>
    <w:p w:rsidR="00C1003E" w:rsidRPr="00445A30" w:rsidRDefault="00C1003E" w:rsidP="00C1003E">
      <w:pPr>
        <w:pStyle w:val="Call"/>
        <w:rPr>
          <w:lang w:eastAsia="zh-CN"/>
        </w:rPr>
      </w:pPr>
      <w:r w:rsidRPr="00445A30">
        <w:rPr>
          <w:rFonts w:hint="eastAsia"/>
          <w:lang w:eastAsia="zh-CN"/>
        </w:rPr>
        <w:t>做出决定，应对以下课题予以研究</w:t>
      </w:r>
    </w:p>
    <w:p w:rsidR="00C1003E" w:rsidRPr="00445A30" w:rsidRDefault="00C1003E" w:rsidP="00C1003E">
      <w:pPr>
        <w:spacing w:before="120"/>
        <w:ind w:firstLineChars="200" w:firstLine="480"/>
        <w:rPr>
          <w:lang w:eastAsia="zh-CN"/>
        </w:rPr>
      </w:pPr>
      <w:r w:rsidRPr="00445A30">
        <w:rPr>
          <w:rFonts w:hint="eastAsia"/>
          <w:lang w:eastAsia="zh-CN"/>
        </w:rPr>
        <w:t>考虑到以下因素，与固定无线系统（包括分组系统）物理数据层性能和可用度指标有关的重要事项有哪些</w:t>
      </w:r>
      <w:r>
        <w:rPr>
          <w:rFonts w:hint="eastAsia"/>
          <w:lang w:eastAsia="zh-CN"/>
        </w:rPr>
        <w:t>？</w:t>
      </w:r>
    </w:p>
    <w:p w:rsidR="00C1003E" w:rsidRPr="00445A30" w:rsidRDefault="00C1003E" w:rsidP="00C1003E">
      <w:pPr>
        <w:pStyle w:val="enumlev1"/>
        <w:spacing w:line="240" w:lineRule="auto"/>
        <w:jc w:val="left"/>
        <w:rPr>
          <w:rFonts w:eastAsia="SimSun" w:cs="Times New Roman"/>
          <w:szCs w:val="20"/>
          <w:lang w:val="en-GB" w:eastAsia="zh-CN"/>
        </w:rPr>
      </w:pPr>
      <w:r w:rsidRPr="00445A30">
        <w:rPr>
          <w:rFonts w:eastAsia="SimSun" w:cs="Times New Roman"/>
          <w:szCs w:val="20"/>
          <w:lang w:val="en-GB" w:eastAsia="zh-CN"/>
        </w:rPr>
        <w:t>−</w:t>
      </w:r>
      <w:r w:rsidRPr="00445A30">
        <w:rPr>
          <w:rFonts w:eastAsia="SimSun" w:cs="Times New Roman"/>
          <w:szCs w:val="20"/>
          <w:lang w:val="en-GB" w:eastAsia="zh-CN"/>
        </w:rPr>
        <w:tab/>
        <w:t>ITU-T</w:t>
      </w:r>
      <w:r w:rsidRPr="00445A30">
        <w:rPr>
          <w:rFonts w:eastAsia="SimSun" w:cs="Times New Roman" w:hint="eastAsia"/>
          <w:szCs w:val="20"/>
          <w:lang w:val="en-GB" w:eastAsia="zh-CN"/>
        </w:rPr>
        <w:t>与媒介无关的现有架构和接口指标；</w:t>
      </w:r>
    </w:p>
    <w:p w:rsidR="00C1003E" w:rsidRPr="00445A30" w:rsidRDefault="00C1003E" w:rsidP="00C1003E">
      <w:pPr>
        <w:pStyle w:val="enumlev1"/>
        <w:spacing w:line="240" w:lineRule="auto"/>
        <w:jc w:val="left"/>
        <w:rPr>
          <w:rFonts w:eastAsia="SimSun" w:cs="Times New Roman"/>
          <w:szCs w:val="20"/>
          <w:lang w:val="en-GB" w:eastAsia="zh-CN"/>
        </w:rPr>
      </w:pPr>
      <w:r w:rsidRPr="00445A30">
        <w:rPr>
          <w:rFonts w:eastAsia="SimSun" w:cs="Times New Roman"/>
          <w:szCs w:val="20"/>
          <w:lang w:val="en-GB" w:eastAsia="zh-CN"/>
        </w:rPr>
        <w:t>−</w:t>
      </w:r>
      <w:r w:rsidRPr="00445A30">
        <w:rPr>
          <w:rFonts w:eastAsia="SimSun" w:cs="Times New Roman"/>
          <w:szCs w:val="20"/>
          <w:lang w:val="en-GB" w:eastAsia="zh-CN"/>
        </w:rPr>
        <w:tab/>
      </w:r>
      <w:r w:rsidRPr="00445A30">
        <w:rPr>
          <w:rFonts w:eastAsia="SimSun" w:cs="Times New Roman" w:hint="eastAsia"/>
          <w:szCs w:val="20"/>
          <w:lang w:val="en-GB" w:eastAsia="zh-CN"/>
        </w:rPr>
        <w:t>目前与误码性能和可用度指标有关的具体</w:t>
      </w:r>
      <w:r w:rsidRPr="00445A30">
        <w:rPr>
          <w:rFonts w:eastAsia="SimSun" w:cs="Times New Roman"/>
          <w:szCs w:val="20"/>
          <w:lang w:val="en-GB" w:eastAsia="zh-CN"/>
        </w:rPr>
        <w:t>ITU-T</w:t>
      </w:r>
      <w:r w:rsidRPr="00445A30">
        <w:rPr>
          <w:rFonts w:eastAsia="SimSun" w:cs="Times New Roman" w:hint="eastAsia"/>
          <w:szCs w:val="20"/>
          <w:lang w:val="en-GB" w:eastAsia="zh-CN"/>
        </w:rPr>
        <w:t>建议书；</w:t>
      </w:r>
    </w:p>
    <w:p w:rsidR="00C1003E" w:rsidRPr="00445A30" w:rsidRDefault="00C1003E" w:rsidP="00C1003E">
      <w:pPr>
        <w:pStyle w:val="enumlev1"/>
        <w:spacing w:line="240" w:lineRule="auto"/>
        <w:jc w:val="left"/>
        <w:rPr>
          <w:rFonts w:eastAsia="SimSun" w:cs="Times New Roman"/>
          <w:szCs w:val="20"/>
          <w:lang w:val="en-GB" w:eastAsia="zh-CN"/>
        </w:rPr>
      </w:pPr>
      <w:r w:rsidRPr="00445A30">
        <w:rPr>
          <w:rFonts w:eastAsia="SimSun" w:cs="Times New Roman"/>
          <w:szCs w:val="20"/>
          <w:lang w:val="en-GB" w:eastAsia="zh-CN"/>
        </w:rPr>
        <w:t>−</w:t>
      </w:r>
      <w:r w:rsidRPr="00445A30">
        <w:rPr>
          <w:rFonts w:eastAsia="SimSun" w:cs="Times New Roman"/>
          <w:szCs w:val="20"/>
          <w:lang w:val="en-GB" w:eastAsia="zh-CN"/>
        </w:rPr>
        <w:tab/>
      </w:r>
      <w:r w:rsidRPr="00445A30">
        <w:rPr>
          <w:rFonts w:eastAsia="SimSun" w:cs="Times New Roman" w:hint="eastAsia"/>
          <w:szCs w:val="20"/>
          <w:lang w:val="en-GB" w:eastAsia="zh-CN"/>
        </w:rPr>
        <w:t>目前与链路规划和传播有关的具体</w:t>
      </w:r>
      <w:r w:rsidRPr="00445A30">
        <w:rPr>
          <w:rFonts w:eastAsia="SimSun" w:cs="Times New Roman"/>
          <w:szCs w:val="20"/>
          <w:lang w:val="en-GB" w:eastAsia="zh-CN"/>
        </w:rPr>
        <w:t>ITU-R</w:t>
      </w:r>
      <w:r w:rsidRPr="00445A30">
        <w:rPr>
          <w:rFonts w:eastAsia="SimSun" w:cs="Times New Roman" w:hint="eastAsia"/>
          <w:szCs w:val="20"/>
          <w:lang w:val="en-GB" w:eastAsia="zh-CN"/>
        </w:rPr>
        <w:t>建议书；</w:t>
      </w:r>
    </w:p>
    <w:p w:rsidR="00C1003E" w:rsidRPr="00445A30" w:rsidRDefault="00C1003E" w:rsidP="00C1003E">
      <w:pPr>
        <w:pStyle w:val="enumlev1"/>
        <w:spacing w:line="240" w:lineRule="auto"/>
        <w:jc w:val="left"/>
        <w:rPr>
          <w:rFonts w:eastAsia="SimSun" w:cs="Times New Roman"/>
          <w:szCs w:val="20"/>
          <w:lang w:val="en-GB" w:eastAsia="zh-CN"/>
        </w:rPr>
      </w:pPr>
      <w:r w:rsidRPr="00445A30">
        <w:rPr>
          <w:rFonts w:eastAsia="SimSun" w:cs="Times New Roman"/>
          <w:szCs w:val="20"/>
          <w:lang w:val="en-GB" w:eastAsia="zh-CN"/>
        </w:rPr>
        <w:t>−</w:t>
      </w:r>
      <w:r w:rsidRPr="00445A30">
        <w:rPr>
          <w:rFonts w:eastAsia="SimSun" w:cs="Times New Roman"/>
          <w:szCs w:val="20"/>
          <w:lang w:val="en-GB" w:eastAsia="zh-CN"/>
        </w:rPr>
        <w:tab/>
      </w:r>
      <w:r w:rsidRPr="00445A30">
        <w:rPr>
          <w:rFonts w:eastAsia="SimSun" w:cs="Times New Roman" w:hint="eastAsia"/>
          <w:szCs w:val="20"/>
          <w:lang w:val="en-GB" w:eastAsia="zh-CN"/>
        </w:rPr>
        <w:t>在开展此项工作的过程中需要与其联络的其他组织的现有出版物，</w:t>
      </w:r>
    </w:p>
    <w:p w:rsidR="00C1003E" w:rsidRPr="00445A30" w:rsidRDefault="00C1003E" w:rsidP="00C1003E">
      <w:pPr>
        <w:pStyle w:val="Call"/>
        <w:rPr>
          <w:lang w:eastAsia="zh-CN"/>
        </w:rPr>
      </w:pPr>
      <w:r w:rsidRPr="00445A30">
        <w:rPr>
          <w:rFonts w:hint="eastAsia"/>
          <w:lang w:eastAsia="zh-CN"/>
        </w:rPr>
        <w:t>进一步做出决定</w:t>
      </w:r>
    </w:p>
    <w:p w:rsidR="00C1003E" w:rsidRPr="00445A30" w:rsidRDefault="00C1003E" w:rsidP="00C1003E">
      <w:pPr>
        <w:spacing w:before="120"/>
        <w:rPr>
          <w:lang w:eastAsia="zh-CN"/>
        </w:rPr>
      </w:pPr>
      <w:r w:rsidRPr="00445A30">
        <w:rPr>
          <w:lang w:eastAsia="zh-CN"/>
        </w:rPr>
        <w:t>1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最终在分析中确定的问题应与</w:t>
      </w:r>
      <w:r w:rsidRPr="00445A30">
        <w:rPr>
          <w:lang w:eastAsia="zh-CN"/>
        </w:rPr>
        <w:t>ITU-T</w:t>
      </w:r>
      <w:r w:rsidRPr="00445A30">
        <w:rPr>
          <w:rFonts w:hint="eastAsia"/>
          <w:lang w:eastAsia="zh-CN"/>
        </w:rPr>
        <w:t>和</w:t>
      </w:r>
      <w:r w:rsidRPr="00445A30">
        <w:rPr>
          <w:lang w:eastAsia="zh-CN"/>
        </w:rPr>
        <w:t>/</w:t>
      </w:r>
      <w:r w:rsidRPr="00445A30">
        <w:rPr>
          <w:rFonts w:hint="eastAsia"/>
          <w:lang w:eastAsia="zh-CN"/>
        </w:rPr>
        <w:t>或其他论坛沟通，以获得指导并进行统一；</w:t>
      </w:r>
    </w:p>
    <w:p w:rsidR="00C1003E" w:rsidRPr="00445A30" w:rsidRDefault="00C1003E" w:rsidP="00C1003E">
      <w:pPr>
        <w:spacing w:before="120"/>
        <w:rPr>
          <w:lang w:eastAsia="zh-CN"/>
        </w:rPr>
      </w:pPr>
      <w:r w:rsidRPr="00445A30">
        <w:rPr>
          <w:lang w:eastAsia="zh-CN"/>
        </w:rPr>
        <w:t>2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应酌情将上述研究结果纳入新的和</w:t>
      </w:r>
      <w:r w:rsidRPr="00445A30">
        <w:rPr>
          <w:lang w:eastAsia="zh-CN"/>
        </w:rPr>
        <w:t>/</w:t>
      </w:r>
      <w:r w:rsidRPr="00445A30">
        <w:rPr>
          <w:rFonts w:hint="eastAsia"/>
          <w:lang w:eastAsia="zh-CN"/>
        </w:rPr>
        <w:t>或经修订的</w:t>
      </w:r>
      <w:r w:rsidRPr="00445A30">
        <w:rPr>
          <w:lang w:eastAsia="zh-CN"/>
        </w:rPr>
        <w:t>ITU-R</w:t>
      </w:r>
      <w:r w:rsidRPr="00445A30">
        <w:rPr>
          <w:rFonts w:hint="eastAsia"/>
          <w:lang w:eastAsia="zh-CN"/>
        </w:rPr>
        <w:t>报告</w:t>
      </w:r>
      <w:r w:rsidRPr="00445A30">
        <w:rPr>
          <w:lang w:eastAsia="zh-CN"/>
        </w:rPr>
        <w:t>/</w:t>
      </w:r>
      <w:r w:rsidRPr="00445A30">
        <w:rPr>
          <w:rFonts w:hint="eastAsia"/>
          <w:lang w:eastAsia="zh-CN"/>
        </w:rPr>
        <w:t>建议书中；</w:t>
      </w:r>
    </w:p>
    <w:p w:rsidR="00C1003E" w:rsidRPr="00445A30" w:rsidRDefault="00C1003E" w:rsidP="00C1003E">
      <w:pPr>
        <w:spacing w:before="120"/>
        <w:rPr>
          <w:lang w:eastAsia="zh-CN"/>
        </w:rPr>
      </w:pPr>
      <w:r w:rsidRPr="00445A30">
        <w:rPr>
          <w:lang w:eastAsia="zh-CN"/>
        </w:rPr>
        <w:t>3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以上研究的初步结果应在</w:t>
      </w:r>
      <w:r w:rsidRPr="00445A30">
        <w:rPr>
          <w:lang w:eastAsia="zh-CN"/>
        </w:rPr>
        <w:t>2019</w:t>
      </w:r>
      <w:r w:rsidRPr="00445A30">
        <w:rPr>
          <w:rFonts w:hint="eastAsia"/>
          <w:lang w:eastAsia="zh-CN"/>
        </w:rPr>
        <w:t>年之前完成。</w:t>
      </w:r>
    </w:p>
    <w:p w:rsidR="00C1003E" w:rsidRDefault="00C1003E" w:rsidP="00C1003E">
      <w:pPr>
        <w:spacing w:before="480"/>
        <w:rPr>
          <w:lang w:eastAsia="zh-CN"/>
        </w:rPr>
      </w:pPr>
      <w:r w:rsidRPr="00445A30">
        <w:rPr>
          <w:rFonts w:hint="eastAsia"/>
          <w:lang w:eastAsia="zh-CN"/>
        </w:rPr>
        <w:t>类别：</w:t>
      </w:r>
      <w:r w:rsidRPr="00445A30">
        <w:rPr>
          <w:lang w:eastAsia="zh-CN"/>
        </w:rPr>
        <w:t>S2</w:t>
      </w:r>
      <w:bookmarkStart w:id="0" w:name="_GoBack"/>
      <w:bookmarkEnd w:id="0"/>
    </w:p>
    <w:sectPr w:rsidR="00C1003E" w:rsidSect="008B3117">
      <w:pgSz w:w="11906" w:h="16838" w:code="9"/>
      <w:pgMar w:top="851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3E"/>
    <w:rsid w:val="008B3117"/>
    <w:rsid w:val="00C1003E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DBC09-EF55-42DF-8309-135E9EB5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0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C1003E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C1003E"/>
    <w:pPr>
      <w:keepNext/>
      <w:keepLines/>
      <w:spacing w:line="240" w:lineRule="auto"/>
      <w:ind w:left="794"/>
      <w:jc w:val="left"/>
    </w:pPr>
    <w:rPr>
      <w:rFonts w:ascii="STKaiti" w:eastAsia="STKaiti" w:hAnsi="STKaiti" w:cs="Times New Roman"/>
      <w:szCs w:val="20"/>
      <w:lang w:val="en-GB"/>
    </w:rPr>
  </w:style>
  <w:style w:type="paragraph" w:customStyle="1" w:styleId="QuestionNo">
    <w:name w:val="Question_No"/>
    <w:basedOn w:val="Normal"/>
    <w:next w:val="Questiontitle"/>
    <w:rsid w:val="00C1003E"/>
    <w:pPr>
      <w:keepNext/>
      <w:keepLines/>
      <w:spacing w:before="0"/>
      <w:jc w:val="left"/>
    </w:pPr>
    <w:rPr>
      <w:b/>
      <w:sz w:val="28"/>
    </w:rPr>
  </w:style>
  <w:style w:type="paragraph" w:customStyle="1" w:styleId="Questiontitle">
    <w:name w:val="Question_title"/>
    <w:basedOn w:val="Normal"/>
    <w:next w:val="Normal"/>
    <w:rsid w:val="00C1003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enumlev1Char">
    <w:name w:val="enumlev1 Char"/>
    <w:link w:val="enumlev1"/>
    <w:locked/>
    <w:rsid w:val="00C1003E"/>
    <w:rPr>
      <w:rFonts w:ascii="Calibri" w:hAnsi="Calibri" w:cs="Calibri"/>
      <w:sz w:val="24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C1003E"/>
    <w:rPr>
      <w:rFonts w:ascii="STKaiti" w:eastAsia="STKaiti" w:hAnsi="STKaiti" w:cs="Times New Roman"/>
      <w:sz w:val="24"/>
      <w:szCs w:val="20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1003E"/>
    <w:rPr>
      <w:rFonts w:ascii="Times New Roman" w:eastAsia="Times New Roman" w:hAnsi="Times New Roman"/>
      <w:sz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C1003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="Times New Roman" w:hAnsi="Times New Roman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>ITU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2015-02-11T13:54:00Z</dcterms:created>
  <dcterms:modified xsi:type="dcterms:W3CDTF">2015-02-11T13:57:00Z</dcterms:modified>
</cp:coreProperties>
</file>