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74F2A" w14:textId="13796CFA" w:rsidR="0045479F" w:rsidRPr="00402662" w:rsidRDefault="0045479F" w:rsidP="00402662">
      <w:pPr>
        <w:pStyle w:val="QuestionNoBR"/>
        <w:rPr>
          <w:rFonts w:asciiTheme="majorBidi" w:hAnsiTheme="majorBidi" w:cstheme="majorBidi"/>
          <w:lang w:val="es-ES_tradnl" w:eastAsia="ja-JP"/>
        </w:rPr>
      </w:pPr>
      <w:r w:rsidRPr="00402662">
        <w:rPr>
          <w:rFonts w:asciiTheme="majorBidi" w:hAnsiTheme="majorBidi" w:cstheme="majorBidi"/>
          <w:lang w:val="es-ES_tradnl" w:eastAsia="ja-JP"/>
        </w:rPr>
        <w:t>CUESTIÓN uIT-R 256-</w:t>
      </w:r>
      <w:r w:rsidR="00C35718" w:rsidRPr="00402662">
        <w:rPr>
          <w:rFonts w:asciiTheme="majorBidi" w:hAnsiTheme="majorBidi" w:cstheme="majorBidi"/>
          <w:lang w:val="es-ES_tradnl" w:eastAsia="ja-JP"/>
        </w:rPr>
        <w:t>1/</w:t>
      </w:r>
      <w:r w:rsidRPr="00402662">
        <w:rPr>
          <w:rFonts w:asciiTheme="majorBidi" w:hAnsiTheme="majorBidi" w:cstheme="majorBidi"/>
          <w:lang w:val="es-ES_tradnl" w:eastAsia="ja-JP"/>
        </w:rPr>
        <w:t>5</w:t>
      </w:r>
    </w:p>
    <w:p w14:paraId="1194DA33" w14:textId="78E2BDE5" w:rsidR="0045479F" w:rsidRPr="00402662" w:rsidRDefault="0045479F" w:rsidP="00402662">
      <w:pPr>
        <w:pStyle w:val="Questiontitle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 xml:space="preserve">Características técnicas y operativas del servicio móvil terrestre </w:t>
      </w:r>
      <w:r w:rsidRPr="00402662">
        <w:rPr>
          <w:rFonts w:asciiTheme="majorBidi" w:hAnsiTheme="majorBidi" w:cstheme="majorBidi"/>
          <w:szCs w:val="20"/>
          <w:lang w:val="es-ES_tradnl"/>
        </w:rPr>
        <w:br/>
        <w:t>en la gama de frecuencias 275</w:t>
      </w:r>
      <w:r w:rsidR="000A01D0" w:rsidRPr="00402662">
        <w:rPr>
          <w:rFonts w:asciiTheme="majorBidi" w:hAnsiTheme="majorBidi" w:cstheme="majorBidi"/>
          <w:szCs w:val="20"/>
          <w:lang w:val="es-ES_tradnl"/>
        </w:rPr>
        <w:t>-</w:t>
      </w:r>
      <w:r w:rsidRPr="00402662">
        <w:rPr>
          <w:rFonts w:asciiTheme="majorBidi" w:hAnsiTheme="majorBidi" w:cstheme="majorBidi"/>
          <w:szCs w:val="20"/>
          <w:lang w:val="es-ES_tradnl"/>
        </w:rPr>
        <w:t>1 000 GHz</w:t>
      </w:r>
    </w:p>
    <w:p w14:paraId="16838523" w14:textId="77777777" w:rsidR="0045479F" w:rsidRPr="00402662" w:rsidRDefault="0045479F" w:rsidP="00402662">
      <w:pPr>
        <w:pStyle w:val="Questiondate"/>
        <w:spacing w:line="240" w:lineRule="auto"/>
        <w:rPr>
          <w:rFonts w:ascii="Times New Roman" w:hAnsi="Times New Roman" w:cs="Times New Roman"/>
          <w:i w:val="0"/>
          <w:iCs/>
          <w:lang w:val="es-ES_tradnl"/>
        </w:rPr>
      </w:pPr>
      <w:r w:rsidRPr="00402662">
        <w:rPr>
          <w:rFonts w:ascii="Times New Roman" w:hAnsi="Times New Roman" w:cs="Times New Roman"/>
          <w:i w:val="0"/>
          <w:iCs/>
          <w:lang w:val="es-ES_tradnl"/>
        </w:rPr>
        <w:t>(2015-2019)</w:t>
      </w:r>
    </w:p>
    <w:p w14:paraId="4E974271" w14:textId="77777777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ind w:right="-676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La Asamblea de Radiocomunicaciones de la UIT</w:t>
      </w:r>
      <w:r w:rsidRPr="00402662">
        <w:rPr>
          <w:rFonts w:asciiTheme="majorBidi" w:hAnsiTheme="majorBidi" w:cstheme="majorBidi"/>
          <w:szCs w:val="20"/>
          <w:lang w:val="es-ES_tradnl"/>
        </w:rPr>
        <w:t>,</w:t>
      </w:r>
    </w:p>
    <w:p w14:paraId="1BDCC1C5" w14:textId="77777777" w:rsidR="0045479F" w:rsidRPr="00402662" w:rsidRDefault="0045479F" w:rsidP="00402662">
      <w:pPr>
        <w:pStyle w:val="call0"/>
        <w:rPr>
          <w:rFonts w:asciiTheme="majorBidi" w:hAnsiTheme="majorBidi" w:cstheme="majorBidi"/>
          <w:i w:val="0"/>
        </w:rPr>
      </w:pPr>
      <w:r w:rsidRPr="00402662">
        <w:rPr>
          <w:rFonts w:asciiTheme="majorBidi" w:hAnsiTheme="majorBidi" w:cstheme="majorBidi"/>
        </w:rPr>
        <w:t>considerando</w:t>
      </w:r>
    </w:p>
    <w:p w14:paraId="7F025870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 w:eastAsia="ja-JP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a)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 xml:space="preserve">que existe una creciente demanda de radiocomunicaciones de alta velocidad y gran capacidad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a velocidades de datos de decenas de Gbit/s hasta más de 100 Gbit/s para aplicaciones del servicio móvil terrestre</w:t>
      </w:r>
      <w:r w:rsidRPr="00402662">
        <w:rPr>
          <w:rFonts w:asciiTheme="majorBidi" w:hAnsiTheme="majorBidi" w:cstheme="majorBidi"/>
          <w:szCs w:val="20"/>
          <w:lang w:val="es-ES_tradnl"/>
        </w:rPr>
        <w:t>;</w:t>
      </w:r>
    </w:p>
    <w:p w14:paraId="1807B188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 w:eastAsia="ja-JP"/>
        </w:rPr>
        <w:t>b</w:t>
      </w: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 xml:space="preserve">que gracias a los últimos adelantos en las tecnologías de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terahercios, los circuitos y dispositivos integrados que funcionan por encima de 275 GHz</w:t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pueden realizar diversas aplicaciones sofisticadas</w:t>
      </w:r>
      <w:r w:rsidRPr="00402662">
        <w:rPr>
          <w:rFonts w:asciiTheme="majorBidi" w:hAnsiTheme="majorBidi" w:cstheme="majorBidi"/>
          <w:szCs w:val="20"/>
          <w:lang w:val="es-ES_tradnl"/>
        </w:rPr>
        <w:t>;</w:t>
      </w:r>
    </w:p>
    <w:p w14:paraId="7A327729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 w:eastAsia="ja-JP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 w:eastAsia="ja-JP"/>
        </w:rPr>
        <w:t>c</w:t>
      </w: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los mencionados circuitos y dispositivos podrían utilizarse para las radiocomunicaciones de alta velocidad y gran capacidad de los sistemas del servicio móvil terrestre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;</w:t>
      </w:r>
    </w:p>
    <w:p w14:paraId="7D12480B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 w:eastAsia="ja-JP"/>
        </w:rPr>
      </w:pPr>
      <w:r w:rsidRPr="00402662">
        <w:rPr>
          <w:rFonts w:asciiTheme="majorBidi" w:hAnsiTheme="majorBidi" w:cstheme="majorBidi"/>
          <w:i/>
          <w:szCs w:val="20"/>
          <w:lang w:val="es-ES_tradnl" w:eastAsia="ja-JP"/>
        </w:rPr>
        <w:t>d)</w:t>
      </w:r>
      <w:r w:rsidRPr="00402662">
        <w:rPr>
          <w:rFonts w:asciiTheme="majorBidi" w:hAnsiTheme="majorBidi" w:cstheme="majorBidi"/>
          <w:i/>
          <w:szCs w:val="20"/>
          <w:lang w:val="es-ES_tradnl" w:eastAsia="ja-JP"/>
        </w:rPr>
        <w:tab/>
      </w:r>
      <w:r w:rsidRPr="00402662">
        <w:rPr>
          <w:rFonts w:asciiTheme="majorBidi" w:hAnsiTheme="majorBidi" w:cstheme="majorBidi"/>
          <w:szCs w:val="20"/>
          <w:lang w:val="es-ES_tradnl" w:eastAsia="ja-JP"/>
        </w:rPr>
        <w:t>que organizaciones de normalización como el IEEE están preparando normas para sistemas inalámbricos a terahercios que utilizan bandas contiguas mayores que 50 GHz a frecuencias por encima de 275 GHz;</w:t>
      </w:r>
    </w:p>
    <w:p w14:paraId="4162BA6B" w14:textId="1CB42EC4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 w:eastAsia="ja-JP"/>
        </w:rPr>
      </w:pPr>
      <w:r w:rsidRPr="00402662">
        <w:rPr>
          <w:rFonts w:asciiTheme="majorBidi" w:hAnsiTheme="majorBidi" w:cstheme="majorBidi"/>
          <w:i/>
          <w:szCs w:val="20"/>
          <w:lang w:val="es-ES_tradnl" w:eastAsia="ja-JP"/>
        </w:rPr>
        <w:t>e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)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ab/>
        <w:t>que se dispone de anchos de banda contiguos mayores de 50 GHz para el servicio móvil terrestre por debajo de 275 GHz;</w:t>
      </w:r>
    </w:p>
    <w:p w14:paraId="03966E6C" w14:textId="4EA8DEBE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 w:eastAsia="ja-JP"/>
        </w:rPr>
        <w:t>f)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 xml:space="preserve">que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en el </w:t>
      </w:r>
      <w:r w:rsidR="008359A9" w:rsidRPr="00402662">
        <w:rPr>
          <w:rFonts w:asciiTheme="majorBidi" w:hAnsiTheme="majorBidi" w:cstheme="majorBidi"/>
          <w:szCs w:val="20"/>
          <w:lang w:val="es-ES_tradnl" w:eastAsia="ja-JP"/>
        </w:rPr>
        <w:t>núm. </w:t>
      </w:r>
      <w:r w:rsidRPr="00402662">
        <w:rPr>
          <w:rFonts w:asciiTheme="majorBidi" w:hAnsiTheme="majorBidi" w:cstheme="majorBidi"/>
          <w:b/>
          <w:bCs/>
          <w:szCs w:val="20"/>
          <w:lang w:val="es-ES_tradnl" w:eastAsia="ja-JP"/>
        </w:rPr>
        <w:t xml:space="preserve">5.565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del Reglamento de Radiocomunicaciones</w:t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 se identifican ciertas partes de la gama de frecuencias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275-1</w:t>
      </w:r>
      <w:r w:rsidR="000A01D0" w:rsidRPr="00402662">
        <w:rPr>
          <w:rFonts w:asciiTheme="majorBidi" w:hAnsiTheme="majorBidi" w:cstheme="majorBidi"/>
          <w:szCs w:val="20"/>
          <w:lang w:val="es-ES_tradnl" w:eastAsia="ja-JP"/>
        </w:rPr>
        <w:t> 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000 GHz para su utilización por las Administraciones en aplicaciones de servicios pasivos</w:t>
      </w:r>
      <w:r w:rsidRPr="00402662">
        <w:rPr>
          <w:rFonts w:asciiTheme="majorBidi" w:hAnsiTheme="majorBidi" w:cstheme="majorBidi"/>
          <w:szCs w:val="20"/>
          <w:lang w:val="es-ES_tradnl"/>
        </w:rPr>
        <w:t>;</w:t>
      </w:r>
    </w:p>
    <w:p w14:paraId="3D16C6A7" w14:textId="5399E9BF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 w:eastAsia="ja-JP"/>
        </w:rPr>
        <w:t>g</w:t>
      </w: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la utilización de frecuencias de la gama 275-1</w:t>
      </w:r>
      <w:r w:rsidR="000A01D0" w:rsidRPr="00402662">
        <w:rPr>
          <w:rFonts w:asciiTheme="majorBidi" w:hAnsiTheme="majorBidi" w:cstheme="majorBidi"/>
          <w:szCs w:val="20"/>
          <w:lang w:val="es-ES_tradnl"/>
        </w:rPr>
        <w:t> </w:t>
      </w:r>
      <w:r w:rsidRPr="00402662">
        <w:rPr>
          <w:rFonts w:asciiTheme="majorBidi" w:hAnsiTheme="majorBidi" w:cstheme="majorBidi"/>
          <w:szCs w:val="20"/>
          <w:lang w:val="es-ES_tradnl"/>
        </w:rPr>
        <w:t>000 GHz por los servicios pasivos no excluye la utilización de esta gama por los servicios activos;</w:t>
      </w:r>
    </w:p>
    <w:p w14:paraId="2DCFCEF5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 w:eastAsia="ja-JP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 w:eastAsia="ja-JP"/>
        </w:rPr>
        <w:t>h)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ab/>
        <w:t xml:space="preserve">que se han de especificar las características técnicas y operativas del servicio móvil terrestre para poder realizar estudios de compartición y compatibilidad con las aplicaciones de servicios pasivos indicados en el </w:t>
      </w:r>
      <w:r w:rsidRPr="00402662">
        <w:rPr>
          <w:rFonts w:asciiTheme="majorBidi" w:hAnsiTheme="majorBidi" w:cstheme="majorBidi"/>
          <w:i/>
          <w:iCs/>
          <w:szCs w:val="20"/>
          <w:lang w:val="es-ES_tradnl" w:eastAsia="ja-JP"/>
        </w:rPr>
        <w:t>considerando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 </w:t>
      </w:r>
      <w:r w:rsidRPr="00402662">
        <w:rPr>
          <w:rFonts w:asciiTheme="majorBidi" w:hAnsiTheme="majorBidi" w:cstheme="majorBidi"/>
          <w:i/>
          <w:szCs w:val="20"/>
          <w:lang w:val="es-ES_tradnl" w:eastAsia="ja-JP"/>
        </w:rPr>
        <w:t>f)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;</w:t>
      </w:r>
    </w:p>
    <w:p w14:paraId="18436220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ja-JP"/>
        </w:rPr>
      </w:pPr>
      <w:r w:rsidRPr="00402662">
        <w:rPr>
          <w:rFonts w:asciiTheme="majorBidi" w:hAnsiTheme="majorBidi" w:cstheme="majorBidi"/>
          <w:i/>
          <w:lang w:val="es-ES_tradnl" w:eastAsia="ja-JP"/>
        </w:rPr>
        <w:t>i</w:t>
      </w:r>
      <w:r w:rsidRPr="00402662">
        <w:rPr>
          <w:rFonts w:asciiTheme="majorBidi" w:hAnsiTheme="majorBidi" w:cstheme="majorBidi"/>
          <w:lang w:val="es-ES_tradnl" w:eastAsia="ja-JP"/>
        </w:rPr>
        <w:t>)</w:t>
      </w:r>
      <w:r w:rsidRPr="00402662">
        <w:rPr>
          <w:rFonts w:asciiTheme="majorBidi" w:hAnsiTheme="majorBidi" w:cstheme="majorBidi"/>
          <w:lang w:val="es-ES_tradnl" w:eastAsia="ja-JP"/>
        </w:rPr>
        <w:tab/>
        <w:t>que en el marco de la CMR-19 se ha estudiado la gama de frecuencias 275-450 GHz para su utilización para las aplicaciones de los servicios fijo y móvil terrestre,</w:t>
      </w:r>
    </w:p>
    <w:p w14:paraId="6C182649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reconociendo</w:t>
      </w:r>
    </w:p>
    <w:p w14:paraId="7581B55A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pacing w:val="2"/>
          <w:lang w:val="es-ES_tradnl"/>
        </w:rPr>
      </w:pPr>
      <w:r w:rsidRPr="00402662">
        <w:rPr>
          <w:rFonts w:asciiTheme="majorBidi" w:hAnsiTheme="majorBidi" w:cstheme="majorBidi"/>
          <w:i/>
          <w:iCs/>
          <w:spacing w:val="2"/>
          <w:lang w:val="es-ES_tradnl"/>
        </w:rPr>
        <w:t>a)</w:t>
      </w:r>
      <w:r w:rsidRPr="00402662">
        <w:rPr>
          <w:rFonts w:asciiTheme="majorBidi" w:hAnsiTheme="majorBidi" w:cstheme="majorBidi"/>
          <w:spacing w:val="2"/>
          <w:lang w:val="es-ES_tradnl"/>
        </w:rPr>
        <w:tab/>
        <w:t xml:space="preserve">que en el Informe </w:t>
      </w:r>
      <w:hyperlink r:id="rId8" w:history="1">
        <w:r w:rsidRPr="00604BE4">
          <w:rPr>
            <w:rStyle w:val="Hyperlink"/>
            <w:rFonts w:asciiTheme="majorBidi" w:hAnsiTheme="majorBidi" w:cstheme="majorBidi"/>
            <w:color w:val="000000" w:themeColor="text1"/>
            <w:spacing w:val="2"/>
            <w:u w:val="none"/>
            <w:lang w:val="es-ES_tradnl"/>
          </w:rPr>
          <w:t>UIT-R RS.2431</w:t>
        </w:r>
      </w:hyperlink>
      <w:r w:rsidRPr="00604BE4">
        <w:rPr>
          <w:rStyle w:val="Hyperlink"/>
          <w:rFonts w:asciiTheme="majorBidi" w:hAnsiTheme="majorBidi" w:cstheme="majorBidi"/>
          <w:color w:val="000000" w:themeColor="text1"/>
          <w:spacing w:val="2"/>
          <w:u w:val="none"/>
          <w:lang w:val="es-ES_tradnl"/>
        </w:rPr>
        <w:t xml:space="preserve"> </w:t>
      </w:r>
      <w:r w:rsidRPr="00402662">
        <w:rPr>
          <w:rFonts w:asciiTheme="majorBidi" w:hAnsiTheme="majorBidi" w:cstheme="majorBidi"/>
          <w:spacing w:val="2"/>
          <w:lang w:val="es-ES_tradnl"/>
        </w:rPr>
        <w:t>«Características técnicas y operativas de los sistemas del SETS (pasivo) en la gama de frecuencias 275-450 GHz» se indican las características técnicas y operativas de los sensores para la observación de la Tierra (pasivo) en la gama de frecuencias 275</w:t>
      </w:r>
      <w:r w:rsidRPr="00402662">
        <w:rPr>
          <w:rFonts w:asciiTheme="majorBidi" w:hAnsiTheme="majorBidi" w:cstheme="majorBidi"/>
          <w:spacing w:val="2"/>
          <w:lang w:val="es-ES_tradnl"/>
        </w:rPr>
        <w:noBreakHyphen/>
        <w:t>450 GHz</w:t>
      </w:r>
      <w:r w:rsidRPr="00402662">
        <w:rPr>
          <w:rFonts w:asciiTheme="majorBidi" w:hAnsiTheme="majorBidi" w:cstheme="majorBidi"/>
          <w:spacing w:val="2"/>
          <w:sz w:val="16"/>
          <w:szCs w:val="16"/>
          <w:lang w:val="es-ES_tradnl"/>
        </w:rPr>
        <w:t>;</w:t>
      </w:r>
    </w:p>
    <w:p w14:paraId="732CEC9C" w14:textId="73901695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ja-JP"/>
        </w:rPr>
      </w:pPr>
      <w:r w:rsidRPr="00402662">
        <w:rPr>
          <w:rFonts w:asciiTheme="majorBidi" w:hAnsiTheme="majorBidi" w:cstheme="majorBidi"/>
          <w:i/>
          <w:lang w:val="es-ES_tradnl"/>
        </w:rPr>
        <w:t>b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lang w:val="es-ES_tradnl"/>
        </w:rPr>
        <w:tab/>
      </w:r>
      <w:r w:rsidRPr="00402662">
        <w:rPr>
          <w:rFonts w:asciiTheme="majorBidi" w:hAnsiTheme="majorBidi" w:cstheme="majorBidi"/>
          <w:szCs w:val="24"/>
          <w:lang w:val="es-ES_tradnl"/>
        </w:rPr>
        <w:t>que</w:t>
      </w:r>
      <w:r w:rsidRPr="00402662">
        <w:rPr>
          <w:rFonts w:asciiTheme="majorBidi" w:hAnsiTheme="majorBidi" w:cstheme="majorBidi"/>
          <w:lang w:val="es-ES_tradnl"/>
        </w:rPr>
        <w:t xml:space="preserve"> en el Informe UIT-R SM.2352 se describen las tendencias en la tecnología de servicios activos en la gama de frecuencias 275-3</w:t>
      </w:r>
      <w:r w:rsidR="000A01D0" w:rsidRPr="00402662">
        <w:rPr>
          <w:rFonts w:asciiTheme="majorBidi" w:hAnsiTheme="majorBidi" w:cstheme="majorBidi"/>
          <w:lang w:val="es-ES_tradnl"/>
        </w:rPr>
        <w:t> </w:t>
      </w:r>
      <w:r w:rsidRPr="00402662">
        <w:rPr>
          <w:rFonts w:asciiTheme="majorBidi" w:hAnsiTheme="majorBidi" w:cstheme="majorBidi"/>
          <w:lang w:val="es-ES_tradnl"/>
        </w:rPr>
        <w:t>000 GHz;</w:t>
      </w:r>
    </w:p>
    <w:p w14:paraId="1D7E0786" w14:textId="3B255FDE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ja-JP"/>
        </w:rPr>
      </w:pPr>
      <w:r w:rsidRPr="00402662">
        <w:rPr>
          <w:rFonts w:asciiTheme="majorBidi" w:hAnsiTheme="majorBidi" w:cstheme="majorBidi"/>
          <w:i/>
          <w:iCs/>
          <w:lang w:val="es-ES_tradnl" w:eastAsia="ja-JP"/>
        </w:rPr>
        <w:t>c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lang w:val="es-ES_tradnl"/>
        </w:rPr>
        <w:tab/>
      </w:r>
      <w:r w:rsidRPr="00402662">
        <w:rPr>
          <w:rFonts w:asciiTheme="majorBidi" w:hAnsiTheme="majorBidi" w:cstheme="majorBidi"/>
          <w:lang w:val="es-ES_tradnl" w:eastAsia="ja-JP"/>
        </w:rPr>
        <w:t>que en el Informe UIT-R RA.2189 se inician los estudios de compartición entre el servicio de radioastronomía y los servicios activos en la gama de frecuencias 275-3</w:t>
      </w:r>
      <w:r w:rsidR="000A01D0" w:rsidRPr="00402662">
        <w:rPr>
          <w:rFonts w:asciiTheme="majorBidi" w:hAnsiTheme="majorBidi" w:cstheme="majorBidi"/>
          <w:lang w:val="es-ES_tradnl" w:eastAsia="ja-JP"/>
        </w:rPr>
        <w:t> </w:t>
      </w:r>
      <w:r w:rsidRPr="00402662">
        <w:rPr>
          <w:rFonts w:asciiTheme="majorBidi" w:hAnsiTheme="majorBidi" w:cstheme="majorBidi"/>
          <w:lang w:val="es-ES_tradnl" w:eastAsia="ja-JP"/>
        </w:rPr>
        <w:t>000 GHz,</w:t>
      </w:r>
    </w:p>
    <w:p w14:paraId="06F3540F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lastRenderedPageBreak/>
        <w:t xml:space="preserve">decide </w:t>
      </w:r>
      <w:r w:rsidRPr="00402662">
        <w:rPr>
          <w:rFonts w:asciiTheme="majorBidi" w:hAnsiTheme="majorBidi" w:cstheme="majorBidi"/>
          <w:i w:val="0"/>
          <w:iCs/>
        </w:rPr>
        <w:t>que se estudie la siguiente Cuestión</w:t>
      </w:r>
    </w:p>
    <w:p w14:paraId="3FEC75A7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¿Cuáles son las características técnicas y operativas del servicio móvil terrestre en la gama de frecuencias 275</w:t>
      </w:r>
      <w:r w:rsidRPr="00402662">
        <w:rPr>
          <w:rFonts w:asciiTheme="majorBidi" w:hAnsiTheme="majorBidi" w:cstheme="majorBidi"/>
          <w:szCs w:val="24"/>
          <w:lang w:val="es-ES_tradnl"/>
        </w:rPr>
        <w:noBreakHyphen/>
        <w:t>1 000 GHz?,</w:t>
      </w:r>
    </w:p>
    <w:p w14:paraId="6D6A55F7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decide además</w:t>
      </w:r>
    </w:p>
    <w:p w14:paraId="2370DDD1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1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 xml:space="preserve">que se lleven a cabo los estudios de compartición entre los servicios móvil terrestre y pasivos, así como entre el servicio móvil terrestre y otros servicios activos, teniendo en cuenta las características mencionadas en el </w:t>
      </w:r>
      <w:r w:rsidRPr="00402662">
        <w:rPr>
          <w:rFonts w:asciiTheme="majorBidi" w:hAnsiTheme="majorBidi" w:cstheme="majorBidi"/>
          <w:i/>
          <w:iCs/>
          <w:szCs w:val="24"/>
          <w:lang w:val="es-ES_tradnl"/>
        </w:rPr>
        <w:t xml:space="preserve">decide, </w:t>
      </w:r>
      <w:r w:rsidRPr="00402662">
        <w:rPr>
          <w:rFonts w:asciiTheme="majorBidi" w:hAnsiTheme="majorBidi" w:cstheme="majorBidi"/>
          <w:szCs w:val="24"/>
          <w:lang w:val="es-ES_tradnl"/>
        </w:rPr>
        <w:t>al igual que los resultados pertinentes de los estudios realizados en el marco de la CMR-19;</w:t>
      </w:r>
    </w:p>
    <w:p w14:paraId="3BFA62C8" w14:textId="3CE2FDAB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2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los resultados de los estudios en la gama de frecuencias 275-1</w:t>
      </w:r>
      <w:r w:rsidR="000A01D0" w:rsidRPr="00402662">
        <w:rPr>
          <w:rFonts w:asciiTheme="majorBidi" w:hAnsiTheme="majorBidi" w:cstheme="majorBidi"/>
          <w:szCs w:val="24"/>
          <w:lang w:val="es-ES_tradnl"/>
        </w:rPr>
        <w:t> </w:t>
      </w:r>
      <w:r w:rsidRPr="00402662">
        <w:rPr>
          <w:rFonts w:asciiTheme="majorBidi" w:hAnsiTheme="majorBidi" w:cstheme="majorBidi"/>
          <w:szCs w:val="24"/>
          <w:lang w:val="es-ES_tradnl"/>
        </w:rPr>
        <w:t>000 GHz se señalen a la atención de las demás Comisiones de Estudio, en particular, la Comisión de Estudio 7;</w:t>
      </w:r>
    </w:p>
    <w:p w14:paraId="0FAC73EB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3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los resultados de los citados estudios se incluyan en una o varias Recomendaciones, Informes o Manuales;</w:t>
      </w:r>
    </w:p>
    <w:p w14:paraId="65E7A901" w14:textId="318A3081" w:rsidR="0045479F" w:rsidRPr="00402662" w:rsidRDefault="0045479F" w:rsidP="00604BE4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4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los estudios concluyan antes de 2023.</w:t>
      </w:r>
    </w:p>
    <w:p w14:paraId="034B72C5" w14:textId="118C8D25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00" w:line="240" w:lineRule="auto"/>
        <w:jc w:val="left"/>
        <w:rPr>
          <w:rFonts w:asciiTheme="majorBidi" w:hAnsiTheme="majorBidi" w:cstheme="majorBidi"/>
          <w:szCs w:val="20"/>
          <w:lang w:val="es-ES_tradnl" w:eastAsia="ja-JP"/>
        </w:rPr>
      </w:pPr>
      <w:r w:rsidRPr="00402662">
        <w:rPr>
          <w:rFonts w:asciiTheme="majorBidi" w:hAnsiTheme="majorBidi" w:cstheme="majorBidi"/>
          <w:szCs w:val="20"/>
          <w:lang w:val="es-ES_tradnl" w:eastAsia="ja-JP"/>
        </w:rPr>
        <w:t>Categoría: S2</w:t>
      </w:r>
    </w:p>
    <w:p w14:paraId="135344EB" w14:textId="22C16F9A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/>
          <w:sz w:val="28"/>
          <w:szCs w:val="20"/>
          <w:lang w:val="es-ES_tradnl"/>
        </w:rPr>
      </w:pPr>
    </w:p>
    <w:sectPr w:rsidR="0045479F" w:rsidRPr="00402662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B646" w14:textId="77777777" w:rsidR="00193D2C" w:rsidRDefault="00193D2C">
      <w:r>
        <w:separator/>
      </w:r>
    </w:p>
  </w:endnote>
  <w:endnote w:type="continuationSeparator" w:id="0">
    <w:p w14:paraId="37EBF065" w14:textId="77777777" w:rsidR="00193D2C" w:rsidRDefault="001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5E3E2" w14:textId="1F340F40" w:rsidR="00096CFC" w:rsidRPr="00096CFC" w:rsidRDefault="00096CFC" w:rsidP="00096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D8B2" w14:textId="2DFAEC72" w:rsidR="00096CFC" w:rsidRPr="00096CFC" w:rsidRDefault="00096CFC" w:rsidP="00096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2BB2" w14:textId="0E4DABB5" w:rsidR="00193D2C" w:rsidRPr="00096CFC" w:rsidRDefault="00193D2C" w:rsidP="00096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5899" w14:textId="77777777" w:rsidR="00193D2C" w:rsidRDefault="00193D2C">
      <w:r>
        <w:t>____________________</w:t>
      </w:r>
    </w:p>
  </w:footnote>
  <w:footnote w:type="continuationSeparator" w:id="0">
    <w:p w14:paraId="4C657DF1" w14:textId="77777777" w:rsidR="00193D2C" w:rsidRDefault="0019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F462" w14:textId="77777777" w:rsidR="00193D2C" w:rsidRPr="00D239B4" w:rsidRDefault="00193D2C" w:rsidP="0045479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25082C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9A21" w14:textId="77777777" w:rsidR="00193D2C" w:rsidRPr="00843993" w:rsidRDefault="00193D2C" w:rsidP="0045479F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Pr="00843993">
      <w:rPr>
        <w:iCs/>
        <w:sz w:val="18"/>
        <w:szCs w:val="18"/>
      </w:rPr>
      <w:fldChar w:fldCharType="begin"/>
    </w:r>
    <w:r w:rsidRPr="00843993">
      <w:rPr>
        <w:iCs/>
        <w:sz w:val="18"/>
        <w:szCs w:val="18"/>
      </w:rPr>
      <w:instrText xml:space="preserve"> PAGE  \* MERGEFORMAT </w:instrText>
    </w:r>
    <w:r w:rsidRPr="00843993">
      <w:rPr>
        <w:iCs/>
        <w:sz w:val="18"/>
        <w:szCs w:val="18"/>
      </w:rPr>
      <w:fldChar w:fldCharType="separate"/>
    </w:r>
    <w:r w:rsidR="0025082C">
      <w:rPr>
        <w:iCs/>
        <w:noProof/>
        <w:sz w:val="18"/>
        <w:szCs w:val="18"/>
      </w:rPr>
      <w:t>3</w:t>
    </w:r>
    <w:r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4F4C" w14:textId="71E32B34" w:rsidR="00193D2C" w:rsidRPr="0025082C" w:rsidRDefault="00193D2C" w:rsidP="0025082C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AF6D2A"/>
    <w:multiLevelType w:val="hybridMultilevel"/>
    <w:tmpl w:val="85406736"/>
    <w:lvl w:ilvl="0" w:tplc="DEBA3C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6CFC"/>
    <w:rsid w:val="000A01D0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3D2C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12B26"/>
    <w:rsid w:val="002240B2"/>
    <w:rsid w:val="00231BBE"/>
    <w:rsid w:val="00235A29"/>
    <w:rsid w:val="00242BD7"/>
    <w:rsid w:val="0025082C"/>
    <w:rsid w:val="0026100F"/>
    <w:rsid w:val="0028295F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A5E9C"/>
    <w:rsid w:val="003B2BDA"/>
    <w:rsid w:val="003B55EC"/>
    <w:rsid w:val="003C4471"/>
    <w:rsid w:val="003D251C"/>
    <w:rsid w:val="003E504F"/>
    <w:rsid w:val="00402662"/>
    <w:rsid w:val="004326DB"/>
    <w:rsid w:val="0043682E"/>
    <w:rsid w:val="0045479F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04BE4"/>
    <w:rsid w:val="00651777"/>
    <w:rsid w:val="00662285"/>
    <w:rsid w:val="0067458B"/>
    <w:rsid w:val="00674F4F"/>
    <w:rsid w:val="006A1D40"/>
    <w:rsid w:val="006A711C"/>
    <w:rsid w:val="006B0590"/>
    <w:rsid w:val="006B363B"/>
    <w:rsid w:val="006B49DA"/>
    <w:rsid w:val="006C18EB"/>
    <w:rsid w:val="006D303F"/>
    <w:rsid w:val="00700636"/>
    <w:rsid w:val="00707216"/>
    <w:rsid w:val="007234B1"/>
    <w:rsid w:val="00730B9A"/>
    <w:rsid w:val="00733731"/>
    <w:rsid w:val="00782C41"/>
    <w:rsid w:val="00783681"/>
    <w:rsid w:val="007921A7"/>
    <w:rsid w:val="007A5C27"/>
    <w:rsid w:val="007B3DB1"/>
    <w:rsid w:val="007B697B"/>
    <w:rsid w:val="007D183E"/>
    <w:rsid w:val="007E304D"/>
    <w:rsid w:val="007E3F13"/>
    <w:rsid w:val="007E480E"/>
    <w:rsid w:val="00800012"/>
    <w:rsid w:val="0081513E"/>
    <w:rsid w:val="00823210"/>
    <w:rsid w:val="008359A9"/>
    <w:rsid w:val="00843445"/>
    <w:rsid w:val="00847D46"/>
    <w:rsid w:val="008515B5"/>
    <w:rsid w:val="00854131"/>
    <w:rsid w:val="0085652D"/>
    <w:rsid w:val="008643D4"/>
    <w:rsid w:val="0087694B"/>
    <w:rsid w:val="0089557C"/>
    <w:rsid w:val="008F4F21"/>
    <w:rsid w:val="00904D4A"/>
    <w:rsid w:val="009151BA"/>
    <w:rsid w:val="009176B4"/>
    <w:rsid w:val="009277BC"/>
    <w:rsid w:val="00927D57"/>
    <w:rsid w:val="00931A9A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E7A1E"/>
    <w:rsid w:val="009F14E9"/>
    <w:rsid w:val="009F7F30"/>
    <w:rsid w:val="00A34D6F"/>
    <w:rsid w:val="00A41F91"/>
    <w:rsid w:val="00A729A3"/>
    <w:rsid w:val="00A7656E"/>
    <w:rsid w:val="00A9168B"/>
    <w:rsid w:val="00A963DF"/>
    <w:rsid w:val="00AA2E84"/>
    <w:rsid w:val="00AC3896"/>
    <w:rsid w:val="00AE6CFA"/>
    <w:rsid w:val="00AF3325"/>
    <w:rsid w:val="00B02AC0"/>
    <w:rsid w:val="00B14F98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35718"/>
    <w:rsid w:val="00C51EF0"/>
    <w:rsid w:val="00C57E2C"/>
    <w:rsid w:val="00C608B7"/>
    <w:rsid w:val="00C61301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75DEF"/>
    <w:rsid w:val="00D92DAE"/>
    <w:rsid w:val="00D96ECB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C4CD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C5CE3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1977695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  <w:style w:type="paragraph" w:styleId="BodyTextIndent">
    <w:name w:val="Body Text Indent"/>
    <w:basedOn w:val="Normal"/>
    <w:link w:val="BodyTextIndentChar"/>
    <w:rsid w:val="0045479F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45479F"/>
    <w:rPr>
      <w:rFonts w:ascii="Times New Roman" w:hAnsi="Times New Roman" w:cs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5479F"/>
    <w:rPr>
      <w:sz w:val="24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45479F"/>
    <w:rPr>
      <w:b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79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5479F"/>
  </w:style>
  <w:style w:type="character" w:customStyle="1" w:styleId="HeadingbChar">
    <w:name w:val="Heading_b Char"/>
    <w:basedOn w:val="DefaultParagraphFont"/>
    <w:link w:val="Headingb"/>
    <w:locked/>
    <w:rsid w:val="0045479F"/>
    <w:rPr>
      <w:b/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lit">
    <w:name w:val="Normal_split"/>
    <w:basedOn w:val="Normal"/>
    <w:qFormat/>
    <w:rsid w:val="00454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5479F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4547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">
    <w:name w:val="Char"/>
    <w:basedOn w:val="Normal"/>
    <w:rsid w:val="004547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Cs w:val="20"/>
    </w:rPr>
  </w:style>
  <w:style w:type="paragraph" w:customStyle="1" w:styleId="call0">
    <w:name w:val="call"/>
    <w:basedOn w:val="Normal"/>
    <w:next w:val="Normal"/>
    <w:rsid w:val="0045479F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571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35718"/>
    <w:rPr>
      <w:b/>
      <w:bCs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P-RS.2431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3BA8-557D-454A-9F94-F1E335DF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2</Pages>
  <Words>539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3</cp:revision>
  <cp:lastPrinted>2010-01-19T09:33:00Z</cp:lastPrinted>
  <dcterms:created xsi:type="dcterms:W3CDTF">2019-12-04T15:23:00Z</dcterms:created>
  <dcterms:modified xsi:type="dcterms:W3CDTF">2019-12-04T15:24:00Z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