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F309" w14:textId="77777777" w:rsidR="00B0605F" w:rsidRPr="006D01BF" w:rsidRDefault="00B0605F" w:rsidP="00B0605F">
      <w:pPr>
        <w:pStyle w:val="QuestionNo"/>
        <w:rPr>
          <w:rtl/>
        </w:rPr>
      </w:pPr>
      <w:r w:rsidRPr="006D01BF">
        <w:rPr>
          <w:rFonts w:hint="cs"/>
          <w:rtl/>
        </w:rPr>
        <w:t xml:space="preserve">ال‍مسألة </w:t>
      </w:r>
      <w:r w:rsidRPr="006D01BF">
        <w:rPr>
          <w:rFonts w:hint="eastAsia"/>
          <w:lang w:val="en-GB"/>
        </w:rPr>
        <w:t>ITU-R</w:t>
      </w:r>
      <w:r w:rsidRPr="006D01BF">
        <w:rPr>
          <w:lang w:val="en-GB"/>
        </w:rPr>
        <w:t xml:space="preserve"> 258/5</w:t>
      </w:r>
      <w:r w:rsidR="00990A38">
        <w:rPr>
          <w:rStyle w:val="FootnoteReference"/>
          <w:lang w:val="en-GB"/>
        </w:rPr>
        <w:footnoteReference w:id="1"/>
      </w:r>
    </w:p>
    <w:p w14:paraId="4C2283D9" w14:textId="77777777" w:rsidR="00B0605F" w:rsidRPr="006D01BF" w:rsidRDefault="00B0605F" w:rsidP="00C2264D">
      <w:pPr>
        <w:pStyle w:val="QuestionTitle"/>
        <w:rPr>
          <w:rtl/>
        </w:rPr>
      </w:pPr>
      <w:r w:rsidRPr="006D01BF">
        <w:rPr>
          <w:rFonts w:hint="cs"/>
          <w:rtl/>
          <w:lang w:bidi="ar-EG"/>
        </w:rPr>
        <w:t>المبادئ التقنية والتشغيلية من أجل محطات الاتصالات العاملة</w:t>
      </w:r>
      <w:r>
        <w:rPr>
          <w:rtl/>
          <w:lang w:bidi="ar-EG"/>
        </w:rPr>
        <w:br/>
      </w:r>
      <w:r w:rsidRPr="006D01BF">
        <w:rPr>
          <w:rFonts w:hint="cs"/>
          <w:rtl/>
          <w:lang w:bidi="ar-EG"/>
        </w:rPr>
        <w:t xml:space="preserve">على الموجات الأيونوسفيرية في نطاقات الموجات الديكامترية </w:t>
      </w:r>
      <w:r w:rsidRPr="006D01BF">
        <w:t>(HF)</w:t>
      </w:r>
      <w:r>
        <w:rPr>
          <w:rtl/>
          <w:lang w:bidi="ar-EG"/>
        </w:rPr>
        <w:br/>
      </w:r>
      <w:r w:rsidRPr="006D01BF">
        <w:rPr>
          <w:rFonts w:hint="cs"/>
          <w:rtl/>
          <w:lang w:bidi="ar-EG"/>
        </w:rPr>
        <w:t>بغية تحسين بيئة الضوضاء الاصطناعية في هذه النطاقات</w:t>
      </w:r>
      <w:r w:rsidR="00C2264D">
        <w:rPr>
          <w:rStyle w:val="FootnoteReference"/>
          <w:rtl/>
          <w:lang w:bidi="ar-EG"/>
        </w:rPr>
        <w:footnoteReference w:id="2"/>
      </w:r>
    </w:p>
    <w:p w14:paraId="63290508" w14:textId="77777777" w:rsidR="00B0605F" w:rsidRPr="006D01BF" w:rsidRDefault="00B0605F" w:rsidP="00B0605F">
      <w:pPr>
        <w:pStyle w:val="Date"/>
        <w:rPr>
          <w:rtl/>
        </w:rPr>
      </w:pPr>
      <w:r w:rsidRPr="006D01BF">
        <w:t>(2015)</w:t>
      </w:r>
    </w:p>
    <w:p w14:paraId="37B2DEA5" w14:textId="77777777" w:rsidR="00B0605F" w:rsidRPr="006D01BF" w:rsidRDefault="00B0605F" w:rsidP="00B0605F">
      <w:pPr>
        <w:pStyle w:val="Normalaftertitle"/>
        <w:rPr>
          <w:rtl/>
        </w:rPr>
      </w:pPr>
      <w:r w:rsidRPr="006D01BF">
        <w:rPr>
          <w:rtl/>
        </w:rPr>
        <w:t>إن جمعية الاتصالات الراديوية للاتحاد الدولي للاتصالات،</w:t>
      </w:r>
    </w:p>
    <w:p w14:paraId="64143881" w14:textId="77777777" w:rsidR="00B0605F" w:rsidRPr="006D01BF" w:rsidRDefault="00B0605F" w:rsidP="00B0605F">
      <w:pPr>
        <w:pStyle w:val="Call"/>
        <w:rPr>
          <w:rtl/>
        </w:rPr>
      </w:pPr>
      <w:r w:rsidRPr="006D01BF">
        <w:rPr>
          <w:rtl/>
        </w:rPr>
        <w:t>إذ تضع في اعتبارها</w:t>
      </w:r>
    </w:p>
    <w:p w14:paraId="76C8A186" w14:textId="77777777" w:rsidR="00B0605F" w:rsidRPr="006D01BF" w:rsidRDefault="00B0605F" w:rsidP="00B0605F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العوامل البيئية التي تؤثر على الاتصالات الأيونوسفيرية وسمات معلمات قنوات </w:t>
      </w:r>
      <w:r w:rsidRPr="006D01BF">
        <w:rPr>
          <w:rtl/>
        </w:rPr>
        <w:t>الموجات الديكامترية</w:t>
      </w:r>
      <w:r w:rsidRPr="006D01BF">
        <w:rPr>
          <w:rFonts w:hint="cs"/>
          <w:rtl/>
        </w:rPr>
        <w:t> 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 xml:space="preserve"> التي تتغير بحسب الوقت هي ظواهر فيزيائية أساسية لا تتغير في جوهرها؛</w:t>
      </w:r>
    </w:p>
    <w:p w14:paraId="09E98AC4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ب)</w:t>
      </w:r>
      <w:r w:rsidRPr="006D01BF">
        <w:rPr>
          <w:rFonts w:hint="cs"/>
          <w:rtl/>
        </w:rPr>
        <w:tab/>
        <w:t>أن في إطار توزيعات نطاقات التردد وتخصيصات التردد الثابتة، تؤدي المنافسة غير التعاونية بشأن الترددات والقدرة في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نطاقات التردد المستعملة بالتقاسم إلى ازدحام في مدى الترددات لل</w:t>
      </w:r>
      <w:r w:rsidRPr="006D01BF">
        <w:rPr>
          <w:rtl/>
        </w:rPr>
        <w:t xml:space="preserve">موجات الديكامترية 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 xml:space="preserve">، وتداخلات متبادلة، وانخفاض كفاءة استخدام الطيف، وأصبحت من الأسباب الأولية لتدهور بيئة </w:t>
      </w:r>
      <w:r w:rsidRPr="006D01BF">
        <w:rPr>
          <w:rtl/>
        </w:rPr>
        <w:t>الموجات الديكامترية</w:t>
      </w:r>
      <w:r w:rsidRPr="006D01BF">
        <w:rPr>
          <w:rFonts w:hint="cs"/>
          <w:rtl/>
        </w:rPr>
        <w:t>؛</w:t>
      </w:r>
    </w:p>
    <w:p w14:paraId="5F7D490F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ج)</w:t>
      </w:r>
      <w:r w:rsidRPr="006D01BF">
        <w:rPr>
          <w:rFonts w:hint="cs"/>
          <w:rtl/>
        </w:rPr>
        <w:tab/>
        <w:t>أن التداخلات المتبادلة في إطار انتشار الموجات الأيونوسفيرية في نطاقات الموجات الديكامترية من الصعب التخفيف منها من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خلال الفصل الجغرافي، مما يكون له تداعيات عامة على الاتصالات على الموجات الديكامترية؛</w:t>
      </w:r>
    </w:p>
    <w:p w14:paraId="6468A5B4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د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>أن للتغلب على التداخل بين القنوات، كثيراً ما يرفع المستعملون من قدرة الإرسال مما يؤدي إلى زيادة إجمالي ضوضاء الخلفية في بيئة نطاقات الموجات الديكامترية؛</w:t>
      </w:r>
    </w:p>
    <w:p w14:paraId="1DA9E1C1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ﻫ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>أن المورد المتمثل في طيف الترددات للموجات الديكامترية هو مورد محدود، غير أن تطبيقات الموجات  الديكامترية وعدد المستعملين المرخص لهم في تزايد مستمر مع الوقت؛</w:t>
      </w:r>
    </w:p>
    <w:p w14:paraId="19466A27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و )</w:t>
      </w:r>
      <w:r w:rsidRPr="006D01BF">
        <w:rPr>
          <w:rFonts w:hint="cs"/>
          <w:rtl/>
        </w:rPr>
        <w:tab/>
        <w:t>أن معظم تكنولوجيات الاتصالات على الموجات الديكامترية الحالية وتكنولوجيا الراديو الإدراكي الناشئة الجديدة لا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 xml:space="preserve">يمكنها وحدها أن تشكل حلاً مقبولاً لمشكلة تدهور بيئة </w:t>
      </w:r>
      <w:r w:rsidRPr="006D01BF">
        <w:rPr>
          <w:rtl/>
        </w:rPr>
        <w:t>الموجات الديكامترية</w:t>
      </w:r>
      <w:r w:rsidRPr="006D01BF">
        <w:rPr>
          <w:rFonts w:hint="cs"/>
          <w:rtl/>
        </w:rPr>
        <w:t>؛</w:t>
      </w:r>
    </w:p>
    <w:p w14:paraId="3D63271F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ز )</w:t>
      </w:r>
      <w:r w:rsidRPr="006D01BF">
        <w:rPr>
          <w:rFonts w:hint="cs"/>
          <w:rtl/>
        </w:rPr>
        <w:tab/>
        <w:t>أن الحاجة تدعو إلى وضع مبادئ من شأنها أن تؤدي إلى زيادة كفاءة استعمال طيف الموجات الديكامترية إجمالاً، مما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يتطلب مبادئ للإدارة الذاتية مثل تخفيض قدرة الإرسال إلى الحد الأدنى، واستعمال تقنيات تكييفية لانتقاء التردد، واستعمال أساليب إرسال تكون أكثر كفاءة (مثل الأساليب الرقمية)،</w:t>
      </w:r>
    </w:p>
    <w:p w14:paraId="1FE098A5" w14:textId="77777777" w:rsidR="00B0605F" w:rsidRPr="006D01BF" w:rsidRDefault="00B0605F" w:rsidP="00B0605F">
      <w:pPr>
        <w:pStyle w:val="Call"/>
        <w:rPr>
          <w:rtl/>
        </w:rPr>
      </w:pPr>
      <w:r w:rsidRPr="006D01BF">
        <w:rPr>
          <w:rFonts w:hint="cs"/>
          <w:rtl/>
        </w:rPr>
        <w:t>وإذ تدرك</w:t>
      </w:r>
    </w:p>
    <w:p w14:paraId="064CB741" w14:textId="77777777" w:rsidR="00B0605F" w:rsidRPr="006D01BF" w:rsidRDefault="00B0605F" w:rsidP="00B0605F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القرار </w:t>
      </w:r>
      <w:r>
        <w:rPr>
          <w:b/>
          <w:bCs/>
          <w:lang w:val="en-GB"/>
        </w:rPr>
        <w:t>729 </w:t>
      </w:r>
      <w:r w:rsidRPr="004B71F7">
        <w:rPr>
          <w:b/>
          <w:bCs/>
          <w:lang w:val="en-GB"/>
        </w:rPr>
        <w:t>(Rev.WRC-07)</w:t>
      </w:r>
      <w:r w:rsidRPr="006D01BF">
        <w:rPr>
          <w:rFonts w:hint="cs"/>
          <w:rtl/>
        </w:rPr>
        <w:t xml:space="preserve"> يحدد </w:t>
      </w:r>
      <w:r w:rsidRPr="006D01BF">
        <w:rPr>
          <w:rtl/>
        </w:rPr>
        <w:t>استعمال أنظمة</w:t>
      </w:r>
      <w:r w:rsidRPr="006D01BF">
        <w:rPr>
          <w:rFonts w:hint="cs"/>
          <w:rtl/>
        </w:rPr>
        <w:t xml:space="preserve"> تكييفية</w:t>
      </w:r>
      <w:r w:rsidRPr="006D01BF">
        <w:rPr>
          <w:rtl/>
        </w:rPr>
        <w:t xml:space="preserve"> </w:t>
      </w:r>
      <w:r w:rsidRPr="006D01BF">
        <w:rPr>
          <w:rFonts w:hint="cs"/>
          <w:rtl/>
        </w:rPr>
        <w:t>لل</w:t>
      </w:r>
      <w:r w:rsidRPr="006D01BF">
        <w:rPr>
          <w:rtl/>
        </w:rPr>
        <w:t>ترددات في نطاقات الموجات الهكتومترية</w:t>
      </w:r>
      <w:r w:rsidRPr="006D01BF">
        <w:rPr>
          <w:rFonts w:hint="cs"/>
          <w:rtl/>
        </w:rPr>
        <w:t> </w:t>
      </w:r>
      <w:r w:rsidRPr="006D01BF">
        <w:rPr>
          <w:lang w:val="en-GB"/>
        </w:rPr>
        <w:t>(MF)</w:t>
      </w:r>
      <w:r w:rsidRPr="006D01BF">
        <w:rPr>
          <w:rtl/>
        </w:rPr>
        <w:t xml:space="preserve"> والموجات</w:t>
      </w:r>
      <w:r w:rsidRPr="006D01BF">
        <w:rPr>
          <w:rFonts w:hint="cs"/>
          <w:rtl/>
        </w:rPr>
        <w:t> </w:t>
      </w:r>
      <w:r w:rsidRPr="006D01BF">
        <w:rPr>
          <w:rtl/>
        </w:rPr>
        <w:t xml:space="preserve">الديكامترية 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>؛</w:t>
      </w:r>
    </w:p>
    <w:p w14:paraId="481EECC3" w14:textId="77777777" w:rsidR="00B0605F" w:rsidRPr="004B2E42" w:rsidRDefault="00B0605F" w:rsidP="00B0605F">
      <w:pPr>
        <w:rPr>
          <w:spacing w:val="-4"/>
          <w:rtl/>
        </w:rPr>
      </w:pPr>
      <w:r w:rsidRPr="004B2E42">
        <w:rPr>
          <w:rFonts w:hint="cs"/>
          <w:i/>
          <w:iCs/>
          <w:spacing w:val="-4"/>
          <w:rtl/>
        </w:rPr>
        <w:t>ب)</w:t>
      </w:r>
      <w:r w:rsidRPr="004B2E42">
        <w:rPr>
          <w:rFonts w:hint="cs"/>
          <w:spacing w:val="-4"/>
          <w:rtl/>
        </w:rPr>
        <w:tab/>
        <w:t xml:space="preserve">أن المادة </w:t>
      </w:r>
      <w:r w:rsidRPr="004B71F7">
        <w:rPr>
          <w:b/>
          <w:bCs/>
          <w:spacing w:val="-4"/>
          <w:lang w:val="en-GB"/>
        </w:rPr>
        <w:t>12</w:t>
      </w:r>
      <w:r w:rsidRPr="004B2E42">
        <w:rPr>
          <w:rFonts w:hint="cs"/>
          <w:spacing w:val="-4"/>
          <w:rtl/>
        </w:rPr>
        <w:t xml:space="preserve"> حددت المبادئ المتعلقة بإجراء استعمال وتنسيق الإذاعة على الموجات الديكامترية وأن</w:t>
      </w:r>
      <w:r w:rsidRPr="004B2E42">
        <w:rPr>
          <w:rFonts w:hint="eastAsia"/>
          <w:spacing w:val="-4"/>
          <w:rtl/>
        </w:rPr>
        <w:t> </w:t>
      </w:r>
      <w:r w:rsidRPr="004B2E42">
        <w:rPr>
          <w:rFonts w:hint="cs"/>
          <w:spacing w:val="-4"/>
          <w:rtl/>
        </w:rPr>
        <w:t>التوصية </w:t>
      </w:r>
      <w:r w:rsidRPr="004B71F7">
        <w:rPr>
          <w:b/>
          <w:bCs/>
          <w:spacing w:val="-4"/>
          <w:lang w:val="en-GB"/>
        </w:rPr>
        <w:t>522 (WRC</w:t>
      </w:r>
      <w:r w:rsidRPr="004B71F7">
        <w:rPr>
          <w:b/>
          <w:bCs/>
          <w:spacing w:val="-4"/>
          <w:lang w:val="en-GB"/>
        </w:rPr>
        <w:noBreakHyphen/>
        <w:t>97)</w:t>
      </w:r>
      <w:r w:rsidRPr="004B2E42">
        <w:rPr>
          <w:rFonts w:hint="cs"/>
          <w:spacing w:val="-4"/>
          <w:rtl/>
        </w:rPr>
        <w:t xml:space="preserve"> تنص على تنسيق مواقيت الإذاعة على الموجات الديكامترية؛</w:t>
      </w:r>
    </w:p>
    <w:p w14:paraId="656DDEDD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lastRenderedPageBreak/>
        <w:t>ج)</w:t>
      </w:r>
      <w:r w:rsidRPr="006D01BF">
        <w:rPr>
          <w:rFonts w:hint="cs"/>
          <w:rtl/>
        </w:rPr>
        <w:tab/>
        <w:t xml:space="preserve">أن الأرقام </w:t>
      </w:r>
      <w:r w:rsidRPr="004B71F7">
        <w:rPr>
          <w:b/>
          <w:bCs/>
          <w:lang w:val="en-GB"/>
        </w:rPr>
        <w:t>143.5</w:t>
      </w:r>
      <w:r w:rsidRPr="006D01BF">
        <w:rPr>
          <w:rFonts w:hint="cs"/>
          <w:rtl/>
        </w:rPr>
        <w:t xml:space="preserve"> و</w:t>
      </w:r>
      <w:r w:rsidRPr="004B71F7">
        <w:rPr>
          <w:b/>
          <w:bCs/>
          <w:lang w:val="en-GB"/>
        </w:rPr>
        <w:t>143A.5</w:t>
      </w:r>
      <w:r w:rsidRPr="006D01BF">
        <w:rPr>
          <w:rFonts w:hint="cs"/>
          <w:rtl/>
        </w:rPr>
        <w:t xml:space="preserve"> و</w:t>
      </w:r>
      <w:r w:rsidRPr="004B71F7">
        <w:rPr>
          <w:b/>
          <w:bCs/>
          <w:lang w:val="en-GB"/>
        </w:rPr>
        <w:t>143B.5</w:t>
      </w:r>
      <w:r w:rsidRPr="006D01BF">
        <w:rPr>
          <w:rFonts w:hint="cs"/>
          <w:rtl/>
        </w:rPr>
        <w:t xml:space="preserve"> و</w:t>
      </w:r>
      <w:r w:rsidRPr="004B71F7">
        <w:rPr>
          <w:b/>
          <w:bCs/>
          <w:lang w:val="en-GB"/>
        </w:rPr>
        <w:t>152.5</w:t>
      </w:r>
      <w:r w:rsidRPr="006D01BF">
        <w:rPr>
          <w:rFonts w:hint="cs"/>
          <w:rtl/>
        </w:rPr>
        <w:t xml:space="preserve"> من لوائح الراديو تحد من قدرة الإرسال للخدمات الثابتة في نطاق التردد المشترك للخدمة الإذاعية وخدمة الهواة،</w:t>
      </w:r>
    </w:p>
    <w:p w14:paraId="430B9EF3" w14:textId="77777777" w:rsidR="00B0605F" w:rsidRPr="006D01BF" w:rsidRDefault="00B0605F" w:rsidP="00B0605F">
      <w:pPr>
        <w:pStyle w:val="Call"/>
        <w:rPr>
          <w:rtl/>
        </w:rPr>
      </w:pPr>
      <w:r w:rsidRPr="006D01BF">
        <w:rPr>
          <w:rFonts w:hint="cs"/>
          <w:rtl/>
        </w:rPr>
        <w:t>وإذ تلاحظ</w:t>
      </w:r>
    </w:p>
    <w:p w14:paraId="2FDDA1E0" w14:textId="77777777" w:rsidR="00B0605F" w:rsidRPr="006D01BF" w:rsidRDefault="00B0605F" w:rsidP="00B0605F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</w:r>
      <w:r w:rsidRPr="006D01BF">
        <w:rPr>
          <w:rtl/>
        </w:rPr>
        <w:t xml:space="preserve">أن التوصية </w:t>
      </w:r>
      <w:r w:rsidRPr="006D01BF">
        <w:rPr>
          <w:lang w:val="en-GB"/>
        </w:rPr>
        <w:t>ITU-R F.1611</w:t>
      </w:r>
      <w:r w:rsidRPr="006D01BF">
        <w:rPr>
          <w:rtl/>
        </w:rPr>
        <w:t xml:space="preserve"> </w:t>
      </w:r>
      <w:r w:rsidRPr="006D01BF">
        <w:rPr>
          <w:rFonts w:hint="cs"/>
          <w:rtl/>
        </w:rPr>
        <w:t>توفر إرشادات بشأن</w:t>
      </w:r>
      <w:r w:rsidRPr="006D01BF">
        <w:rPr>
          <w:rtl/>
        </w:rPr>
        <w:t xml:space="preserve"> تخطيط وتشغيل </w:t>
      </w:r>
      <w:r w:rsidRPr="006D01BF">
        <w:rPr>
          <w:rFonts w:hint="cs"/>
          <w:rtl/>
        </w:rPr>
        <w:t>الأنظمة</w:t>
      </w:r>
      <w:r w:rsidRPr="006D01BF">
        <w:rPr>
          <w:rtl/>
        </w:rPr>
        <w:t xml:space="preserve"> التكييفية</w:t>
      </w:r>
      <w:r w:rsidRPr="006D01BF">
        <w:rPr>
          <w:rFonts w:hint="cs"/>
          <w:rtl/>
        </w:rPr>
        <w:t xml:space="preserve"> للترددات في</w:t>
      </w:r>
      <w:r>
        <w:rPr>
          <w:rFonts w:hint="eastAsia"/>
          <w:rtl/>
        </w:rPr>
        <w:t> </w:t>
      </w:r>
      <w:r w:rsidRPr="006D01BF">
        <w:rPr>
          <w:rFonts w:hint="cs"/>
          <w:rtl/>
        </w:rPr>
        <w:t>نطاقات الموجات الديكامترية</w:t>
      </w:r>
      <w:r w:rsidRPr="006D01BF">
        <w:rPr>
          <w:rFonts w:hint="eastAsia"/>
          <w:rtl/>
        </w:rPr>
        <w:t> 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 xml:space="preserve"> باستعمال طرائق التنبؤ مع تناول التخطيط بشأن الترددات، وموازنة القدرة، وغير</w:t>
      </w:r>
      <w:r>
        <w:rPr>
          <w:rFonts w:hint="eastAsia"/>
          <w:rtl/>
        </w:rPr>
        <w:t> </w:t>
      </w:r>
      <w:r w:rsidRPr="006D01BF">
        <w:rPr>
          <w:rFonts w:hint="cs"/>
          <w:rtl/>
        </w:rPr>
        <w:t>ذلك؛</w:t>
      </w:r>
    </w:p>
    <w:p w14:paraId="6497E0CB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ب)</w:t>
      </w:r>
      <w:r w:rsidRPr="006D01BF">
        <w:rPr>
          <w:rFonts w:hint="cs"/>
          <w:rtl/>
        </w:rPr>
        <w:tab/>
        <w:t xml:space="preserve">أن </w:t>
      </w:r>
      <w:r w:rsidRPr="006D01BF">
        <w:rPr>
          <w:rtl/>
        </w:rPr>
        <w:t xml:space="preserve">التوصية </w:t>
      </w:r>
      <w:r w:rsidRPr="006D01BF">
        <w:rPr>
          <w:lang w:val="en-GB"/>
        </w:rPr>
        <w:t>ITU-R F.1110</w:t>
      </w:r>
      <w:r w:rsidRPr="006D01BF">
        <w:rPr>
          <w:rtl/>
        </w:rPr>
        <w:t xml:space="preserve"> </w:t>
      </w:r>
      <w:r w:rsidRPr="006D01BF">
        <w:rPr>
          <w:rFonts w:hint="cs"/>
          <w:rtl/>
        </w:rPr>
        <w:t>توصي بخفض التداخلات بين المستعملين من خلال خفض مدة الاتصال؛</w:t>
      </w:r>
    </w:p>
    <w:p w14:paraId="3197C475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ج)</w:t>
      </w:r>
      <w:r w:rsidRPr="006D01BF">
        <w:rPr>
          <w:rFonts w:hint="cs"/>
          <w:rtl/>
        </w:rPr>
        <w:tab/>
      </w:r>
      <w:r w:rsidRPr="006D01BF">
        <w:rPr>
          <w:rtl/>
        </w:rPr>
        <w:t>أن</w:t>
      </w:r>
      <w:r w:rsidRPr="006D01BF">
        <w:rPr>
          <w:rFonts w:hint="cs"/>
          <w:rtl/>
        </w:rPr>
        <w:t xml:space="preserve"> قطاع الاتصالات الراديوية قام بإعداد كتيب عن أنظمة وشبكات الاتصالات التكييفية للترددات</w:t>
      </w:r>
      <w:r w:rsidRPr="006D01BF">
        <w:rPr>
          <w:rtl/>
        </w:rPr>
        <w:t xml:space="preserve"> في</w:t>
      </w:r>
      <w:r>
        <w:rPr>
          <w:rFonts w:hint="eastAsia"/>
          <w:rtl/>
        </w:rPr>
        <w:t> </w:t>
      </w:r>
      <w:r w:rsidRPr="006D01BF">
        <w:rPr>
          <w:rtl/>
        </w:rPr>
        <w:t xml:space="preserve">نطاقات </w:t>
      </w:r>
      <w:r w:rsidRPr="006D01BF">
        <w:rPr>
          <w:rFonts w:hint="cs"/>
          <w:rtl/>
        </w:rPr>
        <w:t xml:space="preserve">الموجات </w:t>
      </w:r>
      <w:r w:rsidRPr="006D01BF">
        <w:rPr>
          <w:rtl/>
        </w:rPr>
        <w:t xml:space="preserve">الهكتومترية/الديكامترية، </w:t>
      </w:r>
      <w:r w:rsidRPr="006D01BF">
        <w:rPr>
          <w:rFonts w:hint="cs"/>
          <w:rtl/>
        </w:rPr>
        <w:t>يصف طبيعة الأنظمة التكييفية للترددات في نطاقات الموجات الديكامترية</w:t>
      </w:r>
      <w:r>
        <w:rPr>
          <w:rFonts w:hint="eastAsia"/>
          <w:rtl/>
        </w:rPr>
        <w:t> </w:t>
      </w:r>
      <w:r w:rsidRPr="006D01BF">
        <w:rPr>
          <w:rFonts w:hint="cs"/>
          <w:rtl/>
        </w:rPr>
        <w:t>واستعمالها؛</w:t>
      </w:r>
    </w:p>
    <w:p w14:paraId="265887E2" w14:textId="0417F761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د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التوصية </w:t>
      </w:r>
      <w:r w:rsidRPr="006D01BF">
        <w:rPr>
          <w:lang w:val="en-GB"/>
        </w:rPr>
        <w:t>ITU-R SM.329</w:t>
      </w:r>
      <w:r w:rsidRPr="006D01BF">
        <w:rPr>
          <w:rFonts w:hint="cs"/>
          <w:rtl/>
        </w:rPr>
        <w:t xml:space="preserve"> والتوصية </w:t>
      </w:r>
      <w:r w:rsidRPr="006D01BF">
        <w:rPr>
          <w:lang w:val="en-GB"/>
        </w:rPr>
        <w:t>ITU-R SM.1541</w:t>
      </w:r>
      <w:r w:rsidRPr="006D01BF">
        <w:rPr>
          <w:rFonts w:hint="cs"/>
          <w:rtl/>
        </w:rPr>
        <w:t xml:space="preserve"> والتذييل </w:t>
      </w:r>
      <w:r w:rsidRPr="007816C4">
        <w:rPr>
          <w:b/>
          <w:bCs/>
          <w:lang w:val="en-GB"/>
        </w:rPr>
        <w:t>3</w:t>
      </w:r>
      <w:r w:rsidRPr="007816C4">
        <w:rPr>
          <w:b/>
          <w:bCs/>
        </w:rPr>
        <w:t xml:space="preserve"> </w:t>
      </w:r>
      <w:r w:rsidRPr="007816C4">
        <w:rPr>
          <w:b/>
          <w:bCs/>
          <w:lang w:val="en-GB"/>
        </w:rPr>
        <w:t>(Rev.WRC-1</w:t>
      </w:r>
      <w:r w:rsidR="00BD7FC5">
        <w:rPr>
          <w:b/>
          <w:bCs/>
          <w:lang w:val="en-GB"/>
        </w:rPr>
        <w:t>5</w:t>
      </w:r>
      <w:r w:rsidRPr="007816C4">
        <w:rPr>
          <w:b/>
          <w:bCs/>
          <w:lang w:val="en-GB"/>
        </w:rPr>
        <w:t>)</w:t>
      </w:r>
      <w:r w:rsidRPr="006D01BF">
        <w:rPr>
          <w:rFonts w:hint="cs"/>
          <w:rtl/>
        </w:rPr>
        <w:t xml:space="preserve"> للوائح الراديو، تنص على حدود الإرسالات غير المطلوبة في مجال البث الهامشي ومجال البث خارج النطاق فيما يتعلق بالتجهيزات اللاسلكية؛</w:t>
      </w:r>
    </w:p>
    <w:p w14:paraId="2D61B89A" w14:textId="77777777" w:rsidR="00B0605F" w:rsidRPr="006D01BF" w:rsidRDefault="00B0605F" w:rsidP="00B0605F">
      <w:pPr>
        <w:rPr>
          <w:rtl/>
        </w:rPr>
      </w:pPr>
      <w:r w:rsidRPr="006D01BF">
        <w:rPr>
          <w:rFonts w:hint="cs"/>
          <w:i/>
          <w:iCs/>
          <w:rtl/>
        </w:rPr>
        <w:t>ﻫ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>أن</w:t>
      </w:r>
      <w:r w:rsidRPr="006D01BF">
        <w:rPr>
          <w:rtl/>
        </w:rPr>
        <w:t xml:space="preserve"> التوصية </w:t>
      </w:r>
      <w:r w:rsidRPr="006D01BF">
        <w:rPr>
          <w:lang w:val="en-GB"/>
        </w:rPr>
        <w:t>ITU-R P.372</w:t>
      </w:r>
      <w:r w:rsidRPr="006D01BF">
        <w:rPr>
          <w:rtl/>
        </w:rPr>
        <w:t xml:space="preserve"> </w:t>
      </w:r>
      <w:r w:rsidRPr="006D01BF">
        <w:rPr>
          <w:rFonts w:hint="cs"/>
          <w:rtl/>
        </w:rPr>
        <w:t xml:space="preserve">تتضمن </w:t>
      </w:r>
      <w:r w:rsidRPr="006D01BF">
        <w:rPr>
          <w:rtl/>
        </w:rPr>
        <w:t xml:space="preserve">معلومات عن </w:t>
      </w:r>
      <w:r w:rsidRPr="006D01BF">
        <w:rPr>
          <w:rFonts w:hint="cs"/>
          <w:rtl/>
        </w:rPr>
        <w:t>مستويات ضوضاء</w:t>
      </w:r>
      <w:r w:rsidRPr="006D01BF">
        <w:rPr>
          <w:rtl/>
        </w:rPr>
        <w:t xml:space="preserve"> الخلفية </w:t>
      </w:r>
      <w:r w:rsidRPr="006D01BF">
        <w:rPr>
          <w:rFonts w:hint="cs"/>
          <w:rtl/>
        </w:rPr>
        <w:t>ل</w:t>
      </w:r>
      <w:r w:rsidRPr="006D01BF">
        <w:rPr>
          <w:rtl/>
        </w:rPr>
        <w:t>لترددات الراديوية في</w:t>
      </w:r>
      <w:r>
        <w:rPr>
          <w:rFonts w:hint="eastAsia"/>
          <w:rtl/>
        </w:rPr>
        <w:t> </w:t>
      </w:r>
      <w:r w:rsidRPr="006D01BF">
        <w:rPr>
          <w:rtl/>
        </w:rPr>
        <w:t xml:space="preserve">مدى </w:t>
      </w:r>
      <w:r w:rsidRPr="006D01BF">
        <w:rPr>
          <w:rFonts w:hint="cs"/>
          <w:rtl/>
        </w:rPr>
        <w:t>ال</w:t>
      </w:r>
      <w:r w:rsidRPr="006D01BF">
        <w:rPr>
          <w:rtl/>
        </w:rPr>
        <w:t>تردد من</w:t>
      </w:r>
      <w:r w:rsidRPr="006D01BF">
        <w:rPr>
          <w:rFonts w:hint="cs"/>
          <w:rtl/>
        </w:rPr>
        <w:t> </w:t>
      </w:r>
      <w:r w:rsidRPr="006D01BF">
        <w:rPr>
          <w:lang w:val="en-GB"/>
        </w:rPr>
        <w:t>Hz 0,1</w:t>
      </w:r>
      <w:r w:rsidRPr="006D01BF">
        <w:rPr>
          <w:rFonts w:hint="cs"/>
          <w:rtl/>
        </w:rPr>
        <w:t> </w:t>
      </w:r>
      <w:r w:rsidRPr="006D01BF">
        <w:rPr>
          <w:rtl/>
        </w:rPr>
        <w:t>إلى</w:t>
      </w:r>
      <w:r>
        <w:rPr>
          <w:rFonts w:hint="cs"/>
          <w:rtl/>
        </w:rPr>
        <w:t> </w:t>
      </w:r>
      <w:r w:rsidRPr="006D01BF">
        <w:rPr>
          <w:lang w:val="en-GB"/>
        </w:rPr>
        <w:t>GHz 100</w:t>
      </w:r>
      <w:r w:rsidRPr="006D01BF">
        <w:rPr>
          <w:rFonts w:hint="cs"/>
          <w:rtl/>
        </w:rPr>
        <w:t>،</w:t>
      </w:r>
    </w:p>
    <w:p w14:paraId="18F3BB13" w14:textId="77777777" w:rsidR="00B0605F" w:rsidRPr="006D01BF" w:rsidRDefault="00B0605F" w:rsidP="00B0605F">
      <w:pPr>
        <w:pStyle w:val="Call"/>
        <w:rPr>
          <w:rtl/>
        </w:rPr>
      </w:pPr>
      <w:r w:rsidRPr="006D01BF">
        <w:rPr>
          <w:rFonts w:hint="cs"/>
          <w:rtl/>
        </w:rPr>
        <w:t xml:space="preserve">تقرر </w:t>
      </w:r>
      <w:r w:rsidRPr="00C45874">
        <w:rPr>
          <w:rFonts w:hint="cs"/>
          <w:i w:val="0"/>
          <w:iCs w:val="0"/>
          <w:rtl/>
        </w:rPr>
        <w:t xml:space="preserve">طرح </w:t>
      </w:r>
      <w:r>
        <w:rPr>
          <w:rFonts w:hint="cs"/>
          <w:i w:val="0"/>
          <w:iCs w:val="0"/>
          <w:rtl/>
        </w:rPr>
        <w:t>المسألتين التاليتين</w:t>
      </w:r>
      <w:r w:rsidRPr="00C45874">
        <w:rPr>
          <w:rFonts w:hint="cs"/>
          <w:i w:val="0"/>
          <w:iCs w:val="0"/>
          <w:rtl/>
        </w:rPr>
        <w:t xml:space="preserve"> للدراسة</w:t>
      </w:r>
    </w:p>
    <w:p w14:paraId="595C742F" w14:textId="77777777" w:rsidR="00B0605F" w:rsidRPr="006D01BF" w:rsidRDefault="00B0605F" w:rsidP="00B0605F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tl/>
        </w:rPr>
        <w:tab/>
      </w:r>
      <w:r w:rsidRPr="006D01BF">
        <w:rPr>
          <w:rFonts w:hint="cs"/>
          <w:rtl/>
        </w:rPr>
        <w:t>ما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هي المبادئ التقنية والتشغيلية التي يمكن للإدارات أن تنفذها للتحكم بشكل أفضل في بيئة الضوضاء الاصطناعية في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 xml:space="preserve">نطاقات الموجات الديكامترية 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 xml:space="preserve"> وخفض ضوضاء الخلفية في هذه النطاقات؟ على أن يؤخذ في الاعتبار ما</w:t>
      </w:r>
      <w:r>
        <w:rPr>
          <w:rFonts w:hint="eastAsia"/>
          <w:rtl/>
        </w:rPr>
        <w:t> </w:t>
      </w:r>
      <w:r w:rsidRPr="006D01BF">
        <w:rPr>
          <w:rFonts w:hint="cs"/>
          <w:rtl/>
        </w:rPr>
        <w:t>يلي:</w:t>
      </w:r>
    </w:p>
    <w:p w14:paraId="4AE21653" w14:textId="77777777" w:rsidR="00B0605F" w:rsidRPr="006D01BF" w:rsidRDefault="00B0605F" w:rsidP="00B0605F">
      <w:pPr>
        <w:pStyle w:val="enumlev1"/>
        <w:rPr>
          <w:rtl/>
        </w:rPr>
      </w:pPr>
      <w:r w:rsidRPr="006D01BF">
        <w:rPr>
          <w:rFonts w:hint="cs"/>
          <w:rtl/>
        </w:rPr>
        <w:t>-</w:t>
      </w:r>
      <w:r w:rsidRPr="006D01BF">
        <w:rPr>
          <w:rtl/>
        </w:rPr>
        <w:tab/>
      </w:r>
      <w:r w:rsidRPr="006D01BF">
        <w:rPr>
          <w:rFonts w:hint="cs"/>
          <w:rtl/>
        </w:rPr>
        <w:t>تقنيات تقييم التداخلات المتبادلة في إطار الاتصالات على الموجات الأيونوسفيرية في نطاقات الموجات الديكامترية</w:t>
      </w:r>
      <w:r w:rsidRPr="006D01BF">
        <w:rPr>
          <w:rFonts w:hint="eastAsia"/>
          <w:rtl/>
        </w:rPr>
        <w:t> 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 xml:space="preserve"> وتقاسم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الترددات؛</w:t>
      </w:r>
    </w:p>
    <w:p w14:paraId="5E7F5387" w14:textId="77777777" w:rsidR="00B0605F" w:rsidRPr="006D01BF" w:rsidRDefault="00B0605F" w:rsidP="00B0605F">
      <w:pPr>
        <w:pStyle w:val="enumlev1"/>
        <w:rPr>
          <w:rtl/>
        </w:rPr>
      </w:pPr>
      <w:r w:rsidRPr="006D01BF">
        <w:rPr>
          <w:rFonts w:hint="cs"/>
          <w:rtl/>
        </w:rPr>
        <w:t>-</w:t>
      </w:r>
      <w:r w:rsidRPr="006D01BF">
        <w:rPr>
          <w:rtl/>
        </w:rPr>
        <w:tab/>
      </w:r>
      <w:r w:rsidRPr="006D01BF">
        <w:rPr>
          <w:rFonts w:hint="cs"/>
          <w:rtl/>
        </w:rPr>
        <w:t xml:space="preserve">التدابير التقنية والمتطلبات التشغيلية من أجل تخفيف أو تفادي التداخلات المتبادلة بين محطات الاتصالات على الموجات الأيونوسفيرية في نطاقات الموجات الديكامترية 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 xml:space="preserve"> في حالة تقاسم الترددات؛</w:t>
      </w:r>
    </w:p>
    <w:p w14:paraId="55B45907" w14:textId="77777777" w:rsidR="00B0605F" w:rsidRPr="006D01BF" w:rsidRDefault="00B0605F" w:rsidP="00B0605F">
      <w:pPr>
        <w:pStyle w:val="enumlev1"/>
        <w:rPr>
          <w:rtl/>
        </w:rPr>
      </w:pPr>
      <w:r w:rsidRPr="006D01BF">
        <w:rPr>
          <w:rFonts w:hint="cs"/>
          <w:rtl/>
        </w:rPr>
        <w:t>-</w:t>
      </w:r>
      <w:r w:rsidRPr="006D01BF">
        <w:rPr>
          <w:rtl/>
        </w:rPr>
        <w:tab/>
      </w:r>
      <w:r w:rsidRPr="006D01BF">
        <w:rPr>
          <w:rFonts w:hint="cs"/>
          <w:rtl/>
        </w:rPr>
        <w:t>التقنيات الجديدة بشأن الترددات في نطاقات الموجات الديكامترية، فيما يتعلق بالتعاون بشأن استعمال الترددات وتقاسمها في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مختلف أنظمة الاتصالات على الموجات الأيونوسفيرية في نطاقات الموجات الديكامترية</w:t>
      </w:r>
      <w:r>
        <w:rPr>
          <w:rFonts w:hint="eastAsia"/>
          <w:rtl/>
        </w:rPr>
        <w:t> </w:t>
      </w:r>
      <w:r w:rsidRPr="006D01BF">
        <w:rPr>
          <w:lang w:val="en-GB"/>
        </w:rPr>
        <w:t>(HF)</w:t>
      </w:r>
      <w:r w:rsidRPr="006D01BF">
        <w:rPr>
          <w:rFonts w:hint="cs"/>
          <w:rtl/>
        </w:rPr>
        <w:t>؛</w:t>
      </w:r>
    </w:p>
    <w:p w14:paraId="02C84C78" w14:textId="77777777" w:rsidR="00B0605F" w:rsidRPr="006D01BF" w:rsidRDefault="00B0605F" w:rsidP="00B0605F">
      <w:pPr>
        <w:pStyle w:val="enumlev1"/>
        <w:rPr>
          <w:rtl/>
        </w:rPr>
      </w:pPr>
      <w:r w:rsidRPr="006D01BF">
        <w:rPr>
          <w:rFonts w:hint="cs"/>
          <w:rtl/>
        </w:rPr>
        <w:t>-</w:t>
      </w:r>
      <w:r w:rsidRPr="006D01BF">
        <w:rPr>
          <w:rtl/>
        </w:rPr>
        <w:tab/>
      </w:r>
      <w:r w:rsidRPr="006D01BF">
        <w:rPr>
          <w:rFonts w:hint="cs"/>
          <w:rtl/>
        </w:rPr>
        <w:t>الحد من المتطلبات فيما يتعلق بقدرة البث غير المطلوب لأنظمة الموجات الديكامترية؛</w:t>
      </w:r>
    </w:p>
    <w:p w14:paraId="592A52C9" w14:textId="77777777" w:rsidR="00B0605F" w:rsidRPr="00F95685" w:rsidRDefault="00B0605F" w:rsidP="00B0605F">
      <w:pPr>
        <w:pStyle w:val="enumlev1"/>
        <w:rPr>
          <w:spacing w:val="-2"/>
          <w:rtl/>
        </w:rPr>
      </w:pPr>
      <w:r w:rsidRPr="00F95685">
        <w:rPr>
          <w:rFonts w:hint="cs"/>
          <w:spacing w:val="-2"/>
          <w:rtl/>
        </w:rPr>
        <w:t>-</w:t>
      </w:r>
      <w:r w:rsidRPr="00F95685">
        <w:rPr>
          <w:spacing w:val="-2"/>
          <w:rtl/>
        </w:rPr>
        <w:tab/>
      </w:r>
      <w:r w:rsidRPr="00F95685">
        <w:rPr>
          <w:rFonts w:hint="cs"/>
          <w:spacing w:val="-2"/>
          <w:rtl/>
        </w:rPr>
        <w:t>آليات التنسيق على أساس متعدد الأطراف أو إقليمي من أجل تقاسم الترددات في</w:t>
      </w:r>
      <w:r w:rsidRPr="00F95685">
        <w:rPr>
          <w:rFonts w:hint="eastAsia"/>
          <w:spacing w:val="-2"/>
          <w:rtl/>
        </w:rPr>
        <w:t> </w:t>
      </w:r>
      <w:r w:rsidRPr="00F95685">
        <w:rPr>
          <w:rFonts w:hint="cs"/>
          <w:spacing w:val="-2"/>
          <w:rtl/>
        </w:rPr>
        <w:t>الاتصالات على الموجات الأيونوسفيرية في</w:t>
      </w:r>
      <w:r>
        <w:rPr>
          <w:rFonts w:hint="eastAsia"/>
          <w:spacing w:val="-2"/>
          <w:rtl/>
        </w:rPr>
        <w:t> </w:t>
      </w:r>
      <w:r w:rsidRPr="00F95685">
        <w:rPr>
          <w:rFonts w:hint="cs"/>
          <w:spacing w:val="-2"/>
          <w:rtl/>
        </w:rPr>
        <w:t>نطاقات الموجات الديكامترية</w:t>
      </w:r>
      <w:r w:rsidRPr="00F95685">
        <w:rPr>
          <w:rFonts w:hint="eastAsia"/>
          <w:spacing w:val="-2"/>
          <w:rtl/>
        </w:rPr>
        <w:t> </w:t>
      </w:r>
      <w:r w:rsidRPr="00F95685">
        <w:rPr>
          <w:spacing w:val="-2"/>
          <w:lang w:val="en-GB"/>
        </w:rPr>
        <w:t>(HF)</w:t>
      </w:r>
      <w:r w:rsidRPr="00F95685">
        <w:rPr>
          <w:rFonts w:hint="cs"/>
          <w:spacing w:val="-2"/>
          <w:rtl/>
        </w:rPr>
        <w:t>،</w:t>
      </w:r>
    </w:p>
    <w:p w14:paraId="47B6D5E4" w14:textId="77777777" w:rsidR="00B0605F" w:rsidRPr="006D01BF" w:rsidRDefault="00B0605F" w:rsidP="00B0605F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tl/>
        </w:rPr>
        <w:tab/>
      </w:r>
      <w:r w:rsidRPr="006D01BF">
        <w:rPr>
          <w:rFonts w:hint="cs"/>
          <w:rtl/>
        </w:rPr>
        <w:t>ما المبادئ التي يمكن وضعها لتحقيق الغاية المتمثلة في خفض إجمالي الضوضاء الاصطناعية في مدى الترددات للموجات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الديكامترية؟</w:t>
      </w:r>
    </w:p>
    <w:p w14:paraId="4C3879BF" w14:textId="77777777" w:rsidR="00B0605F" w:rsidRPr="006D01BF" w:rsidRDefault="00B0605F" w:rsidP="00B0605F">
      <w:pPr>
        <w:pStyle w:val="Call"/>
        <w:rPr>
          <w:rtl/>
        </w:rPr>
      </w:pPr>
      <w:r w:rsidRPr="006D01BF">
        <w:rPr>
          <w:rFonts w:hint="cs"/>
          <w:rtl/>
        </w:rPr>
        <w:t>تقرر كذلك</w:t>
      </w:r>
    </w:p>
    <w:p w14:paraId="2DA38023" w14:textId="77777777" w:rsidR="00B0605F" w:rsidRPr="006D01BF" w:rsidRDefault="00B0605F" w:rsidP="00B0605F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Fonts w:hint="cs"/>
          <w:rtl/>
        </w:rPr>
        <w:tab/>
        <w:t>إدراج نتائج الدراسات المذكورة أعلاه في توصيات/تقارير جديدة و/أو مراجَعة حسب الاقتضاء؛</w:t>
      </w:r>
    </w:p>
    <w:p w14:paraId="747779D5" w14:textId="1318D905" w:rsidR="00B0605F" w:rsidRPr="006D01BF" w:rsidRDefault="00B0605F" w:rsidP="00B0605F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Fonts w:hint="cs"/>
          <w:rtl/>
        </w:rPr>
        <w:tab/>
      </w:r>
      <w:r w:rsidRPr="006D01BF">
        <w:rPr>
          <w:rtl/>
        </w:rPr>
        <w:t xml:space="preserve">ضرورة </w:t>
      </w:r>
      <w:r w:rsidRPr="006D01BF">
        <w:rPr>
          <w:rFonts w:hint="eastAsia"/>
          <w:rtl/>
        </w:rPr>
        <w:t>إنجاز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الدراسات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سالفة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الذكر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بحلول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عام</w:t>
      </w:r>
      <w:r w:rsidRPr="006D01BF">
        <w:rPr>
          <w:rtl/>
        </w:rPr>
        <w:t xml:space="preserve"> </w:t>
      </w:r>
      <w:r w:rsidR="00145A01">
        <w:rPr>
          <w:lang w:val="en-GB"/>
        </w:rPr>
        <w:t>202</w:t>
      </w:r>
      <w:r w:rsidR="00712B7E">
        <w:rPr>
          <w:lang w:val="en-GB"/>
        </w:rPr>
        <w:t>7</w:t>
      </w:r>
      <w:r w:rsidRPr="006D01BF">
        <w:rPr>
          <w:rFonts w:hint="cs"/>
          <w:rtl/>
        </w:rPr>
        <w:t>.</w:t>
      </w:r>
    </w:p>
    <w:p w14:paraId="0E889333" w14:textId="7FBE0B9D" w:rsidR="00CC001C" w:rsidRPr="00383E43" w:rsidRDefault="00B0605F" w:rsidP="00383E43">
      <w:pPr>
        <w:spacing w:before="360"/>
        <w:rPr>
          <w:lang w:val="en-GB"/>
        </w:rPr>
      </w:pPr>
      <w:r w:rsidRPr="006D01BF">
        <w:rPr>
          <w:rFonts w:hint="cs"/>
          <w:rtl/>
        </w:rPr>
        <w:t xml:space="preserve">الفئة: </w:t>
      </w:r>
      <w:r w:rsidRPr="006D01BF">
        <w:rPr>
          <w:lang w:val="en-GB"/>
        </w:rPr>
        <w:t>S2</w:t>
      </w:r>
    </w:p>
    <w:sectPr w:rsidR="00CC001C" w:rsidRPr="00383E43" w:rsidSect="00383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9096" w14:textId="77777777" w:rsidR="00B0605F" w:rsidRDefault="00B0605F" w:rsidP="00B0605F">
      <w:pPr>
        <w:spacing w:before="0" w:line="240" w:lineRule="auto"/>
      </w:pPr>
      <w:r>
        <w:separator/>
      </w:r>
    </w:p>
  </w:endnote>
  <w:endnote w:type="continuationSeparator" w:id="0">
    <w:p w14:paraId="37ACBE19" w14:textId="77777777" w:rsidR="00B0605F" w:rsidRDefault="00B0605F" w:rsidP="00B060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A1C1" w14:textId="77777777" w:rsidR="00AD4D33" w:rsidRDefault="00AD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8D20" w14:textId="77777777" w:rsidR="00AD4D33" w:rsidRDefault="00AD4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CF39" w14:textId="77777777" w:rsidR="00AD4D33" w:rsidRDefault="00AD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B33E" w14:textId="77777777" w:rsidR="00B0605F" w:rsidRDefault="00B0605F" w:rsidP="00B0605F">
      <w:pPr>
        <w:spacing w:before="0" w:line="240" w:lineRule="auto"/>
      </w:pPr>
      <w:r>
        <w:separator/>
      </w:r>
    </w:p>
  </w:footnote>
  <w:footnote w:type="continuationSeparator" w:id="0">
    <w:p w14:paraId="4ED950D3" w14:textId="77777777" w:rsidR="00B0605F" w:rsidRDefault="00B0605F" w:rsidP="00B0605F">
      <w:pPr>
        <w:spacing w:before="0" w:line="240" w:lineRule="auto"/>
      </w:pPr>
      <w:r>
        <w:continuationSeparator/>
      </w:r>
    </w:p>
  </w:footnote>
  <w:footnote w:id="1">
    <w:p w14:paraId="027758F3" w14:textId="4DC1758D" w:rsidR="00990A38" w:rsidRDefault="00990A3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90A38">
        <w:rPr>
          <w:rFonts w:hint="cs"/>
          <w:szCs w:val="26"/>
          <w:rtl/>
          <w:lang w:bidi="ar-SY"/>
        </w:rPr>
        <w:t xml:space="preserve">قامت لجنة الدراسات </w:t>
      </w:r>
      <w:r w:rsidRPr="00990A38">
        <w:rPr>
          <w:szCs w:val="26"/>
          <w:lang w:bidi="ar-SY"/>
        </w:rPr>
        <w:t>5</w:t>
      </w:r>
      <w:r w:rsidRPr="00990A38">
        <w:rPr>
          <w:rFonts w:hint="cs"/>
          <w:szCs w:val="26"/>
          <w:rtl/>
          <w:lang w:bidi="ar-SY"/>
        </w:rPr>
        <w:t xml:space="preserve"> للاتصالات الراديوية في عام </w:t>
      </w:r>
      <w:r w:rsidRPr="00990A38">
        <w:rPr>
          <w:szCs w:val="26"/>
          <w:lang w:bidi="ar-SY"/>
        </w:rPr>
        <w:t>20</w:t>
      </w:r>
      <w:r w:rsidR="00712B7E">
        <w:rPr>
          <w:szCs w:val="26"/>
          <w:lang w:bidi="ar-SY"/>
        </w:rPr>
        <w:t>23</w:t>
      </w:r>
      <w:r w:rsidRPr="00990A38">
        <w:rPr>
          <w:rFonts w:hint="cs"/>
          <w:szCs w:val="26"/>
          <w:rtl/>
          <w:lang w:bidi="ar-SY"/>
        </w:rPr>
        <w:t xml:space="preserve"> بتمديد تاريخ إنجاز الدراسات المتعلقة بهذه المسألة</w:t>
      </w:r>
      <w:r>
        <w:rPr>
          <w:rFonts w:hint="cs"/>
          <w:rtl/>
          <w:lang w:bidi="ar-EG"/>
        </w:rPr>
        <w:t>.</w:t>
      </w:r>
    </w:p>
  </w:footnote>
  <w:footnote w:id="2">
    <w:p w14:paraId="379C0BDD" w14:textId="77777777" w:rsidR="00C2264D" w:rsidRDefault="00C2264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2264D">
        <w:rPr>
          <w:szCs w:val="26"/>
          <w:rtl/>
          <w:lang w:bidi="ar-SY"/>
        </w:rPr>
        <w:t xml:space="preserve">ينبغي </w:t>
      </w:r>
      <w:r w:rsidRPr="00C2264D">
        <w:rPr>
          <w:rFonts w:hint="cs"/>
          <w:szCs w:val="26"/>
          <w:rtl/>
          <w:lang w:bidi="ar-SY"/>
        </w:rPr>
        <w:t>إحاطة</w:t>
      </w:r>
      <w:r w:rsidRPr="00C2264D">
        <w:rPr>
          <w:szCs w:val="26"/>
          <w:rtl/>
          <w:lang w:bidi="ar-SY"/>
        </w:rPr>
        <w:t xml:space="preserve"> </w:t>
      </w:r>
      <w:r w:rsidRPr="00C2264D">
        <w:rPr>
          <w:rFonts w:hint="cs"/>
          <w:szCs w:val="26"/>
          <w:rtl/>
          <w:lang w:bidi="ar-SY"/>
        </w:rPr>
        <w:t>لجنتي</w:t>
      </w:r>
      <w:r w:rsidRPr="00C2264D">
        <w:rPr>
          <w:szCs w:val="26"/>
          <w:rtl/>
          <w:lang w:bidi="ar-SY"/>
        </w:rPr>
        <w:t xml:space="preserve"> الدراسات </w:t>
      </w:r>
      <w:r w:rsidRPr="00C2264D">
        <w:rPr>
          <w:szCs w:val="26"/>
          <w:lang w:bidi="ar-SY"/>
        </w:rPr>
        <w:t>3</w:t>
      </w:r>
      <w:r w:rsidRPr="00C2264D">
        <w:rPr>
          <w:szCs w:val="26"/>
          <w:rtl/>
          <w:lang w:bidi="ar-SY"/>
        </w:rPr>
        <w:t xml:space="preserve"> و</w:t>
      </w:r>
      <w:r w:rsidRPr="00C2264D">
        <w:rPr>
          <w:szCs w:val="26"/>
          <w:lang w:bidi="ar-SY"/>
        </w:rPr>
        <w:t>6</w:t>
      </w:r>
      <w:r w:rsidRPr="00C2264D">
        <w:rPr>
          <w:szCs w:val="26"/>
          <w:rtl/>
          <w:lang w:bidi="ar-SY"/>
        </w:rPr>
        <w:t xml:space="preserve"> </w:t>
      </w:r>
      <w:r w:rsidRPr="00C2264D">
        <w:rPr>
          <w:rFonts w:hint="cs"/>
          <w:szCs w:val="26"/>
          <w:rtl/>
          <w:lang w:bidi="ar-SY"/>
        </w:rPr>
        <w:t>علماً</w:t>
      </w:r>
      <w:r w:rsidRPr="00C2264D">
        <w:rPr>
          <w:szCs w:val="26"/>
          <w:rtl/>
          <w:lang w:bidi="ar-SY"/>
        </w:rPr>
        <w:t xml:space="preserve"> </w:t>
      </w:r>
      <w:r w:rsidRPr="00C2264D">
        <w:rPr>
          <w:rFonts w:hint="cs"/>
          <w:szCs w:val="26"/>
          <w:rtl/>
          <w:lang w:bidi="ar-SY"/>
        </w:rPr>
        <w:t>ب</w:t>
      </w:r>
      <w:r w:rsidRPr="00C2264D">
        <w:rPr>
          <w:szCs w:val="26"/>
          <w:rtl/>
          <w:lang w:bidi="ar-SY"/>
        </w:rPr>
        <w:t xml:space="preserve">هذه </w:t>
      </w:r>
      <w:r w:rsidRPr="00C2264D">
        <w:rPr>
          <w:rFonts w:hint="cs"/>
          <w:szCs w:val="26"/>
          <w:rtl/>
          <w:lang w:bidi="ar-SY"/>
        </w:rPr>
        <w:t>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CA3A" w14:textId="77777777" w:rsidR="00AD4D33" w:rsidRDefault="00AD4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2570" w14:textId="77777777" w:rsidR="00B0605F" w:rsidRPr="00AD4D33" w:rsidRDefault="00AD4D33" w:rsidP="00AD4D33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- 2 -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8C2E" w14:textId="77777777" w:rsidR="00AD4D33" w:rsidRDefault="00AD4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5F"/>
    <w:rsid w:val="00145A01"/>
    <w:rsid w:val="00383E43"/>
    <w:rsid w:val="00712B7E"/>
    <w:rsid w:val="00990A38"/>
    <w:rsid w:val="00AD4D33"/>
    <w:rsid w:val="00B0605F"/>
    <w:rsid w:val="00BD7FC5"/>
    <w:rsid w:val="00C2264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48DE7"/>
  <w15:chartTrackingRefBased/>
  <w15:docId w15:val="{F4EA7991-6003-4093-87E5-C11A1B3C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5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line="192" w:lineRule="auto"/>
      <w:jc w:val="both"/>
    </w:pPr>
    <w:rPr>
      <w:rFonts w:ascii="Calibri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B0605F"/>
    <w:pPr>
      <w:keepNext/>
      <w:spacing w:before="160"/>
      <w:ind w:left="1588" w:hanging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B0605F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B0605F"/>
    <w:rPr>
      <w:rFonts w:ascii="Calibri" w:hAnsi="Calibri" w:cs="Traditional Arabic"/>
      <w:szCs w:val="30"/>
      <w:lang w:val="en-US"/>
    </w:rPr>
  </w:style>
  <w:style w:type="paragraph" w:customStyle="1" w:styleId="enumlev1">
    <w:name w:val="enumlev 1"/>
    <w:basedOn w:val="Normal"/>
    <w:qFormat/>
    <w:rsid w:val="00B0605F"/>
    <w:pPr>
      <w:spacing w:before="80"/>
      <w:ind w:left="794" w:hanging="794"/>
      <w:outlineLvl w:val="0"/>
    </w:pPr>
    <w:rPr>
      <w:lang w:bidi="ar-SY"/>
    </w:rPr>
  </w:style>
  <w:style w:type="character" w:styleId="FootnoteReference">
    <w:name w:val="footnote reference"/>
    <w:basedOn w:val="DefaultParagraphFont"/>
    <w:uiPriority w:val="99"/>
    <w:unhideWhenUsed/>
    <w:qFormat/>
    <w:rsid w:val="00B0605F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B0605F"/>
    <w:pPr>
      <w:keepNext/>
      <w:spacing w:before="360"/>
    </w:pPr>
    <w:rPr>
      <w:lang w:bidi="ar-SY"/>
    </w:rPr>
  </w:style>
  <w:style w:type="paragraph" w:customStyle="1" w:styleId="Footnotetexte">
    <w:name w:val="Footnote texte"/>
    <w:basedOn w:val="Normal"/>
    <w:qFormat/>
    <w:rsid w:val="00B0605F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No">
    <w:name w:val="Question_No"/>
    <w:basedOn w:val="Normal"/>
    <w:qFormat/>
    <w:rsid w:val="00B0605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B0605F"/>
    <w:pPr>
      <w:spacing w:before="120" w:after="360"/>
    </w:pPr>
    <w:rPr>
      <w:b/>
      <w:bCs/>
      <w:sz w:val="28"/>
      <w:szCs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60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5F"/>
    <w:rPr>
      <w:rFonts w:ascii="Calibri" w:hAnsi="Calibri" w:cs="Traditional Arabic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60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5F"/>
    <w:rPr>
      <w:rFonts w:ascii="Calibri" w:hAnsi="Calibri" w:cs="Traditional Arabic"/>
      <w:szCs w:val="3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A3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A38"/>
    <w:rPr>
      <w:rFonts w:ascii="Calibri" w:hAnsi="Calibri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F966-1EDA-4A61-A6BF-72107580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8</cp:revision>
  <cp:lastPrinted>2019-09-11T10:12:00Z</cp:lastPrinted>
  <dcterms:created xsi:type="dcterms:W3CDTF">2015-10-12T14:40:00Z</dcterms:created>
  <dcterms:modified xsi:type="dcterms:W3CDTF">2023-11-03T12:49:00Z</dcterms:modified>
</cp:coreProperties>
</file>