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1" w:rsidRPr="00606AA0" w:rsidRDefault="00932461" w:rsidP="00932461">
      <w:pPr>
        <w:pStyle w:val="QuestionNoBR"/>
      </w:pPr>
      <w:r>
        <w:t>cuestión uit-R 102-2</w:t>
      </w:r>
      <w:r w:rsidRPr="00606AA0">
        <w:t>/6</w:t>
      </w:r>
    </w:p>
    <w:p w:rsidR="00932461" w:rsidRPr="00884D5F" w:rsidRDefault="00932461" w:rsidP="00932461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 w:rsidRPr="00884D5F">
        <w:rPr>
          <w:rFonts w:asciiTheme="majorBidi" w:hAnsiTheme="majorBidi" w:cstheme="majorBidi"/>
          <w:lang w:val="es-ES"/>
        </w:rPr>
        <w:t>Metodologías para la evaluación subjetiva de la calidad del audio y del vídeo</w:t>
      </w:r>
    </w:p>
    <w:p w:rsidR="00932461" w:rsidRPr="00884D5F" w:rsidRDefault="00932461" w:rsidP="00932461">
      <w:pPr>
        <w:pStyle w:val="Questiondate"/>
        <w:rPr>
          <w:rFonts w:asciiTheme="majorBidi" w:hAnsiTheme="majorBidi" w:cstheme="majorBidi"/>
          <w:i w:val="0"/>
          <w:lang w:val="es-ES"/>
        </w:rPr>
      </w:pPr>
      <w:r w:rsidRPr="00884D5F">
        <w:rPr>
          <w:rFonts w:asciiTheme="majorBidi" w:hAnsiTheme="majorBidi" w:cstheme="majorBidi"/>
          <w:i w:val="0"/>
          <w:lang w:val="es-ES"/>
        </w:rPr>
        <w:t>(1999-2011</w:t>
      </w:r>
      <w:r>
        <w:rPr>
          <w:rFonts w:asciiTheme="majorBidi" w:hAnsiTheme="majorBidi" w:cstheme="majorBidi"/>
          <w:i w:val="0"/>
          <w:lang w:val="es-ES"/>
        </w:rPr>
        <w:t>-2014</w:t>
      </w:r>
      <w:r w:rsidRPr="00884D5F">
        <w:rPr>
          <w:rFonts w:asciiTheme="majorBidi" w:hAnsiTheme="majorBidi" w:cstheme="majorBidi"/>
          <w:i w:val="0"/>
          <w:lang w:val="es-ES"/>
        </w:rPr>
        <w:t>)</w:t>
      </w:r>
    </w:p>
    <w:p w:rsidR="00932461" w:rsidRPr="009B4485" w:rsidRDefault="00932461" w:rsidP="00932461">
      <w:pPr>
        <w:pStyle w:val="Normalaftertitle"/>
        <w:spacing w:before="360"/>
        <w:rPr>
          <w:rFonts w:asciiTheme="majorBidi" w:hAnsiTheme="majorBidi" w:cstheme="majorBidi"/>
          <w:szCs w:val="24"/>
          <w:lang w:val="es-ES_tradnl"/>
        </w:rPr>
      </w:pPr>
      <w:r w:rsidRPr="009B4485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932461" w:rsidRPr="009B4485" w:rsidRDefault="00932461" w:rsidP="00932461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considerando</w:t>
      </w:r>
    </w:p>
    <w:p w:rsidR="00932461" w:rsidRPr="009B4485" w:rsidRDefault="00932461" w:rsidP="00932461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las Recomendaciones UIT-R BS.1116, UIT-R BS.1283, UIT-R BS.1284, </w:t>
      </w:r>
      <w:r>
        <w:rPr>
          <w:rFonts w:asciiTheme="majorBidi" w:hAnsiTheme="majorBidi" w:cstheme="majorBidi"/>
          <w:sz w:val="24"/>
          <w:szCs w:val="24"/>
          <w:lang w:val="es-ES"/>
        </w:rPr>
        <w:t>UIT</w:t>
      </w:r>
      <w:r>
        <w:rPr>
          <w:rFonts w:asciiTheme="majorBidi" w:hAnsiTheme="majorBidi" w:cstheme="majorBidi"/>
          <w:sz w:val="24"/>
          <w:szCs w:val="24"/>
          <w:lang w:val="es-ES"/>
        </w:rPr>
        <w:noBreakHyphen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R BS.1285 y UIT-R BT.500, y en el Informe UIT-R BT.1082 se han establecido métodos primarios para la evaluación subjetiva de la calidad de los sistemas de audio (incluyendo la presentación multicanal) o de vídeo (incluyendo la presentación estereoscópica), respectivamente;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en la Recomendación UIT-R BS.1286 se han establecido métodos primarios para la evaluación subjetiva de la calidad del audio en presencia de imágenes de televisión de gran calidad;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la interacción de la percepción entre las modalidades de audio y vídeo puede afectar a sus cualidades mutuas y a la calidad general percibida;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los actuales métodos para la evaluación subjetiva de la calidad del audio son en ocasiones inadecuados para los sistemas de audio con presentación visual añadida;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no hay métodos aplicables generalmente para la evaluación subjetiva de la calidad visual con presentación de audio añadida;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no hay métodos conocidos para la evaluación subjetiva de la presentación simultánea del audio y el video;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g)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una amplia gama de sistemas multimedios, incluidos los sistemas de información de vídeo multimedios digitales (VIS) para servicios colectivos en interiores y exteriores, comprenden la presentación audiovisual. Dichos sistemas tienen una amplia ga</w:t>
      </w:r>
      <w:r>
        <w:rPr>
          <w:rFonts w:asciiTheme="majorBidi" w:hAnsiTheme="majorBidi" w:cstheme="majorBidi"/>
          <w:sz w:val="24"/>
          <w:szCs w:val="24"/>
          <w:lang w:val="es-ES"/>
        </w:rPr>
        <w:t>ma de aplicabilidad en términos 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de:</w:t>
      </w:r>
    </w:p>
    <w:p w:rsidR="00932461" w:rsidRPr="009B4485" w:rsidRDefault="00932461" w:rsidP="00932461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tipo de terminal (normales y de televisión de alta definición, terminales informáticos, terminales (móviles) multimedio);</w:t>
      </w:r>
    </w:p>
    <w:p w:rsidR="00932461" w:rsidRPr="009B4485" w:rsidRDefault="00932461" w:rsidP="00932461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aplicaciones (servicios de entretenimiento, de enseñanza, de información);</w:t>
      </w:r>
    </w:p>
    <w:p w:rsidR="00932461" w:rsidRPr="009B4485" w:rsidRDefault="00932461" w:rsidP="00932461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calidad de la presentación (baja, intermedia, elevada);</w:t>
      </w:r>
    </w:p>
    <w:p w:rsidR="00932461" w:rsidRPr="009B4485" w:rsidRDefault="00932461" w:rsidP="00932461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entornos de presentación (domésticos, laborales, exteriores, profesionales); y</w:t>
      </w:r>
    </w:p>
    <w:p w:rsidR="00932461" w:rsidRPr="009B4485" w:rsidRDefault="00932461" w:rsidP="00932461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sistemas de distribución (Internet, redes móviles, satélites, radiodifusión);</w:t>
      </w:r>
    </w:p>
    <w:p w:rsidR="00932461" w:rsidRPr="009B4485" w:rsidRDefault="00932461" w:rsidP="00932461">
      <w:pPr>
        <w:pStyle w:val="enumlev1"/>
        <w:tabs>
          <w:tab w:val="clear" w:pos="794"/>
          <w:tab w:val="clear" w:pos="1191"/>
          <w:tab w:val="left" w:pos="0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t>h)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la tecnología multipantalla se utiliza en aplicaciones de radiodifusión y de información multimedios proporcionando presentación simultánea de varias imágenes distintas en la misma pantalla;</w:t>
      </w:r>
    </w:p>
    <w:p w:rsidR="00932461" w:rsidRPr="009B4485" w:rsidRDefault="00932461" w:rsidP="00932461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i)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 xml:space="preserve">que se han implementado sistemas de presentación óptica montados en la cabeza 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br/>
        <w:t>(por ejemplo, gafas con vídeo)</w:t>
      </w:r>
      <w:r w:rsidRPr="0062773B">
        <w:rPr>
          <w:rStyle w:val="FootnoteReference"/>
          <w:rFonts w:asciiTheme="majorBidi" w:hAnsiTheme="majorBidi" w:cstheme="majorBidi"/>
          <w:szCs w:val="18"/>
        </w:rPr>
        <w:footnoteReference w:id="1"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 xml:space="preserve"> para la recepción de programas de radiodifusión de TV e información multimedios personal,</w:t>
      </w:r>
    </w:p>
    <w:p w:rsidR="00932461" w:rsidRPr="009B4485" w:rsidRDefault="00932461" w:rsidP="00932461">
      <w:pPr>
        <w:pStyle w:val="Call"/>
        <w:spacing w:before="120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decide</w:t>
      </w:r>
      <w:r w:rsidRPr="009B4485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 xml:space="preserve"> poner a estudio las siguientes Cuestiones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¿Cuáles son los atributos de la calidad para la percepción audiovisual?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¿Cómo debe considerarse el equilibrio de la calidad dependiente del contexto entre la presentación de audio y visual</w:t>
      </w:r>
      <w:r w:rsidRPr="0062773B">
        <w:rPr>
          <w:rStyle w:val="FootnoteReference"/>
          <w:rFonts w:asciiTheme="majorBidi" w:hAnsiTheme="majorBidi"/>
          <w:szCs w:val="18"/>
          <w:lang w:val="es-ES"/>
        </w:rPr>
        <w:footnoteReference w:customMarkFollows="1" w:id="2"/>
        <w:t>2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?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¿Cuáles son las metodologías de ensayos objetivos</w:t>
      </w:r>
      <w:r w:rsidRPr="0062773B">
        <w:rPr>
          <w:rStyle w:val="FootnoteReference"/>
          <w:rFonts w:asciiTheme="majorBidi" w:hAnsiTheme="majorBidi"/>
          <w:szCs w:val="18"/>
          <w:lang w:val="es-ES"/>
        </w:rPr>
        <w:footnoteReference w:customMarkFollows="1" w:id="3"/>
        <w:t>3</w:t>
      </w:r>
      <w:r w:rsidRPr="0062773B">
        <w:rPr>
          <w:rFonts w:asciiTheme="majorBidi" w:hAnsiTheme="majorBidi" w:cstheme="majorBidi"/>
          <w:sz w:val="18"/>
          <w:szCs w:val="18"/>
          <w:lang w:val="es-ES"/>
        </w:rPr>
        <w:t xml:space="preserve"> 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necesarias en las diversas aplicaciones y el nivel de calidad para:</w:t>
      </w:r>
    </w:p>
    <w:p w:rsidR="00932461" w:rsidRPr="009B4485" w:rsidRDefault="00932461" w:rsidP="00932461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la presentación audiovisual?</w:t>
      </w:r>
    </w:p>
    <w:p w:rsidR="00932461" w:rsidRPr="009B4485" w:rsidRDefault="00932461" w:rsidP="00932461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la presentación visual en presencia de audio (presentación visual con nivel de calidad constante)?</w:t>
      </w:r>
    </w:p>
    <w:p w:rsidR="00932461" w:rsidRPr="009B4485" w:rsidRDefault="00932461" w:rsidP="00932461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la presentación de audio en presencia de señal visual (presentación visual con nivel de calidad constante)?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tales metodologías como criterios para identificar los atributos de calidad que son importantes para las distintas áreas de aplicación en la presentación audiovisual, incluido VIS?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para expresar los requisitos de calidad para las modalidades de audio y visual en las distintas áreas de aplicación y para evaluar su optimización?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6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¿Qué métodos podrían utilizarse para evaluar la calidad de imagen cuando se aplican a sistemas de presentación multipantalla y ópticos montados en la cabeza (por ejemplo, gafas con vídeo)?</w:t>
      </w:r>
    </w:p>
    <w:p w:rsidR="00932461" w:rsidRPr="009B4485" w:rsidRDefault="00932461" w:rsidP="00932461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 w:rsidRPr="009B4485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Recomendaciones;</w:t>
      </w:r>
    </w:p>
    <w:p w:rsidR="00932461" w:rsidRPr="009B4485" w:rsidRDefault="00932461" w:rsidP="00932461">
      <w:pPr>
        <w:spacing w:before="120" w:line="240" w:lineRule="atLeast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9B4485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que dichos estudios se terminen</w:t>
      </w:r>
      <w:r w:rsidRPr="009B4485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 w:rsidRPr="009B4485">
        <w:rPr>
          <w:rFonts w:asciiTheme="majorBidi" w:hAnsiTheme="majorBidi" w:cstheme="majorBidi"/>
          <w:color w:val="000000"/>
          <w:sz w:val="24"/>
          <w:szCs w:val="24"/>
          <w:lang w:val="es-ES"/>
        </w:rPr>
        <w:t>2015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932461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932461" w:rsidRPr="009B4485" w:rsidRDefault="00932461" w:rsidP="00932461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9B4485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932461" w:rsidRDefault="00932461" w:rsidP="009324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4"/>
          <w:szCs w:val="24"/>
        </w:rPr>
      </w:pPr>
    </w:p>
    <w:sectPr w:rsidR="00932461" w:rsidSect="00932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1" w:rsidRDefault="00932461" w:rsidP="00932461">
      <w:pPr>
        <w:spacing w:before="0" w:line="240" w:lineRule="auto"/>
      </w:pPr>
      <w:r>
        <w:separator/>
      </w:r>
    </w:p>
  </w:endnote>
  <w:endnote w:type="continuationSeparator" w:id="0">
    <w:p w:rsidR="00932461" w:rsidRDefault="00932461" w:rsidP="009324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Default="00932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Default="00932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Default="00932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1" w:rsidRDefault="00932461" w:rsidP="00932461">
      <w:pPr>
        <w:spacing w:before="0" w:line="240" w:lineRule="auto"/>
      </w:pPr>
      <w:r>
        <w:separator/>
      </w:r>
    </w:p>
  </w:footnote>
  <w:footnote w:type="continuationSeparator" w:id="0">
    <w:p w:rsidR="00932461" w:rsidRDefault="00932461" w:rsidP="00932461">
      <w:pPr>
        <w:spacing w:before="0" w:line="240" w:lineRule="auto"/>
      </w:pPr>
      <w:r>
        <w:continuationSeparator/>
      </w:r>
    </w:p>
  </w:footnote>
  <w:footnote w:id="1">
    <w:p w:rsidR="00932461" w:rsidRPr="00884D5F" w:rsidRDefault="00932461" w:rsidP="00932461">
      <w:pPr>
        <w:pStyle w:val="FootnoteText"/>
        <w:tabs>
          <w:tab w:val="clear" w:pos="255"/>
          <w:tab w:val="left" w:pos="0"/>
          <w:tab w:val="left" w:pos="284"/>
        </w:tabs>
        <w:spacing w:before="120" w:line="24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3467FC">
        <w:rPr>
          <w:rStyle w:val="FootnoteReference"/>
          <w:rFonts w:asciiTheme="majorBidi" w:hAnsiTheme="majorBidi" w:cstheme="majorBidi"/>
        </w:rPr>
        <w:footnoteRef/>
      </w:r>
      <w:r w:rsidRPr="00884D5F">
        <w:rPr>
          <w:rFonts w:asciiTheme="majorBidi" w:hAnsiTheme="majorBidi" w:cstheme="majorBidi"/>
          <w:lang w:val="es-ES"/>
        </w:rPr>
        <w:tab/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Los sistemas de presentación personales que utilizan gafas ópticas pueden utilizarse con PC, teléfonos inteligentes y otros dispositivos. Pueden ser utilizados para la recepción de programas de radiodifusión de TV e información multimedios personal en cualquier instante, en cualquier lugar y en movimiento.</w:t>
      </w:r>
    </w:p>
  </w:footnote>
  <w:footnote w:id="2">
    <w:p w:rsidR="00932461" w:rsidRPr="003467FC" w:rsidRDefault="00932461" w:rsidP="00932461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spacing w:before="120" w:line="240" w:lineRule="auto"/>
        <w:ind w:left="0" w:firstLine="0"/>
        <w:jc w:val="left"/>
        <w:rPr>
          <w:rFonts w:asciiTheme="majorBidi" w:hAnsiTheme="majorBidi" w:cstheme="majorBidi"/>
          <w:lang w:val="es-ES"/>
        </w:rPr>
      </w:pPr>
      <w:r w:rsidRPr="00884D5F">
        <w:rPr>
          <w:rStyle w:val="FootnoteReference"/>
          <w:rFonts w:asciiTheme="majorBidi" w:hAnsiTheme="majorBidi" w:cstheme="majorBidi"/>
          <w:lang w:val="es-ES"/>
        </w:rPr>
        <w:t>2</w:t>
      </w:r>
      <w:r w:rsidRPr="00884D5F">
        <w:rPr>
          <w:rFonts w:asciiTheme="majorBidi" w:hAnsiTheme="majorBidi" w:cstheme="majorBidi"/>
          <w:lang w:val="es-ES"/>
        </w:rP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3">
    <w:p w:rsidR="00932461" w:rsidRPr="009B4485" w:rsidRDefault="00932461" w:rsidP="00932461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spacing w:before="120" w:line="24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884D5F">
        <w:rPr>
          <w:rStyle w:val="FootnoteReference"/>
          <w:rFonts w:asciiTheme="majorBidi" w:hAnsiTheme="majorBidi" w:cstheme="majorBidi"/>
          <w:lang w:val="es-ES"/>
        </w:rPr>
        <w:t>3</w:t>
      </w:r>
      <w:r w:rsidRPr="00884D5F">
        <w:rPr>
          <w:rFonts w:asciiTheme="majorBidi" w:hAnsiTheme="majorBidi" w:cstheme="majorBidi"/>
          <w:lang w:val="es-ES"/>
        </w:rPr>
        <w:t xml:space="preserve"> </w:t>
      </w:r>
      <w:r w:rsidRPr="00884D5F">
        <w:rPr>
          <w:lang w:val="es-ES"/>
        </w:rP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Ello debe incluir, por ejemplo, la armonización de las escalas de valoración empleadas actualmente en los ensayos de audio y vídeo (véanse las actuales Recomendaciones UIT</w:t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-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R BS y UIT-R BT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Default="00932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Pr="00932461" w:rsidRDefault="00932461">
    <w:pPr>
      <w:pStyle w:val="Header"/>
      <w:jc w:val="center"/>
      <w:rPr>
        <w:sz w:val="18"/>
        <w:szCs w:val="18"/>
      </w:rPr>
    </w:pPr>
    <w:bookmarkStart w:id="0" w:name="_GoBack"/>
    <w:r w:rsidRPr="0093246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854789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32461">
          <w:rPr>
            <w:sz w:val="18"/>
            <w:szCs w:val="18"/>
          </w:rPr>
          <w:fldChar w:fldCharType="begin"/>
        </w:r>
        <w:r w:rsidRPr="00932461">
          <w:rPr>
            <w:sz w:val="18"/>
            <w:szCs w:val="18"/>
          </w:rPr>
          <w:instrText xml:space="preserve"> PAGE   \* MERGEFORMAT </w:instrText>
        </w:r>
        <w:r w:rsidRPr="0093246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32461">
          <w:rPr>
            <w:noProof/>
            <w:sz w:val="18"/>
            <w:szCs w:val="18"/>
          </w:rPr>
          <w:fldChar w:fldCharType="end"/>
        </w:r>
        <w:r w:rsidRPr="00932461">
          <w:rPr>
            <w:noProof/>
            <w:sz w:val="18"/>
            <w:szCs w:val="18"/>
          </w:rPr>
          <w:t xml:space="preserve"> -</w:t>
        </w:r>
      </w:sdtContent>
    </w:sdt>
  </w:p>
  <w:bookmarkEnd w:id="0"/>
  <w:p w:rsidR="00932461" w:rsidRPr="00932461" w:rsidRDefault="00932461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Default="00932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1"/>
    <w:rsid w:val="00932461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1851-F0EF-41C0-A81F-DC7581FC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32461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32461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32461"/>
    <w:rPr>
      <w:rFonts w:ascii="Calibri" w:eastAsia="Times New Roman" w:hAnsi="Calibri" w:cs="Calibri"/>
      <w:sz w:val="20"/>
      <w:lang w:val="es-ES_tradnl" w:eastAsia="en-US"/>
    </w:rPr>
  </w:style>
  <w:style w:type="paragraph" w:customStyle="1" w:styleId="enumlev1">
    <w:name w:val="enumlev1"/>
    <w:basedOn w:val="Normal"/>
    <w:link w:val="enumlev1Char"/>
    <w:rsid w:val="00932461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932461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9324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93246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link w:val="QuestionNoBRChar"/>
    <w:rsid w:val="00932461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9324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932461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allChar">
    <w:name w:val="Call Char"/>
    <w:basedOn w:val="DefaultParagraphFont"/>
    <w:link w:val="Call"/>
    <w:rsid w:val="00932461"/>
    <w:rPr>
      <w:rFonts w:ascii="Calibri" w:eastAsia="Times New Roman" w:hAnsi="Calibri" w:cs="Calibri"/>
      <w:i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932461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932461"/>
    <w:rPr>
      <w:rFonts w:ascii="Calibri" w:eastAsia="Times New Roman" w:hAnsi="Calibri" w:cs="Calibri"/>
      <w:lang w:val="es-ES_tradnl" w:eastAsia="en-US"/>
    </w:rPr>
  </w:style>
  <w:style w:type="paragraph" w:customStyle="1" w:styleId="call0">
    <w:name w:val="call"/>
    <w:basedOn w:val="Normal"/>
    <w:next w:val="Normal"/>
    <w:rsid w:val="00932461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932461"/>
    <w:rPr>
      <w:rFonts w:ascii="Calibri" w:eastAsia="Times New Roman" w:hAnsi="Calibri" w:cs="Calibri"/>
      <w:b/>
      <w:sz w:val="28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93246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61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93246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61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3173</Characters>
  <Application>Microsoft Office Word</Application>
  <DocSecurity>0</DocSecurity>
  <Lines>26</Lines>
  <Paragraphs>7</Paragraphs>
  <ScaleCrop>false</ScaleCrop>
  <Company>ITU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2014-09-19T10:00:00Z</dcterms:created>
  <dcterms:modified xsi:type="dcterms:W3CDTF">2014-09-19T10:05:00Z</dcterms:modified>
</cp:coreProperties>
</file>