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AA6" w:rsidRPr="00A55282" w:rsidRDefault="00330AA6" w:rsidP="00330AA6">
      <w:pPr>
        <w:pStyle w:val="QuestionNoBR"/>
        <w:rPr>
          <w:lang w:val="en-US"/>
        </w:rPr>
      </w:pPr>
      <w:r w:rsidRPr="00A55282">
        <w:rPr>
          <w:lang w:val="en-US"/>
        </w:rPr>
        <w:t xml:space="preserve">QUESTION ITU-R </w:t>
      </w:r>
      <w:r>
        <w:rPr>
          <w:lang w:val="en-US"/>
        </w:rPr>
        <w:t>136-1</w:t>
      </w:r>
      <w:r w:rsidRPr="00A55282">
        <w:rPr>
          <w:lang w:val="en-US"/>
        </w:rPr>
        <w:t>/6</w:t>
      </w:r>
      <w:r>
        <w:rPr>
          <w:rStyle w:val="FootnoteReference"/>
          <w:lang w:val="en-US"/>
        </w:rPr>
        <w:footnoteReference w:id="1"/>
      </w:r>
    </w:p>
    <w:p w:rsidR="00330AA6" w:rsidRPr="00605C44" w:rsidRDefault="00330AA6" w:rsidP="00330AA6">
      <w:pPr>
        <w:pStyle w:val="Questiontitle"/>
      </w:pPr>
      <w:r w:rsidRPr="00605C44">
        <w:t>Worldwide broadcast</w:t>
      </w:r>
      <w:r>
        <w:t>ing</w:t>
      </w:r>
      <w:r w:rsidRPr="00605C44">
        <w:t xml:space="preserve"> roaming</w:t>
      </w:r>
      <w:r w:rsidRPr="00605C44">
        <w:rPr>
          <w:rStyle w:val="FootnoteReference"/>
          <w:b w:val="0"/>
        </w:rPr>
        <w:footnoteReference w:id="2"/>
      </w:r>
      <w:r w:rsidRPr="0055337F">
        <w:rPr>
          <w:sz w:val="18"/>
          <w:szCs w:val="18"/>
          <w:vertAlign w:val="superscript"/>
          <w:lang w:val="en-US"/>
        </w:rPr>
        <w:t xml:space="preserve">, </w:t>
      </w:r>
      <w:r w:rsidRPr="00B23594">
        <w:rPr>
          <w:rStyle w:val="FootnoteReference"/>
          <w:b w:val="0"/>
        </w:rPr>
        <w:footnoteReference w:id="3"/>
      </w:r>
    </w:p>
    <w:p w:rsidR="00330AA6" w:rsidRPr="00753C09" w:rsidRDefault="00330AA6" w:rsidP="00330AA6">
      <w:pPr>
        <w:pStyle w:val="Questiondate"/>
      </w:pPr>
      <w:r w:rsidRPr="00753C09">
        <w:t>(2012</w:t>
      </w:r>
      <w:r>
        <w:t>-2013</w:t>
      </w:r>
      <w:r w:rsidRPr="00753C09">
        <w:t>)</w:t>
      </w:r>
    </w:p>
    <w:p w:rsidR="00330AA6" w:rsidRPr="00753C09" w:rsidRDefault="00330AA6" w:rsidP="00330AA6">
      <w:pPr>
        <w:pStyle w:val="Normalaftertitle"/>
      </w:pPr>
      <w:r w:rsidRPr="00753C09">
        <w:t>The ITU Radiocommunication Assembly,</w:t>
      </w:r>
    </w:p>
    <w:p w:rsidR="00330AA6" w:rsidRPr="00753C09" w:rsidRDefault="00330AA6" w:rsidP="00330AA6">
      <w:pPr>
        <w:pStyle w:val="Call"/>
      </w:pPr>
      <w:r w:rsidRPr="00753C09">
        <w:t>considering</w:t>
      </w:r>
    </w:p>
    <w:p w:rsidR="00330AA6" w:rsidRPr="00753C09" w:rsidRDefault="00330AA6" w:rsidP="00330AA6">
      <w:r w:rsidRPr="00753C09">
        <w:rPr>
          <w:i/>
          <w:iCs/>
        </w:rPr>
        <w:t>a)</w:t>
      </w:r>
      <w:r w:rsidRPr="00753C09">
        <w:tab/>
        <w:t>that there is an increasing demand to use portable broadcast receivers worldwide (worldwide roaming);</w:t>
      </w:r>
    </w:p>
    <w:p w:rsidR="00330AA6" w:rsidRPr="00753C09" w:rsidRDefault="00330AA6" w:rsidP="00330AA6">
      <w:r w:rsidRPr="00753C09">
        <w:rPr>
          <w:i/>
          <w:iCs/>
        </w:rPr>
        <w:t>b)</w:t>
      </w:r>
      <w:r w:rsidRPr="00753C09">
        <w:tab/>
        <w:t>that the service requirements for digital sound broadcasting systems in different bands have been developed and adopted in ITU-R (Recommendation ITU-R BS.1348 for the bands below 30 MHz; Recommendation ITU-R BS.774 for VHF/UHF bands);</w:t>
      </w:r>
    </w:p>
    <w:p w:rsidR="00330AA6" w:rsidRPr="00753C09" w:rsidRDefault="00330AA6" w:rsidP="00330AA6">
      <w:pPr>
        <w:ind w:right="-142"/>
      </w:pPr>
      <w:r w:rsidRPr="00753C09">
        <w:rPr>
          <w:i/>
          <w:iCs/>
        </w:rPr>
        <w:t>c)</w:t>
      </w:r>
      <w:r w:rsidRPr="00753C09">
        <w:tab/>
        <w:t>that the requirements for enhanced multimedia services for digital terrestrial broadcasting in VHF bands I and II have been developed and adopted in ITU-R (Recommendation ITU-R BS.1892);</w:t>
      </w:r>
    </w:p>
    <w:p w:rsidR="00330AA6" w:rsidRPr="00753C09" w:rsidRDefault="00330AA6" w:rsidP="00330AA6">
      <w:r w:rsidRPr="00753C09">
        <w:rPr>
          <w:i/>
          <w:iCs/>
        </w:rPr>
        <w:t>d)</w:t>
      </w:r>
      <w:r w:rsidRPr="00753C09">
        <w:tab/>
        <w:t>that various digital sound broadcasting systems for fixed and mobile reception and their parameters are described in ITU-R Recommendations and Reports (Recommendations ITU</w:t>
      </w:r>
      <w:r w:rsidRPr="00753C09">
        <w:noBreakHyphen/>
        <w:t>R BS.1514, ITU-R BS.1615, Reports ITU-R BS.2004, ITU-R BS.2144 for the bands below 30 MHz; Recommendations ITU-R BS.1114, ITU-R BS.1660, Reports ITU-R BS.1203, ITU</w:t>
      </w:r>
      <w:r w:rsidRPr="00753C09">
        <w:noBreakHyphen/>
        <w:t>R BS.2208, ITU-R BS.2214 for VHF/UHF bands);</w:t>
      </w:r>
    </w:p>
    <w:p w:rsidR="00330AA6" w:rsidRPr="00753C09" w:rsidRDefault="00330AA6" w:rsidP="00330AA6">
      <w:r w:rsidRPr="00753C09">
        <w:rPr>
          <w:i/>
          <w:iCs/>
        </w:rPr>
        <w:t>e)</w:t>
      </w:r>
      <w:r w:rsidRPr="00753C09">
        <w:tab/>
        <w:t>that various digital multimedia broadcasting systems for fixed and mobile reception and their parameters are described in ITU-R Recommendations and Reports (Recommendation</w:t>
      </w:r>
      <w:r>
        <w:t>s</w:t>
      </w:r>
      <w:r w:rsidRPr="00753C09">
        <w:t xml:space="preserve"> ITU</w:t>
      </w:r>
      <w:r w:rsidRPr="00753C09">
        <w:noBreakHyphen/>
        <w:t>R BT.1833, ITU-R BT.</w:t>
      </w:r>
      <w:r>
        <w:t xml:space="preserve">2016, </w:t>
      </w:r>
      <w:r w:rsidRPr="00753C09">
        <w:t>Report ITU-R BT.2049);</w:t>
      </w:r>
    </w:p>
    <w:p w:rsidR="00330AA6" w:rsidRPr="00753C09" w:rsidRDefault="00330AA6" w:rsidP="00330AA6">
      <w:r w:rsidRPr="00753C09">
        <w:rPr>
          <w:i/>
          <w:iCs/>
        </w:rPr>
        <w:t>f)</w:t>
      </w:r>
      <w:r w:rsidRPr="00753C09">
        <w:tab/>
        <w:t>that various digital terrestrial television broadcasting systems are described in ITU-R Recommendations and Reports (Recommendations ITU-R BT.709, ITU-R BT.1306, ITU</w:t>
      </w:r>
      <w:r w:rsidRPr="00753C09">
        <w:noBreakHyphen/>
        <w:t>R BT.1877, Reports ITU-R BT.2140, ITU-R BT.2142, ITU-R BT.1543, etc.);</w:t>
      </w:r>
    </w:p>
    <w:p w:rsidR="00330AA6" w:rsidRPr="00753C09" w:rsidRDefault="00330AA6" w:rsidP="00330AA6">
      <w:r w:rsidRPr="00753C09">
        <w:rPr>
          <w:i/>
          <w:iCs/>
        </w:rPr>
        <w:t>g)</w:t>
      </w:r>
      <w:r w:rsidRPr="00753C09">
        <w:tab/>
        <w:t>that various digital satellite sound and television broadcasting systems are described in ITU-R Recommendations (Recommendations ITU-R BO.1130, ITU-R BO.1516, ITU-R BO.1724, ITU-R BO.1784);</w:t>
      </w:r>
    </w:p>
    <w:p w:rsidR="00330AA6" w:rsidRPr="00753C09" w:rsidRDefault="00330AA6" w:rsidP="00330AA6">
      <w:r w:rsidRPr="00753C09">
        <w:rPr>
          <w:i/>
          <w:iCs/>
        </w:rPr>
        <w:lastRenderedPageBreak/>
        <w:t>h)</w:t>
      </w:r>
      <w:r w:rsidRPr="00753C09">
        <w:tab/>
        <w:t>that a set of ITU-R Recommendations invite the ITU membership and radio receiver manufacturers to study the possibility of the development of multiband, multistandard radio receivers (Recommendations ITU-R BS.774, ITU-R BS.1114, ITU-R BS.1348);</w:t>
      </w:r>
    </w:p>
    <w:p w:rsidR="00330AA6" w:rsidRPr="00753C09" w:rsidRDefault="00330AA6" w:rsidP="00330AA6">
      <w:r w:rsidRPr="00753C09">
        <w:rPr>
          <w:i/>
          <w:iCs/>
        </w:rPr>
        <w:t>j)</w:t>
      </w:r>
      <w:r w:rsidRPr="00753C09">
        <w:tab/>
        <w:t>that the implementation of various versions of interactivity in TV and radio broadcasting systems including use of Internet are described in ITU-R Recommendations (Recommendations ITU-R BT.1508, ITU-R BT.1564, ITU-R BT.1667, ITU-R BT.1832, etc.);</w:t>
      </w:r>
    </w:p>
    <w:p w:rsidR="00330AA6" w:rsidRPr="00753C09" w:rsidRDefault="00330AA6" w:rsidP="00330AA6">
      <w:r w:rsidRPr="00753C09">
        <w:rPr>
          <w:i/>
          <w:iCs/>
        </w:rPr>
        <w:t>k)</w:t>
      </w:r>
      <w:r w:rsidRPr="00753C09">
        <w:tab/>
        <w:t>that software-defined radio (SDR) is under study in ITU;</w:t>
      </w:r>
    </w:p>
    <w:p w:rsidR="00330AA6" w:rsidRPr="00753C09" w:rsidRDefault="00330AA6" w:rsidP="00330AA6">
      <w:r w:rsidRPr="00753C09">
        <w:rPr>
          <w:i/>
          <w:iCs/>
        </w:rPr>
        <w:t>l)</w:t>
      </w:r>
      <w:r w:rsidRPr="00753C09">
        <w:tab/>
        <w:t>that modern digital broadcasting receivers are increasingly based on loaded software or firmware that may be subject to updating;</w:t>
      </w:r>
    </w:p>
    <w:p w:rsidR="00330AA6" w:rsidRPr="00753C09" w:rsidRDefault="00330AA6" w:rsidP="00330AA6">
      <w:r w:rsidRPr="00753C09">
        <w:rPr>
          <w:i/>
          <w:iCs/>
        </w:rPr>
        <w:t>m)</w:t>
      </w:r>
      <w:r w:rsidRPr="00753C09">
        <w:tab/>
        <w:t>that modern broadcast receives are often equipped with an interface that allows the additional connection to the Internet (for, e.g., interactivity and downloads);</w:t>
      </w:r>
    </w:p>
    <w:p w:rsidR="00330AA6" w:rsidRDefault="00330AA6" w:rsidP="00330AA6">
      <w:r w:rsidRPr="00753C09">
        <w:rPr>
          <w:i/>
        </w:rPr>
        <w:t>n)</w:t>
      </w:r>
      <w:r w:rsidRPr="00753C09">
        <w:tab/>
      </w:r>
      <w:r w:rsidRPr="00753C09">
        <w:rPr>
          <w:lang w:val="en-US"/>
        </w:rPr>
        <w:t>that</w:t>
      </w:r>
      <w:r w:rsidRPr="00753C09">
        <w:t xml:space="preserve"> methods of </w:t>
      </w:r>
      <w:r w:rsidRPr="00753C09">
        <w:rPr>
          <w:lang w:val="en-US"/>
        </w:rPr>
        <w:t xml:space="preserve">broadcast content delivery via future </w:t>
      </w:r>
      <w:r>
        <w:rPr>
          <w:lang w:val="en-US"/>
        </w:rPr>
        <w:t xml:space="preserve">interactive </w:t>
      </w:r>
      <w:r w:rsidRPr="00753C09">
        <w:rPr>
          <w:lang w:val="en-US"/>
        </w:rPr>
        <w:t>and existing systems</w:t>
      </w:r>
      <w:r>
        <w:rPr>
          <w:lang w:val="en-US"/>
        </w:rPr>
        <w:t>, as found in,</w:t>
      </w:r>
      <w:r w:rsidRPr="00753C09">
        <w:rPr>
          <w:lang w:val="en-US"/>
        </w:rPr>
        <w:t xml:space="preserve"> for example, Recommendation ITU-R BT.1833 are in progress in addition</w:t>
      </w:r>
      <w:r w:rsidRPr="00753C09">
        <w:t xml:space="preserve"> </w:t>
      </w:r>
      <w:r w:rsidRPr="00753C09">
        <w:rPr>
          <w:lang w:val="en-US"/>
        </w:rPr>
        <w:t>to</w:t>
      </w:r>
      <w:r w:rsidRPr="00753C09">
        <w:t xml:space="preserve"> </w:t>
      </w:r>
      <w:r w:rsidRPr="00753C09">
        <w:rPr>
          <w:lang w:val="en-US"/>
        </w:rPr>
        <w:t>terrestrial</w:t>
      </w:r>
      <w:r w:rsidRPr="00753C09">
        <w:t xml:space="preserve"> </w:t>
      </w:r>
      <w:r w:rsidRPr="00753C09">
        <w:rPr>
          <w:lang w:val="en-US"/>
        </w:rPr>
        <w:t>broadcasting</w:t>
      </w:r>
      <w:r w:rsidRPr="00753C09">
        <w:t>;</w:t>
      </w:r>
    </w:p>
    <w:p w:rsidR="00330AA6" w:rsidRPr="00753C09" w:rsidRDefault="00330AA6" w:rsidP="00330AA6">
      <w:r>
        <w:rPr>
          <w:i/>
          <w:iCs/>
        </w:rPr>
        <w:t>o</w:t>
      </w:r>
      <w:r w:rsidRPr="00753C09">
        <w:rPr>
          <w:i/>
          <w:iCs/>
        </w:rPr>
        <w:t>)</w:t>
      </w:r>
      <w:r w:rsidRPr="00753C09">
        <w:tab/>
        <w:t>that worldwide broadcasting roaming may facilitate the regional, national and international harmonization of broadcasting;</w:t>
      </w:r>
    </w:p>
    <w:p w:rsidR="00330AA6" w:rsidRPr="00753C09" w:rsidRDefault="00330AA6" w:rsidP="00330AA6">
      <w:r>
        <w:rPr>
          <w:i/>
          <w:iCs/>
        </w:rPr>
        <w:t>p</w:t>
      </w:r>
      <w:r w:rsidRPr="00753C09">
        <w:rPr>
          <w:i/>
          <w:iCs/>
        </w:rPr>
        <w:t>)</w:t>
      </w:r>
      <w:r w:rsidRPr="00753C09">
        <w:tab/>
        <w:t>that worldwide broadcasting roaming offers the possibility of intersystem interoperability for information services in disaster and emergency situations, navigation, safety, etc.,</w:t>
      </w:r>
    </w:p>
    <w:p w:rsidR="00330AA6" w:rsidRPr="00753C09" w:rsidRDefault="00330AA6" w:rsidP="00330AA6">
      <w:pPr>
        <w:pStyle w:val="Call"/>
      </w:pPr>
      <w:r w:rsidRPr="00753C09">
        <w:t xml:space="preserve">decides </w:t>
      </w:r>
      <w:r w:rsidRPr="00425C3D">
        <w:rPr>
          <w:i w:val="0"/>
          <w:iCs/>
        </w:rPr>
        <w:t>that the following Questions should be studied</w:t>
      </w:r>
    </w:p>
    <w:p w:rsidR="00330AA6" w:rsidRPr="00753C09" w:rsidRDefault="00330AA6" w:rsidP="00330AA6">
      <w:r w:rsidRPr="00753C09">
        <w:rPr>
          <w:bCs/>
        </w:rPr>
        <w:t>1</w:t>
      </w:r>
      <w:r w:rsidRPr="00753C09">
        <w:rPr>
          <w:b/>
        </w:rPr>
        <w:tab/>
      </w:r>
      <w:r w:rsidRPr="00753C09">
        <w:t>What are the service requirements and features for worldwide broadcasting roaming?</w:t>
      </w:r>
    </w:p>
    <w:p w:rsidR="00330AA6" w:rsidRPr="00753C09" w:rsidRDefault="00330AA6" w:rsidP="00330AA6">
      <w:r w:rsidRPr="00753C09">
        <w:rPr>
          <w:bCs/>
        </w:rPr>
        <w:t>2</w:t>
      </w:r>
      <w:r w:rsidRPr="00753C09">
        <w:rPr>
          <w:b/>
        </w:rPr>
        <w:tab/>
      </w:r>
      <w:r w:rsidRPr="00753C09">
        <w:t>What are the system requirements (basic characteristics and performances) that need to be fulfilled in order to realise worldwide broadcasting roaming?</w:t>
      </w:r>
    </w:p>
    <w:p w:rsidR="00330AA6" w:rsidRPr="00753C09" w:rsidRDefault="00330AA6" w:rsidP="00330AA6">
      <w:r w:rsidRPr="00753C09">
        <w:rPr>
          <w:bCs/>
        </w:rPr>
        <w:t>3</w:t>
      </w:r>
      <w:r w:rsidRPr="00753C09">
        <w:rPr>
          <w:b/>
        </w:rPr>
        <w:tab/>
      </w:r>
      <w:r w:rsidRPr="00753C09">
        <w:t>What are the technical characteristics of broadcast receivers including elements of SDR and its enhancements that may be used for implementation of worldwide broadcasting roaming?</w:t>
      </w:r>
    </w:p>
    <w:p w:rsidR="00330AA6" w:rsidRPr="00753C09" w:rsidRDefault="00330AA6" w:rsidP="00330AA6">
      <w:pPr>
        <w:pStyle w:val="Call"/>
      </w:pPr>
      <w:r w:rsidRPr="00753C09">
        <w:t>further decides</w:t>
      </w:r>
    </w:p>
    <w:p w:rsidR="00330AA6" w:rsidRPr="00753C09" w:rsidRDefault="00330AA6" w:rsidP="00330AA6">
      <w:r w:rsidRPr="00753C09">
        <w:rPr>
          <w:bCs/>
        </w:rPr>
        <w:t>1</w:t>
      </w:r>
      <w:r w:rsidRPr="00753C09">
        <w:tab/>
        <w:t>that the results of the above studies should be included in (a) Report(s) and/or Recommendation(s);</w:t>
      </w:r>
    </w:p>
    <w:p w:rsidR="00330AA6" w:rsidRPr="00753C09" w:rsidRDefault="00330AA6" w:rsidP="00330AA6">
      <w:r w:rsidRPr="00753C09">
        <w:rPr>
          <w:bCs/>
        </w:rPr>
        <w:t>2</w:t>
      </w:r>
      <w:r w:rsidRPr="00753C09">
        <w:tab/>
        <w:t>that the above studies should be completed by 2015.</w:t>
      </w:r>
    </w:p>
    <w:p w:rsidR="00330AA6" w:rsidRPr="00753C09" w:rsidRDefault="00330AA6" w:rsidP="00330AA6">
      <w:pPr>
        <w:tabs>
          <w:tab w:val="left" w:pos="840"/>
        </w:tabs>
      </w:pPr>
    </w:p>
    <w:p w:rsidR="00330AA6" w:rsidRPr="00753C09" w:rsidRDefault="00330AA6" w:rsidP="00330AA6">
      <w:r>
        <w:t xml:space="preserve">Category: </w:t>
      </w:r>
      <w:r w:rsidRPr="00753C09">
        <w:t>S2</w:t>
      </w:r>
    </w:p>
    <w:p w:rsidR="00330AA6" w:rsidRPr="00753C09" w:rsidRDefault="00330AA6" w:rsidP="00330AA6">
      <w:pPr>
        <w:tabs>
          <w:tab w:val="left" w:pos="840"/>
        </w:tabs>
        <w:outlineLvl w:val="0"/>
      </w:pPr>
    </w:p>
    <w:p w:rsidR="00494B3F" w:rsidRDefault="00494B3F"/>
    <w:sectPr w:rsidR="00494B3F" w:rsidSect="004A3F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AA6" w:rsidRDefault="00330AA6" w:rsidP="00330AA6">
      <w:pPr>
        <w:spacing w:before="0"/>
      </w:pPr>
      <w:r>
        <w:separator/>
      </w:r>
    </w:p>
  </w:endnote>
  <w:endnote w:type="continuationSeparator" w:id="0">
    <w:p w:rsidR="00330AA6" w:rsidRDefault="00330AA6" w:rsidP="00330AA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FC5" w:rsidRDefault="004A3F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FC5" w:rsidRDefault="004A3F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FC5" w:rsidRDefault="004A3F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AA6" w:rsidRDefault="00330AA6" w:rsidP="00330AA6">
      <w:pPr>
        <w:spacing w:before="0"/>
      </w:pPr>
      <w:r>
        <w:separator/>
      </w:r>
    </w:p>
  </w:footnote>
  <w:footnote w:type="continuationSeparator" w:id="0">
    <w:p w:rsidR="00330AA6" w:rsidRDefault="00330AA6" w:rsidP="00330AA6">
      <w:pPr>
        <w:spacing w:before="0"/>
      </w:pPr>
      <w:r>
        <w:continuationSeparator/>
      </w:r>
    </w:p>
  </w:footnote>
  <w:footnote w:id="1">
    <w:p w:rsidR="00330AA6" w:rsidRPr="00425C3D" w:rsidRDefault="00330AA6" w:rsidP="00330AA6">
      <w:pPr>
        <w:pStyle w:val="FootnoteText"/>
        <w:ind w:left="0" w:firstLine="0"/>
      </w:pPr>
      <w:r>
        <w:rPr>
          <w:rStyle w:val="FootnoteReference"/>
        </w:rPr>
        <w:footnoteRef/>
      </w:r>
      <w:r>
        <w:tab/>
        <w:t xml:space="preserve">This </w:t>
      </w:r>
      <w:r w:rsidRPr="00605C44">
        <w:t>Question</w:t>
      </w:r>
      <w:r>
        <w:t xml:space="preserve"> should be brought to the attention of ITU-R Study Groups 4, 5 and ITU-T Study Groups 9, 17 as well as to IEC.</w:t>
      </w:r>
    </w:p>
  </w:footnote>
  <w:footnote w:id="2">
    <w:p w:rsidR="00330AA6" w:rsidRDefault="00330AA6" w:rsidP="00330AA6">
      <w:pPr>
        <w:pStyle w:val="FootnoteText"/>
        <w:tabs>
          <w:tab w:val="clear" w:pos="255"/>
          <w:tab w:val="left" w:pos="284"/>
        </w:tabs>
        <w:ind w:left="0" w:firstLine="0"/>
      </w:pPr>
      <w:r>
        <w:rPr>
          <w:rStyle w:val="FootnoteReference"/>
        </w:rPr>
        <w:footnoteRef/>
      </w:r>
      <w:r>
        <w:rPr>
          <w:lang w:val="en-US"/>
        </w:rPr>
        <w:tab/>
        <w:t>The definition of the term “roaming” for IMT-2000 is set in Recommendation ITU-R M.1224: t</w:t>
      </w:r>
      <w:r w:rsidRPr="00FC2720">
        <w:rPr>
          <w:lang w:val="en-US"/>
        </w:rPr>
        <w:t>he ability of a user to access wireless telecommunication services in areas other than the one(s) where the user is</w:t>
      </w:r>
      <w:r>
        <w:rPr>
          <w:lang w:val="en-US"/>
        </w:rPr>
        <w:t xml:space="preserve"> </w:t>
      </w:r>
      <w:r w:rsidRPr="00FC2720">
        <w:rPr>
          <w:lang w:val="en-US"/>
        </w:rPr>
        <w:t>subscribed</w:t>
      </w:r>
      <w:r>
        <w:t>.</w:t>
      </w:r>
    </w:p>
  </w:footnote>
  <w:footnote w:id="3">
    <w:p w:rsidR="00330AA6" w:rsidRDefault="00330AA6" w:rsidP="00330AA6">
      <w:pPr>
        <w:pStyle w:val="FootnoteText"/>
        <w:tabs>
          <w:tab w:val="clear" w:pos="255"/>
          <w:tab w:val="left" w:pos="284"/>
        </w:tabs>
        <w:ind w:left="0" w:firstLine="0"/>
      </w:pPr>
      <w:r>
        <w:rPr>
          <w:rStyle w:val="FootnoteReference"/>
        </w:rPr>
        <w:footnoteRef/>
      </w:r>
      <w:r>
        <w:rPr>
          <w:lang w:val="en-US"/>
        </w:rPr>
        <w:tab/>
        <w:t>The term “w</w:t>
      </w:r>
      <w:r w:rsidRPr="00985BBC">
        <w:rPr>
          <w:lang w:val="en-US"/>
        </w:rPr>
        <w:t xml:space="preserve">orldwide </w:t>
      </w:r>
      <w:r>
        <w:rPr>
          <w:lang w:val="en-US"/>
        </w:rPr>
        <w:t>b</w:t>
      </w:r>
      <w:r w:rsidRPr="00985BBC">
        <w:rPr>
          <w:lang w:val="en-US"/>
        </w:rPr>
        <w:t xml:space="preserve">roadcasting </w:t>
      </w:r>
      <w:r>
        <w:rPr>
          <w:lang w:val="en-US"/>
        </w:rPr>
        <w:t>r</w:t>
      </w:r>
      <w:r w:rsidRPr="00985BBC">
        <w:rPr>
          <w:lang w:val="en-US"/>
        </w:rPr>
        <w:t>oaming” is proposed for the reception</w:t>
      </w:r>
      <w:r>
        <w:rPr>
          <w:lang w:val="en-US"/>
        </w:rPr>
        <w:t>, by a single receiver,</w:t>
      </w:r>
      <w:r w:rsidRPr="00985BBC">
        <w:rPr>
          <w:lang w:val="en-US"/>
        </w:rPr>
        <w:t xml:space="preserve"> of TV, sound and multimedia broadcasting </w:t>
      </w:r>
      <w:r>
        <w:rPr>
          <w:rFonts w:hint="eastAsia"/>
          <w:lang w:val="en-US" w:eastAsia="ja-JP"/>
        </w:rPr>
        <w:t xml:space="preserve">being </w:t>
      </w:r>
      <w:r>
        <w:rPr>
          <w:lang w:val="en-US" w:eastAsia="ja-JP"/>
        </w:rPr>
        <w:t>provided</w:t>
      </w:r>
      <w:r>
        <w:rPr>
          <w:rFonts w:hint="eastAsia"/>
          <w:lang w:val="en-US" w:eastAsia="ja-JP"/>
        </w:rPr>
        <w:t xml:space="preserve"> in </w:t>
      </w:r>
      <w:r>
        <w:rPr>
          <w:lang w:val="en-US" w:eastAsia="ja-JP"/>
        </w:rPr>
        <w:t>different</w:t>
      </w:r>
      <w:r>
        <w:rPr>
          <w:rFonts w:hint="eastAsia"/>
          <w:lang w:val="en-US" w:eastAsia="ja-JP"/>
        </w:rPr>
        <w:t xml:space="preserve"> areas </w:t>
      </w:r>
      <w:r>
        <w:rPr>
          <w:lang w:val="en-US"/>
        </w:rPr>
        <w:t>of</w:t>
      </w:r>
      <w:r w:rsidRPr="00985BBC">
        <w:rPr>
          <w:lang w:val="en-US"/>
        </w:rPr>
        <w:t xml:space="preserve"> the world.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FC5" w:rsidRDefault="004A3F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5875979"/>
      <w:docPartObj>
        <w:docPartGallery w:val="Page Numbers (Top of Page)"/>
        <w:docPartUnique/>
      </w:docPartObj>
    </w:sdtPr>
    <w:sdtEndPr>
      <w:rPr>
        <w:noProof/>
      </w:rPr>
    </w:sdtEndPr>
    <w:sdtContent>
      <w:p w:rsidR="004A3FC5" w:rsidRDefault="004A3FC5">
        <w:pPr>
          <w:pStyle w:val="Header"/>
          <w:jc w:val="center"/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p>
      <w:bookmarkStart w:id="0" w:name="_GoBack" w:displacedByCustomXml="next"/>
      <w:bookmarkEnd w:id="0" w:displacedByCustomXml="next"/>
    </w:sdtContent>
  </w:sdt>
  <w:p w:rsidR="004A3FC5" w:rsidRDefault="004A3F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FC5" w:rsidRDefault="004A3F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A6"/>
    <w:rsid w:val="00330AA6"/>
    <w:rsid w:val="00494B3F"/>
    <w:rsid w:val="004A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AA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330AA6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330AA6"/>
    <w:rPr>
      <w:rFonts w:ascii="Times New Roman" w:eastAsia="Times New Roman" w:hAnsi="Times New Roman" w:cs="Times New Roman"/>
      <w:i/>
      <w:sz w:val="24"/>
      <w:szCs w:val="20"/>
      <w:lang w:val="en-GB" w:eastAsia="en-US"/>
    </w:rPr>
  </w:style>
  <w:style w:type="paragraph" w:customStyle="1" w:styleId="QuestionNoBR">
    <w:name w:val="Question_No_BR"/>
    <w:basedOn w:val="Normal"/>
    <w:next w:val="Questiontitle"/>
    <w:rsid w:val="00330AA6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330AA6"/>
    <w:pPr>
      <w:keepNext/>
      <w:keepLines/>
      <w:spacing w:before="360"/>
      <w:jc w:val="center"/>
    </w:pPr>
    <w:rPr>
      <w:b/>
      <w:sz w:val="28"/>
    </w:rPr>
  </w:style>
  <w:style w:type="paragraph" w:customStyle="1" w:styleId="Questiondate">
    <w:name w:val="Question_date"/>
    <w:basedOn w:val="Normal"/>
    <w:next w:val="Normal"/>
    <w:rsid w:val="00330A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character" w:styleId="FootnoteReference">
    <w:name w:val="footnote reference"/>
    <w:aliases w:val="Appel note de bas de p,Footnote symbol,Footnote Reference/,Style 12,(NECG) Footnote Reference,Style 124,o,fr,Style 13,FR,Style 17,Style 3,Appel note de bas de p + 11 pt,Italic,Footnote,Appel note de bas de p1,Appel note de bas de p2"/>
    <w:basedOn w:val="DefaultParagraphFont"/>
    <w:rsid w:val="00330AA6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330AA6"/>
    <w:pPr>
      <w:keepLines/>
      <w:tabs>
        <w:tab w:val="left" w:pos="255"/>
      </w:tabs>
      <w:spacing w:before="80"/>
      <w:ind w:left="255" w:hanging="255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330AA6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30AA6"/>
    <w:pPr>
      <w:overflowPunct/>
      <w:autoSpaceDE/>
      <w:autoSpaceDN/>
      <w:adjustRightInd/>
      <w:spacing w:before="320"/>
      <w:textAlignment w:val="auto"/>
    </w:pPr>
  </w:style>
  <w:style w:type="character" w:customStyle="1" w:styleId="NormalaftertitleChar">
    <w:name w:val="Normal after title Char"/>
    <w:basedOn w:val="DefaultParagraphFont"/>
    <w:link w:val="Normalaftertitle"/>
    <w:rsid w:val="00330AA6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QuestiontitleChar">
    <w:name w:val="Question_title Char"/>
    <w:link w:val="Questiontitle"/>
    <w:locked/>
    <w:rsid w:val="00330AA6"/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4A3FC5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A3FC5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A3FC5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A3FC5"/>
    <w:rPr>
      <w:rFonts w:ascii="Times New Roman" w:eastAsia="Times New Roman" w:hAnsi="Times New Roman" w:cs="Times New Roman"/>
      <w:sz w:val="24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AA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330AA6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330AA6"/>
    <w:rPr>
      <w:rFonts w:ascii="Times New Roman" w:eastAsia="Times New Roman" w:hAnsi="Times New Roman" w:cs="Times New Roman"/>
      <w:i/>
      <w:sz w:val="24"/>
      <w:szCs w:val="20"/>
      <w:lang w:val="en-GB" w:eastAsia="en-US"/>
    </w:rPr>
  </w:style>
  <w:style w:type="paragraph" w:customStyle="1" w:styleId="QuestionNoBR">
    <w:name w:val="Question_No_BR"/>
    <w:basedOn w:val="Normal"/>
    <w:next w:val="Questiontitle"/>
    <w:rsid w:val="00330AA6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330AA6"/>
    <w:pPr>
      <w:keepNext/>
      <w:keepLines/>
      <w:spacing w:before="360"/>
      <w:jc w:val="center"/>
    </w:pPr>
    <w:rPr>
      <w:b/>
      <w:sz w:val="28"/>
    </w:rPr>
  </w:style>
  <w:style w:type="paragraph" w:customStyle="1" w:styleId="Questiondate">
    <w:name w:val="Question_date"/>
    <w:basedOn w:val="Normal"/>
    <w:next w:val="Normal"/>
    <w:rsid w:val="00330A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character" w:styleId="FootnoteReference">
    <w:name w:val="footnote reference"/>
    <w:aliases w:val="Appel note de bas de p,Footnote symbol,Footnote Reference/,Style 12,(NECG) Footnote Reference,Style 124,o,fr,Style 13,FR,Style 17,Style 3,Appel note de bas de p + 11 pt,Italic,Footnote,Appel note de bas de p1,Appel note de bas de p2"/>
    <w:basedOn w:val="DefaultParagraphFont"/>
    <w:rsid w:val="00330AA6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330AA6"/>
    <w:pPr>
      <w:keepLines/>
      <w:tabs>
        <w:tab w:val="left" w:pos="255"/>
      </w:tabs>
      <w:spacing w:before="80"/>
      <w:ind w:left="255" w:hanging="255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330AA6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30AA6"/>
    <w:pPr>
      <w:overflowPunct/>
      <w:autoSpaceDE/>
      <w:autoSpaceDN/>
      <w:adjustRightInd/>
      <w:spacing w:before="320"/>
      <w:textAlignment w:val="auto"/>
    </w:pPr>
  </w:style>
  <w:style w:type="character" w:customStyle="1" w:styleId="NormalaftertitleChar">
    <w:name w:val="Normal after title Char"/>
    <w:basedOn w:val="DefaultParagraphFont"/>
    <w:link w:val="Normalaftertitle"/>
    <w:rsid w:val="00330AA6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QuestiontitleChar">
    <w:name w:val="Question_title Char"/>
    <w:link w:val="Questiontitle"/>
    <w:locked/>
    <w:rsid w:val="00330AA6"/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4A3FC5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A3FC5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A3FC5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A3FC5"/>
    <w:rPr>
      <w:rFonts w:ascii="Times New Roman" w:eastAsia="Times New Roman" w:hAnsi="Times New Roman" w:cs="Times New Roman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bossona</cp:lastModifiedBy>
  <cp:revision>2</cp:revision>
  <dcterms:created xsi:type="dcterms:W3CDTF">2013-04-10T11:37:00Z</dcterms:created>
  <dcterms:modified xsi:type="dcterms:W3CDTF">2013-04-10T12:20:00Z</dcterms:modified>
</cp:coreProperties>
</file>