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D511" w14:textId="47654C20" w:rsidR="00973E38" w:rsidRDefault="00973E38" w:rsidP="00973E38">
      <w:pPr>
        <w:pStyle w:val="QuestionNo"/>
        <w:rPr>
          <w:rtl/>
          <w:lang w:bidi="ar-SA"/>
        </w:rPr>
      </w:pPr>
      <w:r>
        <w:rPr>
          <w:rFonts w:hint="cs"/>
          <w:rtl/>
        </w:rPr>
        <w:t xml:space="preserve">المسألة </w:t>
      </w:r>
      <w:r w:rsidR="00D26262" w:rsidRPr="005721D0">
        <w:rPr>
          <w:lang w:val="fr-CH"/>
        </w:rPr>
        <w:t xml:space="preserve">ITU-R </w:t>
      </w:r>
      <w:r w:rsidR="00D26262">
        <w:rPr>
          <w:lang w:val="fr-CH"/>
        </w:rPr>
        <w:t>145</w:t>
      </w:r>
      <w:r w:rsidR="00D26262" w:rsidRPr="005721D0">
        <w:rPr>
          <w:lang w:val="fr-CH"/>
        </w:rPr>
        <w:t>/6</w:t>
      </w:r>
      <w:r w:rsidR="00D26262">
        <w:rPr>
          <w:rFonts w:hint="cs"/>
          <w:rtl/>
        </w:rPr>
        <w:t xml:space="preserve"> </w:t>
      </w:r>
      <w:r w:rsidR="003926E7">
        <w:rPr>
          <w:rStyle w:val="FootnoteReference"/>
          <w:lang w:val="fr-CH"/>
        </w:rPr>
        <w:footnoteReference w:id="1"/>
      </w:r>
      <w:r w:rsidR="003926E7">
        <w:rPr>
          <w:rStyle w:val="FootnoteReference"/>
          <w:rFonts w:hint="cs"/>
          <w:rtl/>
          <w:lang w:bidi="ar-SA"/>
        </w:rPr>
        <w:t xml:space="preserve"> </w:t>
      </w:r>
      <w:r w:rsidR="00D26262">
        <w:rPr>
          <w:rFonts w:hint="cs"/>
          <w:lang w:bidi="ar-SA"/>
        </w:rPr>
        <w:t xml:space="preserve"> </w:t>
      </w:r>
      <w:r w:rsidR="003926E7">
        <w:rPr>
          <w:rStyle w:val="FootnoteReference"/>
          <w:rtl/>
          <w:lang w:bidi="ar-SA"/>
        </w:rPr>
        <w:footnoteReference w:id="2"/>
      </w:r>
      <w:r w:rsidR="00D26262">
        <w:rPr>
          <w:rFonts w:hint="cs"/>
          <w:lang w:bidi="ar-SA"/>
        </w:rPr>
        <w:t xml:space="preserve"> </w:t>
      </w:r>
    </w:p>
    <w:p w14:paraId="6BEBE043" w14:textId="77777777" w:rsidR="00973E38" w:rsidRDefault="00973E38" w:rsidP="00973E38">
      <w:pPr>
        <w:pStyle w:val="Questiontitle"/>
        <w:rPr>
          <w:lang w:bidi="ar-SA"/>
        </w:rPr>
      </w:pPr>
      <w:r>
        <w:rPr>
          <w:rFonts w:hint="cs"/>
          <w:rtl/>
        </w:rPr>
        <w:t>أنظمة لتمكين النفاذ إلى</w:t>
      </w:r>
      <w:r>
        <w:rPr>
          <w:rFonts w:hint="cs"/>
          <w:rtl/>
          <w:lang w:bidi="ar-SA"/>
        </w:rPr>
        <w:t xml:space="preserve"> وسائل البث الإذاعي والتعاوني لفائدة الأشخاص ذوي الإعاقة</w:t>
      </w:r>
    </w:p>
    <w:p w14:paraId="53076A8B" w14:textId="77777777" w:rsidR="00973E38" w:rsidRPr="00A8632C" w:rsidRDefault="00973E38" w:rsidP="00973E38">
      <w:pPr>
        <w:pStyle w:val="Normalaftertitle"/>
        <w:jc w:val="right"/>
        <w:rPr>
          <w:lang w:val="en-GB"/>
        </w:rPr>
      </w:pPr>
      <w:r>
        <w:rPr>
          <w:rFonts w:hint="eastAsia"/>
          <w:rtl/>
          <w:lang w:bidi="ar-EG"/>
        </w:rPr>
        <w:t> </w:t>
      </w:r>
      <w:r>
        <w:rPr>
          <w:lang w:val="en-GB"/>
        </w:rPr>
        <w:t>(2019)</w:t>
      </w:r>
    </w:p>
    <w:p w14:paraId="5E8F283E" w14:textId="77777777" w:rsidR="00973E38" w:rsidRDefault="00973E38" w:rsidP="00973E38">
      <w:pPr>
        <w:pStyle w:val="Normalaftertitle"/>
        <w:rPr>
          <w:rtl/>
          <w:lang w:bidi="ar-EG"/>
        </w:rPr>
      </w:pPr>
      <w:r w:rsidRPr="005721D0">
        <w:rPr>
          <w:rtl/>
        </w:rPr>
        <w:t>إن جمعية الاتصالات الراديوية للاتحاد الدولي للاتصالات،</w:t>
      </w:r>
    </w:p>
    <w:p w14:paraId="3507B2E2" w14:textId="77777777" w:rsidR="00973E38" w:rsidRDefault="00973E38" w:rsidP="00973E38">
      <w:pPr>
        <w:pStyle w:val="Call"/>
        <w:rPr>
          <w:rtl/>
          <w:lang w:bidi="ar-EG"/>
        </w:rPr>
      </w:pPr>
      <w:r w:rsidRPr="005721D0">
        <w:rPr>
          <w:rtl/>
        </w:rPr>
        <w:t>إذ تضع في اعتبارها</w:t>
      </w:r>
    </w:p>
    <w:p w14:paraId="03665236" w14:textId="77777777" w:rsidR="00973E38" w:rsidRPr="005B6AF2" w:rsidRDefault="00973E38" w:rsidP="00973E38">
      <w:pPr>
        <w:rPr>
          <w:rtl/>
        </w:rPr>
      </w:pPr>
      <w:r w:rsidRPr="005B6AF2">
        <w:rPr>
          <w:rFonts w:hint="cs"/>
          <w:i/>
          <w:iCs/>
          <w:rtl/>
        </w:rPr>
        <w:t xml:space="preserve"> </w:t>
      </w:r>
      <w:proofErr w:type="gramStart"/>
      <w:r w:rsidRPr="005B6AF2">
        <w:rPr>
          <w:rFonts w:hint="cs"/>
          <w:i/>
          <w:iCs/>
          <w:rtl/>
        </w:rPr>
        <w:t>أ )</w:t>
      </w:r>
      <w:proofErr w:type="gramEnd"/>
      <w:r w:rsidRPr="005B6AF2">
        <w:rPr>
          <w:rFonts w:hint="cs"/>
          <w:rtl/>
        </w:rPr>
        <w:tab/>
        <w:t xml:space="preserve">أن </w:t>
      </w:r>
      <w:r w:rsidRPr="005B6AF2">
        <w:rPr>
          <w:rtl/>
        </w:rPr>
        <w:t xml:space="preserve">اتفاقية الأمم المتحدة لحقوق الأشخاص ذوي الإعاقة </w:t>
      </w:r>
      <w:r w:rsidRPr="005B6AF2">
        <w:t>(UNCRPD)</w:t>
      </w:r>
      <w:r w:rsidRPr="005B6AF2">
        <w:rPr>
          <w:rFonts w:hint="cs"/>
          <w:rtl/>
        </w:rPr>
        <w:t xml:space="preserve"> تهيب بجميع الدول الموقعة أن تسعى إلى توفير خدمات تسمح للأشخاص ذوي الإعاقة بالنفاذ إلى وسائل إعلامية تضاهي تلك المتاحة للأشخاص غير المعوقين؛</w:t>
      </w:r>
    </w:p>
    <w:p w14:paraId="076C8763" w14:textId="77777777" w:rsidR="00973E38" w:rsidRDefault="00973E38" w:rsidP="00973E38">
      <w:pPr>
        <w:rPr>
          <w:rtl/>
        </w:rPr>
      </w:pPr>
      <w:r>
        <w:rPr>
          <w:rFonts w:ascii="Traditional Arabic" w:hAnsi="Traditional Arabic"/>
          <w:i/>
          <w:iCs/>
          <w:rtl/>
          <w:lang w:bidi="ar-EG"/>
        </w:rPr>
        <w:t>ﺏ</w:t>
      </w:r>
      <w:r w:rsidRPr="005721D0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F25A0B">
        <w:rPr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F25A0B">
        <w:rPr>
          <w:rtl/>
          <w:lang w:bidi="ar-EG"/>
        </w:rPr>
        <w:t xml:space="preserve">تدابير </w:t>
      </w:r>
      <w:r>
        <w:rPr>
          <w:rFonts w:hint="cs"/>
          <w:rtl/>
          <w:lang w:bidi="ar-EG"/>
        </w:rPr>
        <w:t>من قبيل</w:t>
      </w:r>
      <w:r w:rsidRPr="00F25A0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العرض النصي</w:t>
      </w:r>
      <w:r w:rsidRPr="00F25A0B">
        <w:rPr>
          <w:rtl/>
          <w:lang w:bidi="ar-EG"/>
        </w:rPr>
        <w:t>/</w:t>
      </w:r>
      <w:r>
        <w:rPr>
          <w:rFonts w:hint="cs"/>
          <w:rtl/>
          <w:lang w:bidi="ar-EG"/>
        </w:rPr>
        <w:t>العرض النصي المغلق،</w:t>
      </w:r>
      <w:r w:rsidRPr="00F25A0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</w:t>
      </w:r>
      <w:r w:rsidRPr="00F25A0B">
        <w:rPr>
          <w:rtl/>
          <w:lang w:bidi="ar-EG"/>
        </w:rPr>
        <w:t xml:space="preserve">أوصاف </w:t>
      </w:r>
      <w:r>
        <w:rPr>
          <w:rFonts w:hint="cs"/>
          <w:rtl/>
          <w:lang w:bidi="ar-EG"/>
        </w:rPr>
        <w:t>السمعية/</w:t>
      </w:r>
      <w:proofErr w:type="spellStart"/>
      <w:r>
        <w:rPr>
          <w:rFonts w:hint="cs"/>
          <w:rtl/>
          <w:lang w:bidi="ar-EG"/>
        </w:rPr>
        <w:t>الفيديوية</w:t>
      </w:r>
      <w:proofErr w:type="spellEnd"/>
      <w:r w:rsidRPr="00F25A0B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ولغة</w:t>
      </w:r>
      <w:r w:rsidRPr="00F25A0B">
        <w:rPr>
          <w:rtl/>
          <w:lang w:bidi="ar-EG"/>
        </w:rPr>
        <w:t xml:space="preserve"> </w:t>
      </w:r>
      <w:r>
        <w:rPr>
          <w:color w:val="000000"/>
          <w:rtl/>
        </w:rPr>
        <w:t>الإشارات المغلقة</w:t>
      </w:r>
      <w:r>
        <w:rPr>
          <w:rFonts w:hint="cs"/>
          <w:color w:val="000000"/>
          <w:rtl/>
        </w:rPr>
        <w:t>/ا</w:t>
      </w:r>
      <w:r>
        <w:rPr>
          <w:color w:val="000000"/>
          <w:rtl/>
        </w:rPr>
        <w:t>لمفتوحة</w:t>
      </w:r>
      <w:r>
        <w:rPr>
          <w:rFonts w:hint="cs"/>
          <w:color w:val="000000"/>
          <w:rtl/>
        </w:rPr>
        <w:t xml:space="preserve"> </w:t>
      </w:r>
      <w:r w:rsidRPr="00F25A0B">
        <w:rPr>
          <w:rtl/>
          <w:lang w:bidi="ar-EG"/>
        </w:rPr>
        <w:t>وغيرها من الخدمات</w:t>
      </w:r>
      <w:r>
        <w:rPr>
          <w:rFonts w:hint="cs"/>
          <w:rtl/>
          <w:lang w:bidi="ar-EG"/>
        </w:rPr>
        <w:t>، يمكن أن تؤدي إلى زيادة نفاذ</w:t>
      </w:r>
      <w:r w:rsidRPr="00F25A0B">
        <w:rPr>
          <w:rtl/>
          <w:lang w:bidi="ar-EG"/>
        </w:rPr>
        <w:t xml:space="preserve"> نسبة كبيرة من الجمهور، </w:t>
      </w:r>
      <w:r>
        <w:rPr>
          <w:rFonts w:hint="cs"/>
          <w:rtl/>
          <w:lang w:bidi="ar-EG"/>
        </w:rPr>
        <w:t>بمن فيهم</w:t>
      </w:r>
      <w:r w:rsidRPr="00F25A0B">
        <w:rPr>
          <w:rtl/>
          <w:lang w:bidi="ar-EG"/>
        </w:rPr>
        <w:t xml:space="preserve"> المسنون، </w:t>
      </w:r>
      <w:r>
        <w:rPr>
          <w:rFonts w:hint="cs"/>
          <w:rtl/>
          <w:lang w:bidi="ar-EG"/>
        </w:rPr>
        <w:t>الذين يعانون من إعاقة سمعية أو بصرية</w:t>
      </w:r>
      <w:r w:rsidRPr="00F25A0B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إلى وسائل البث الإذاعي واستخدامها؛</w:t>
      </w:r>
    </w:p>
    <w:p w14:paraId="6992830E" w14:textId="77777777" w:rsidR="00973E38" w:rsidRDefault="00973E38" w:rsidP="00973E38">
      <w:pPr>
        <w:rPr>
          <w:rtl/>
          <w:lang w:bidi="ar-EG"/>
        </w:rPr>
      </w:pPr>
      <w:r>
        <w:rPr>
          <w:rFonts w:ascii="Traditional Arabic" w:hAnsi="Traditional Arabic"/>
          <w:i/>
          <w:iCs/>
          <w:rtl/>
          <w:lang w:bidi="ar-EG"/>
        </w:rPr>
        <w:t>ﺝ</w:t>
      </w:r>
      <w:r w:rsidRPr="005721D0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هناك مجموعة من تكنولوجيات البث التكميلية التي يمكن أن "تتعاون" مع وسائل البث الإذاعي مثل الإنترنت وتلفزيون بروتوكول الإنترنت و</w:t>
      </w:r>
      <w:r>
        <w:rPr>
          <w:color w:val="000000"/>
          <w:rtl/>
        </w:rPr>
        <w:t xml:space="preserve">النطاق العريض للإذاعة المتكاملة </w:t>
      </w:r>
      <w:r>
        <w:rPr>
          <w:color w:val="000000"/>
        </w:rPr>
        <w:t>(IBB)</w:t>
      </w:r>
      <w:r>
        <w:rPr>
          <w:rFonts w:hint="cs"/>
          <w:rtl/>
          <w:lang w:bidi="ar-EG"/>
        </w:rPr>
        <w:t xml:space="preserve"> وغير ذلك، والتي يمكن استخدامها لتقديم خدمات النفاذ أو المساعدة في تقديمها؛</w:t>
      </w:r>
    </w:p>
    <w:p w14:paraId="34BAA2BA" w14:textId="77777777" w:rsidR="00973E38" w:rsidRDefault="00973E38" w:rsidP="00973E38">
      <w:pPr>
        <w:rPr>
          <w:rtl/>
          <w:lang w:bidi="ar-EG"/>
        </w:rPr>
      </w:pPr>
      <w:proofErr w:type="gramStart"/>
      <w:r>
        <w:rPr>
          <w:rFonts w:ascii="Traditional Arabic" w:hAnsi="Traditional Arabic"/>
          <w:i/>
          <w:iCs/>
          <w:rtl/>
          <w:lang w:bidi="ar-EG"/>
        </w:rPr>
        <w:t>ﺩ</w:t>
      </w:r>
      <w:r>
        <w:rPr>
          <w:rFonts w:hint="eastAsia"/>
          <w:i/>
          <w:iCs/>
          <w:rtl/>
          <w:lang w:bidi="ar-EG"/>
        </w:rPr>
        <w:t> </w:t>
      </w:r>
      <w:r w:rsidRPr="005721D0">
        <w:rPr>
          <w:rFonts w:hint="cs"/>
          <w:i/>
          <w:iCs/>
          <w:rtl/>
          <w:lang w:bidi="ar-EG"/>
        </w:rPr>
        <w:t>)</w:t>
      </w:r>
      <w:proofErr w:type="gramEnd"/>
      <w:r>
        <w:rPr>
          <w:rFonts w:hint="cs"/>
          <w:rtl/>
          <w:lang w:bidi="ar-EG"/>
        </w:rPr>
        <w:tab/>
        <w:t>أنه إذا كانت هناك أنظمة تقنية مقبولة عموماً لتقديم مثل هذه الخدمات، فإنها ستشجع التوسع في استعمال هذه الخدمات وتخفض تكاليف توفيرها؛</w:t>
      </w:r>
    </w:p>
    <w:p w14:paraId="77018FF6" w14:textId="77777777" w:rsidR="00973E38" w:rsidRDefault="00973E38" w:rsidP="00973E38">
      <w:pPr>
        <w:rPr>
          <w:rtl/>
          <w:lang w:bidi="ar-EG"/>
        </w:rPr>
      </w:pPr>
      <w:proofErr w:type="gramStart"/>
      <w:r>
        <w:rPr>
          <w:rFonts w:ascii="Traditional Arabic" w:hAnsi="Traditional Arabic"/>
          <w:i/>
          <w:iCs/>
          <w:rtl/>
          <w:lang w:bidi="ar-EG"/>
        </w:rPr>
        <w:t>ﻫ</w:t>
      </w:r>
      <w:r>
        <w:rPr>
          <w:rFonts w:hint="eastAsia"/>
          <w:i/>
          <w:iCs/>
          <w:rtl/>
          <w:lang w:bidi="ar-EG"/>
        </w:rPr>
        <w:t> </w:t>
      </w:r>
      <w:r w:rsidRPr="005721D0">
        <w:rPr>
          <w:rFonts w:hint="cs"/>
          <w:i/>
          <w:iCs/>
          <w:rtl/>
          <w:lang w:bidi="ar-EG"/>
        </w:rPr>
        <w:t>)</w:t>
      </w:r>
      <w:proofErr w:type="gramEnd"/>
      <w:r>
        <w:rPr>
          <w:rFonts w:hint="cs"/>
          <w:rtl/>
          <w:lang w:bidi="ar-EG"/>
        </w:rPr>
        <w:tab/>
        <w:t xml:space="preserve">أن الحوار مع قطاعي تقييس الاتصالات وتنمية الاتصالات، بتيسير من </w:t>
      </w:r>
      <w:r>
        <w:rPr>
          <w:color w:val="000000"/>
          <w:rtl/>
        </w:rPr>
        <w:t xml:space="preserve">فريق المقرر المشترك بين قطاع الاتصالات الراديوية وقطاع تقييس الاتصالات والمعني بإمكانية النفاذ إلى الوسائط السمعية </w:t>
      </w:r>
      <w:r>
        <w:rPr>
          <w:rFonts w:hint="cs"/>
          <w:color w:val="000000"/>
          <w:rtl/>
        </w:rPr>
        <w:t xml:space="preserve">المرئية </w:t>
      </w:r>
      <w:r>
        <w:rPr>
          <w:color w:val="000000"/>
        </w:rPr>
        <w:t>(IRG-AVA)</w:t>
      </w:r>
      <w:r>
        <w:rPr>
          <w:rFonts w:hint="cs"/>
          <w:color w:val="000000"/>
          <w:rtl/>
        </w:rPr>
        <w:t>، ومع هيئات أخرى معنية بوضع المعايير تقوم بدراسة وتطوير أنظمة للمساعدة في النفاذ إلى وسائل الإعلام</w:t>
      </w:r>
      <w:r>
        <w:rPr>
          <w:color w:val="000000"/>
          <w:rtl/>
        </w:rPr>
        <w:t>،</w:t>
      </w:r>
      <w:r>
        <w:rPr>
          <w:rFonts w:hint="cs"/>
          <w:rtl/>
          <w:lang w:bidi="ar-EG"/>
        </w:rPr>
        <w:t xml:space="preserve"> يمكن أن يشجع على وضع معايير مشتركة عبر منصات البث لفائدة الأشخاص ذوي الإعاقة؛</w:t>
      </w:r>
    </w:p>
    <w:p w14:paraId="11FCBAC5" w14:textId="77777777" w:rsidR="00973E38" w:rsidRPr="00A63221" w:rsidRDefault="00973E38" w:rsidP="00973E38">
      <w:pPr>
        <w:rPr>
          <w:rtl/>
          <w:lang w:val="en-GB" w:bidi="ar-EG"/>
        </w:rPr>
      </w:pPr>
      <w:proofErr w:type="gramStart"/>
      <w:r>
        <w:rPr>
          <w:rFonts w:ascii="Traditional Arabic" w:hAnsi="Traditional Arabic"/>
          <w:i/>
          <w:iCs/>
          <w:rtl/>
          <w:lang w:bidi="ar-EG"/>
        </w:rPr>
        <w:t>ﻭ</w:t>
      </w:r>
      <w:r>
        <w:rPr>
          <w:rFonts w:hint="eastAsia"/>
          <w:i/>
          <w:iCs/>
          <w:rtl/>
          <w:lang w:bidi="ar-EG"/>
        </w:rPr>
        <w:t> </w:t>
      </w:r>
      <w:r w:rsidRPr="005721D0">
        <w:rPr>
          <w:rFonts w:hint="cs"/>
          <w:i/>
          <w:iCs/>
          <w:rtl/>
          <w:lang w:bidi="ar-EG"/>
        </w:rPr>
        <w:t>)</w:t>
      </w:r>
      <w:proofErr w:type="gramEnd"/>
      <w:r>
        <w:rPr>
          <w:rFonts w:hint="cs"/>
          <w:rtl/>
          <w:lang w:bidi="ar-EG"/>
        </w:rPr>
        <w:tab/>
        <w:t>أن تصميم واستخدام أنظمة نفاذ كهذه، يجب أن يشمل</w:t>
      </w:r>
      <w:r w:rsidRPr="00A63221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ير</w:t>
      </w:r>
      <w:r w:rsidRPr="00A63221">
        <w:rPr>
          <w:rtl/>
          <w:lang w:bidi="ar-EG"/>
        </w:rPr>
        <w:t xml:space="preserve">اعي على النحو الواجب دائماً آراء وخبرات </w:t>
      </w:r>
      <w:r>
        <w:rPr>
          <w:rFonts w:hint="cs"/>
          <w:rtl/>
          <w:lang w:bidi="ar-EG"/>
        </w:rPr>
        <w:t>الأشخاص ذوي الإعاقة</w:t>
      </w:r>
      <w:r w:rsidRPr="00A63221">
        <w:rPr>
          <w:rtl/>
          <w:lang w:bidi="ar-EG"/>
        </w:rPr>
        <w:t xml:space="preserve"> والهيئات </w:t>
      </w:r>
      <w:r>
        <w:rPr>
          <w:rFonts w:hint="cs"/>
          <w:rtl/>
          <w:lang w:bidi="ar-EG"/>
        </w:rPr>
        <w:t>المعنية</w:t>
      </w:r>
      <w:r w:rsidRPr="00A63221">
        <w:rPr>
          <w:rtl/>
          <w:lang w:bidi="ar-EG"/>
        </w:rPr>
        <w:t xml:space="preserve"> </w:t>
      </w:r>
      <w:r>
        <w:rPr>
          <w:rFonts w:hint="cs"/>
          <w:rtl/>
        </w:rPr>
        <w:t>بهم</w:t>
      </w:r>
      <w:r>
        <w:rPr>
          <w:rFonts w:hint="cs"/>
          <w:rtl/>
          <w:lang w:bidi="ar-EG"/>
        </w:rPr>
        <w:t>،</w:t>
      </w:r>
    </w:p>
    <w:p w14:paraId="2795C859" w14:textId="77777777" w:rsidR="00973E38" w:rsidRDefault="00973E38" w:rsidP="00973E38">
      <w:pPr>
        <w:pStyle w:val="Call"/>
      </w:pPr>
      <w:r>
        <w:rPr>
          <w:rFonts w:hint="cs"/>
          <w:rtl/>
        </w:rPr>
        <w:t xml:space="preserve">تقرر </w:t>
      </w:r>
      <w:r w:rsidRPr="002247E1">
        <w:rPr>
          <w:i w:val="0"/>
          <w:iCs w:val="0"/>
          <w:color w:val="000000"/>
          <w:rtl/>
        </w:rPr>
        <w:t>أن تخضع المسائل التالية للدراسة</w:t>
      </w:r>
    </w:p>
    <w:p w14:paraId="3833BB53" w14:textId="77777777" w:rsidR="00973E38" w:rsidRDefault="00973E38" w:rsidP="00973E38">
      <w:pPr>
        <w:rPr>
          <w:rtl/>
          <w:lang w:bidi="ar-EG"/>
        </w:rPr>
      </w:pPr>
      <w:r>
        <w:t>1</w:t>
      </w:r>
      <w:r>
        <w:tab/>
      </w:r>
      <w:r>
        <w:rPr>
          <w:rFonts w:hint="cs"/>
          <w:rtl/>
          <w:lang w:bidi="ar-EG"/>
        </w:rPr>
        <w:t>ما هي الأنظمة التي يمكن استخدامها لتقديم العرض النصي/العرض النصي المغلق والأنظمة اللازمة لتحويل الصوت إلى نص والملائمة لتقديم وسائل البث الإذاعي والخدمات ذات الصلة؟</w:t>
      </w:r>
    </w:p>
    <w:p w14:paraId="33A63373" w14:textId="77777777" w:rsidR="00973E38" w:rsidRDefault="00973E38" w:rsidP="00973E38">
      <w:r w:rsidRPr="00A30E1B">
        <w:t>2</w:t>
      </w:r>
      <w:r>
        <w:tab/>
      </w:r>
      <w:r>
        <w:rPr>
          <w:rFonts w:hint="cs"/>
          <w:rtl/>
          <w:lang w:bidi="ar-EG"/>
        </w:rPr>
        <w:t>ما هي الأنظمة التي يمكن استخدامها لتقديم لغة الإشارة/لغة الإشارة المغلقة التي تكون مناسبة لتقديم وسائل البث الإذاعي والخدمات ذات الصلة؟</w:t>
      </w:r>
    </w:p>
    <w:p w14:paraId="0A108385" w14:textId="77777777" w:rsidR="00973E38" w:rsidRDefault="00973E38" w:rsidP="00973E38">
      <w:pPr>
        <w:rPr>
          <w:lang w:bidi="ar-EG"/>
        </w:rPr>
      </w:pPr>
      <w:r>
        <w:lastRenderedPageBreak/>
        <w:t>3</w:t>
      </w:r>
      <w:r>
        <w:tab/>
      </w:r>
      <w:r>
        <w:rPr>
          <w:rFonts w:hint="cs"/>
          <w:rtl/>
          <w:lang w:bidi="ar-EG"/>
        </w:rPr>
        <w:t>ما هي الأنظمة التي يمكن استخدامها لتقديم وصف سمعي/</w:t>
      </w:r>
      <w:proofErr w:type="spellStart"/>
      <w:r>
        <w:rPr>
          <w:rFonts w:hint="cs"/>
          <w:rtl/>
          <w:lang w:bidi="ar-EG"/>
        </w:rPr>
        <w:t>فيديوي</w:t>
      </w:r>
      <w:proofErr w:type="spellEnd"/>
      <w:r>
        <w:rPr>
          <w:rFonts w:hint="cs"/>
          <w:rtl/>
          <w:lang w:bidi="ar-EG"/>
        </w:rPr>
        <w:t xml:space="preserve"> للمحتوى </w:t>
      </w:r>
      <w:proofErr w:type="spellStart"/>
      <w:r>
        <w:rPr>
          <w:rFonts w:hint="cs"/>
          <w:rtl/>
          <w:lang w:bidi="ar-EG"/>
        </w:rPr>
        <w:t>الفيديوي</w:t>
      </w:r>
      <w:proofErr w:type="spellEnd"/>
      <w:r>
        <w:rPr>
          <w:rFonts w:hint="cs"/>
          <w:rtl/>
          <w:lang w:bidi="ar-EG"/>
        </w:rPr>
        <w:t xml:space="preserve"> يكون مناسباً لتقديم وسائل البث الإذاعي والخدمات ذات الصلة؟</w:t>
      </w:r>
    </w:p>
    <w:p w14:paraId="36923665" w14:textId="77777777" w:rsidR="00973E38" w:rsidRDefault="00973E38" w:rsidP="00973E38">
      <w:pPr>
        <w:rPr>
          <w:rtl/>
        </w:rPr>
      </w:pPr>
      <w:r>
        <w:t>4</w:t>
      </w:r>
      <w:r>
        <w:tab/>
      </w:r>
      <w:r>
        <w:rPr>
          <w:rFonts w:hint="cs"/>
          <w:rtl/>
          <w:lang w:bidi="ar-EG"/>
        </w:rPr>
        <w:t>ما هي الأنظمة التي يمكن استخدامها لتقديم "إشارات سمعية نظيفة" (</w:t>
      </w:r>
      <w:r>
        <w:rPr>
          <w:rFonts w:hint="cs"/>
          <w:rtl/>
        </w:rPr>
        <w:t xml:space="preserve">وظيفة تسمح بتحسين وضوح الصوت الأساسي) من أجل البث الصوتي لوسائل </w:t>
      </w:r>
      <w:r>
        <w:rPr>
          <w:rFonts w:hint="cs"/>
          <w:rtl/>
          <w:lang w:bidi="ar-EG"/>
        </w:rPr>
        <w:t xml:space="preserve">البث الإذاعي </w:t>
      </w:r>
      <w:r>
        <w:rPr>
          <w:rFonts w:hint="cs"/>
          <w:rtl/>
        </w:rPr>
        <w:t>والخدمات ذات الصلة؟</w:t>
      </w:r>
    </w:p>
    <w:p w14:paraId="223D998F" w14:textId="77777777" w:rsidR="00973E38" w:rsidRDefault="00973E38" w:rsidP="00973E38">
      <w:pPr>
        <w:rPr>
          <w:rtl/>
          <w:lang w:bidi="ar-EG"/>
        </w:rPr>
      </w:pPr>
      <w:r>
        <w:t>5</w:t>
      </w:r>
      <w:r>
        <w:tab/>
      </w:r>
      <w:r>
        <w:rPr>
          <w:rFonts w:hint="cs"/>
          <w:rtl/>
          <w:lang w:bidi="ar-EG"/>
        </w:rPr>
        <w:t xml:space="preserve">ما هي الأنظمة التي يمكن استخدامها لتقديم المعلومات </w:t>
      </w:r>
      <w:r>
        <w:rPr>
          <w:rFonts w:hint="cs"/>
          <w:rtl/>
        </w:rPr>
        <w:t>اللمسية</w:t>
      </w:r>
      <w:r>
        <w:rPr>
          <w:rFonts w:hint="cs"/>
          <w:rtl/>
          <w:lang w:bidi="ar-EG"/>
        </w:rPr>
        <w:t xml:space="preserve"> الملائمة لتقديم وسائل البث الإذاعي والخدمات ذات الصلة؟</w:t>
      </w:r>
    </w:p>
    <w:p w14:paraId="3038C6C3" w14:textId="77777777" w:rsidR="00973E38" w:rsidRDefault="00973E38" w:rsidP="00973E38">
      <w:r>
        <w:t>6</w:t>
      </w:r>
      <w:r>
        <w:tab/>
      </w:r>
      <w:r>
        <w:rPr>
          <w:rFonts w:hint="cs"/>
          <w:rtl/>
          <w:lang w:bidi="ar-EG"/>
        </w:rPr>
        <w:t>كيف يمكن لاستخدام أنظمة ذكية وتكنولوجيات ذات صلة أن يساعد في تطوير وتطبيق أنظمة وخدمات النفاذ؟</w:t>
      </w:r>
    </w:p>
    <w:p w14:paraId="0D2DE914" w14:textId="77777777" w:rsidR="00973E38" w:rsidRDefault="00973E38" w:rsidP="00973E38">
      <w:pPr>
        <w:rPr>
          <w:rtl/>
          <w:lang w:bidi="ar-EG"/>
        </w:rPr>
      </w:pPr>
      <w:r>
        <w:t>7</w:t>
      </w:r>
      <w:r>
        <w:tab/>
      </w:r>
      <w:r>
        <w:rPr>
          <w:rFonts w:hint="cs"/>
          <w:rtl/>
          <w:lang w:bidi="ar-EG"/>
        </w:rPr>
        <w:t>ما هي التكنولوجيات التي يمكن استخدامها لتعزيز فهم محتوى وسائل البث الإذاعي للأشخاص ذوي القدرات المختلفة؟</w:t>
      </w:r>
    </w:p>
    <w:p w14:paraId="35536D9F" w14:textId="77777777" w:rsidR="00973E38" w:rsidRDefault="00973E38" w:rsidP="00973E38">
      <w:pPr>
        <w:rPr>
          <w:rtl/>
          <w:lang w:bidi="ar-EG"/>
        </w:rPr>
      </w:pPr>
      <w:r>
        <w:t>8</w:t>
      </w:r>
      <w:r>
        <w:tab/>
      </w:r>
      <w:r>
        <w:rPr>
          <w:rFonts w:hint="cs"/>
          <w:rtl/>
          <w:lang w:bidi="ar-EG"/>
        </w:rPr>
        <w:t>ما هي الطرق المفضلة التي يمكن أن تسمح لشخص من ذوي القدرات المختلفة (ضعف بصري، أو سمعي أو حركي) بالمشاركة في محتوى برنامج تفاعلي؟</w:t>
      </w:r>
    </w:p>
    <w:p w14:paraId="5CA13FEE" w14:textId="77777777" w:rsidR="00973E38" w:rsidRDefault="00973E38" w:rsidP="00973E38">
      <w:pPr>
        <w:pStyle w:val="Call"/>
      </w:pPr>
      <w:r w:rsidRPr="003D6B5E">
        <w:rPr>
          <w:rtl/>
        </w:rPr>
        <w:t>تقرر كذلك</w:t>
      </w:r>
    </w:p>
    <w:p w14:paraId="311E7F21" w14:textId="77777777" w:rsidR="00973E38" w:rsidRDefault="00973E38" w:rsidP="00973E38">
      <w:r>
        <w:t>1</w:t>
      </w:r>
      <w:r>
        <w:tab/>
      </w:r>
      <w:r>
        <w:rPr>
          <w:color w:val="000000"/>
          <w:rtl/>
        </w:rPr>
        <w:t xml:space="preserve">إدراج نتائج الدراسات المذكورة أعلاه في توصية أو أكثر أو في تقرير أو </w:t>
      </w:r>
      <w:proofErr w:type="gramStart"/>
      <w:r>
        <w:rPr>
          <w:color w:val="000000"/>
          <w:rtl/>
        </w:rPr>
        <w:t>أكثر؛</w:t>
      </w:r>
      <w:proofErr w:type="gramEnd"/>
    </w:p>
    <w:p w14:paraId="79FFDD84" w14:textId="2FF1170D" w:rsidR="00973E38" w:rsidRPr="007E20DE" w:rsidRDefault="00973E38" w:rsidP="00973E38">
      <w:r>
        <w:t>2</w:t>
      </w:r>
      <w:r>
        <w:tab/>
      </w:r>
      <w:r>
        <w:rPr>
          <w:color w:val="000000"/>
          <w:rtl/>
        </w:rPr>
        <w:t xml:space="preserve">استكمال الدراسات </w:t>
      </w:r>
      <w:r>
        <w:rPr>
          <w:rFonts w:hint="cs"/>
          <w:color w:val="000000"/>
          <w:rtl/>
        </w:rPr>
        <w:t xml:space="preserve">المذكورة </w:t>
      </w:r>
      <w:r>
        <w:rPr>
          <w:color w:val="000000"/>
          <w:rtl/>
        </w:rPr>
        <w:t>أعلاه بحلول عام</w:t>
      </w:r>
      <w:r>
        <w:rPr>
          <w:rFonts w:hint="cs"/>
          <w:rtl/>
        </w:rPr>
        <w:t xml:space="preserve"> </w:t>
      </w:r>
      <w:r>
        <w:t>202</w:t>
      </w:r>
      <w:r w:rsidR="000E5947">
        <w:t>7</w:t>
      </w:r>
      <w:r>
        <w:rPr>
          <w:rFonts w:hint="cs"/>
          <w:rtl/>
        </w:rPr>
        <w:t>.</w:t>
      </w:r>
    </w:p>
    <w:p w14:paraId="67E20A8F" w14:textId="77777777" w:rsidR="00973E38" w:rsidRDefault="00973E38" w:rsidP="00973E38">
      <w:pPr>
        <w:spacing w:before="600"/>
        <w:rPr>
          <w:rFonts w:ascii="Times New Roman" w:hAnsi="Times New Roman" w:cs="Times New Roman"/>
          <w:szCs w:val="24"/>
          <w:rtl/>
          <w:lang w:val="en-GB" w:eastAsia="ja-JP"/>
        </w:rPr>
      </w:pPr>
      <w:r>
        <w:rPr>
          <w:rFonts w:hint="cs"/>
          <w:rtl/>
          <w:lang w:bidi="ar-EG"/>
        </w:rPr>
        <w:t>الفئة</w:t>
      </w:r>
      <w:r>
        <w:rPr>
          <w:rFonts w:hint="cs"/>
          <w:rtl/>
        </w:rPr>
        <w:t xml:space="preserve">: </w:t>
      </w:r>
      <w:r>
        <w:t>S</w:t>
      </w:r>
      <w:r w:rsidRPr="003D6B5E">
        <w:t>2</w:t>
      </w:r>
    </w:p>
    <w:sectPr w:rsidR="00973E38" w:rsidSect="00377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D45C" w14:textId="77777777" w:rsidR="00973E38" w:rsidRDefault="00973E38" w:rsidP="00973E38">
      <w:pPr>
        <w:spacing w:before="0" w:line="240" w:lineRule="auto"/>
      </w:pPr>
      <w:r>
        <w:separator/>
      </w:r>
    </w:p>
  </w:endnote>
  <w:endnote w:type="continuationSeparator" w:id="0">
    <w:p w14:paraId="425AEBAB" w14:textId="77777777" w:rsidR="00973E38" w:rsidRDefault="00973E38" w:rsidP="00973E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769E" w14:textId="77777777" w:rsidR="00377E9C" w:rsidRDefault="00377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2759" w14:textId="77777777" w:rsidR="00377E9C" w:rsidRDefault="00377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0F56" w14:textId="77777777" w:rsidR="00377E9C" w:rsidRDefault="0037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06C5" w14:textId="77777777" w:rsidR="00973E38" w:rsidRDefault="00973E38" w:rsidP="00973E38">
      <w:pPr>
        <w:spacing w:before="0" w:line="240" w:lineRule="auto"/>
      </w:pPr>
      <w:r>
        <w:separator/>
      </w:r>
    </w:p>
  </w:footnote>
  <w:footnote w:type="continuationSeparator" w:id="0">
    <w:p w14:paraId="19CDB02A" w14:textId="77777777" w:rsidR="00973E38" w:rsidRDefault="00973E38" w:rsidP="00973E38">
      <w:pPr>
        <w:spacing w:before="0" w:line="240" w:lineRule="auto"/>
      </w:pPr>
      <w:r>
        <w:continuationSeparator/>
      </w:r>
    </w:p>
  </w:footnote>
  <w:footnote w:id="1">
    <w:p w14:paraId="283AACD6" w14:textId="667CE812" w:rsidR="003926E7" w:rsidRPr="003926E7" w:rsidRDefault="003926E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FR"/>
        </w:rPr>
        <w:tab/>
      </w:r>
      <w:r w:rsidRPr="005B6AF2">
        <w:rPr>
          <w:rtl/>
        </w:rPr>
        <w:tab/>
      </w:r>
      <w:r w:rsidRPr="003F6C28">
        <w:rPr>
          <w:rtl/>
          <w:lang w:bidi="ar-SA"/>
        </w:rPr>
        <w:t xml:space="preserve">ينبغي </w:t>
      </w:r>
      <w:r w:rsidRPr="003F6C28">
        <w:rPr>
          <w:rFonts w:hint="cs"/>
          <w:rtl/>
          <w:lang w:bidi="ar-SA"/>
        </w:rPr>
        <w:t>استرعاء انتباه</w:t>
      </w:r>
      <w:r w:rsidRPr="003F6C28">
        <w:rPr>
          <w:rtl/>
          <w:lang w:bidi="ar-SA"/>
        </w:rPr>
        <w:t xml:space="preserve"> </w:t>
      </w:r>
      <w:r w:rsidRPr="003F6C28">
        <w:rPr>
          <w:rFonts w:hint="cs"/>
          <w:rtl/>
          <w:lang w:bidi="ar-SA"/>
        </w:rPr>
        <w:t xml:space="preserve">اللجنة </w:t>
      </w:r>
      <w:r w:rsidRPr="003F6C28">
        <w:t>ISO/IEC JTC1/SC35</w:t>
      </w:r>
      <w:r w:rsidRPr="003F6C28">
        <w:rPr>
          <w:rtl/>
          <w:lang w:bidi="ar-SA"/>
        </w:rPr>
        <w:t xml:space="preserve"> </w:t>
      </w:r>
      <w:r w:rsidRPr="003F6C28">
        <w:rPr>
          <w:rFonts w:hint="cs"/>
          <w:rtl/>
          <w:lang w:bidi="ar-SA"/>
        </w:rPr>
        <w:t>و</w:t>
      </w:r>
      <w:r w:rsidRPr="003F6C28">
        <w:rPr>
          <w:rtl/>
          <w:lang w:bidi="ar-SA"/>
        </w:rPr>
        <w:t xml:space="preserve">قطاع تقييس الاتصالات </w:t>
      </w:r>
      <w:r w:rsidRPr="003F6C28">
        <w:rPr>
          <w:rFonts w:hint="cs"/>
          <w:rtl/>
          <w:lang w:bidi="ar-SA"/>
        </w:rPr>
        <w:t xml:space="preserve">وفريق المقرر المشترك بين قطاع الاتصالات الراديوية وقطاع تقييس الاتصالات </w:t>
      </w:r>
      <w:r w:rsidRPr="003F6C28">
        <w:rPr>
          <w:rtl/>
          <w:lang w:bidi="ar-SA"/>
        </w:rPr>
        <w:t xml:space="preserve">المعني بإمكانية النفاذ إلى الوسائط السمعية المرئية </w:t>
      </w:r>
      <w:r w:rsidRPr="003F6C28">
        <w:t>(IRG-AVA)</w:t>
      </w:r>
      <w:r w:rsidRPr="003F6C28">
        <w:rPr>
          <w:rtl/>
          <w:lang w:bidi="ar-SA"/>
        </w:rPr>
        <w:t xml:space="preserve">، </w:t>
      </w:r>
      <w:r w:rsidRPr="003F6C28">
        <w:rPr>
          <w:rFonts w:hint="cs"/>
          <w:rtl/>
          <w:lang w:bidi="ar-SA"/>
        </w:rPr>
        <w:t xml:space="preserve">ولجنتي الدراسات </w:t>
      </w:r>
      <w:r w:rsidRPr="003F6C28">
        <w:t>9</w:t>
      </w:r>
      <w:r w:rsidRPr="003F6C28">
        <w:rPr>
          <w:rFonts w:hint="cs"/>
          <w:rtl/>
          <w:lang w:bidi="ar-SA"/>
        </w:rPr>
        <w:t xml:space="preserve"> و</w:t>
      </w:r>
      <w:r w:rsidRPr="003F6C28">
        <w:t>16</w:t>
      </w:r>
      <w:r w:rsidRPr="003F6C28">
        <w:rPr>
          <w:rFonts w:hint="cs"/>
          <w:rtl/>
          <w:lang w:bidi="ar-SA"/>
        </w:rPr>
        <w:t xml:space="preserve"> لقطاع تقييس الاتصالات إلى هذه المسألة.</w:t>
      </w:r>
    </w:p>
  </w:footnote>
  <w:footnote w:id="2">
    <w:p w14:paraId="41531A17" w14:textId="0D303858" w:rsidR="003926E7" w:rsidRPr="003926E7" w:rsidRDefault="003926E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26262">
        <w:rPr>
          <w:lang w:val="fr-FR"/>
        </w:rPr>
        <w:t xml:space="preserve"> </w:t>
      </w:r>
      <w:r>
        <w:rPr>
          <w:lang w:val="fr-FR"/>
        </w:rPr>
        <w:tab/>
      </w:r>
      <w:r w:rsidRPr="007949C8">
        <w:rPr>
          <w:rFonts w:hint="cs"/>
          <w:szCs w:val="24"/>
          <w:rtl/>
        </w:rPr>
        <w:t xml:space="preserve">قامت لجنة </w:t>
      </w:r>
      <w:r w:rsidRPr="003926E7">
        <w:rPr>
          <w:rFonts w:hint="cs"/>
          <w:szCs w:val="24"/>
          <w:rtl/>
        </w:rPr>
        <w:t xml:space="preserve">الدراسات </w:t>
      </w:r>
      <w:r w:rsidRPr="00D26262">
        <w:rPr>
          <w:rFonts w:asciiTheme="minorHAnsi" w:eastAsia="Arial Unicode MS" w:hAnsiTheme="minorHAnsi" w:cstheme="minorHAnsi"/>
          <w:sz w:val="22"/>
          <w:szCs w:val="28"/>
          <w:lang w:val="fr-FR"/>
        </w:rPr>
        <w:t>6</w:t>
      </w:r>
      <w:r w:rsidRPr="003926E7">
        <w:rPr>
          <w:rFonts w:hint="cs"/>
          <w:szCs w:val="24"/>
          <w:rtl/>
        </w:rPr>
        <w:t xml:space="preserve"> للاتصالات الراديوية في عامي </w:t>
      </w:r>
      <w:r w:rsidRPr="003926E7">
        <w:rPr>
          <w:rFonts w:hint="cs"/>
          <w:sz w:val="18"/>
          <w:szCs w:val="22"/>
          <w:rtl/>
        </w:rPr>
        <w:t>و</w:t>
      </w:r>
      <w:r w:rsidRPr="003926E7">
        <w:rPr>
          <w:rFonts w:asciiTheme="minorHAnsi" w:hAnsiTheme="minorHAnsi" w:cstheme="minorHAnsi"/>
          <w:sz w:val="18"/>
          <w:szCs w:val="22"/>
          <w:rtl/>
        </w:rPr>
        <w:t>2023</w:t>
      </w:r>
      <w:r w:rsidRPr="003926E7">
        <w:rPr>
          <w:rFonts w:hint="cs"/>
          <w:sz w:val="18"/>
          <w:szCs w:val="22"/>
          <w:rtl/>
        </w:rPr>
        <w:t xml:space="preserve"> </w:t>
      </w:r>
      <w:r w:rsidRPr="003926E7">
        <w:rPr>
          <w:rFonts w:hint="cs"/>
          <w:szCs w:val="24"/>
          <w:rtl/>
        </w:rPr>
        <w:t>بتمديد</w:t>
      </w:r>
      <w:r w:rsidRPr="007949C8">
        <w:rPr>
          <w:rFonts w:hint="cs"/>
          <w:szCs w:val="24"/>
          <w:rtl/>
        </w:rPr>
        <w:t xml:space="preserve"> تاريخ إنجاز الدراسات المتعلقة بهذه المسألة.</w:t>
      </w:r>
      <w:r w:rsidRPr="007949C8">
        <w:rPr>
          <w:rFonts w:hint="cs"/>
          <w:spacing w:val="2"/>
          <w:szCs w:val="24"/>
          <w:rtl/>
        </w:rPr>
        <w:t xml:space="preserve">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3CC4" w14:textId="77777777" w:rsidR="00377E9C" w:rsidRDefault="0037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  <w:rtl/>
      </w:rPr>
      <w:id w:val="15825562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AA0656" w14:textId="77777777" w:rsidR="00377E9C" w:rsidRPr="00377E9C" w:rsidRDefault="00377E9C" w:rsidP="00377E9C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- 2</w:t>
        </w:r>
        <w:r>
          <w:rPr>
            <w:noProof/>
            <w:sz w:val="18"/>
            <w:szCs w:val="18"/>
          </w:rPr>
          <w:t xml:space="preserve"> -</w:t>
        </w:r>
      </w:p>
    </w:sdtContent>
  </w:sdt>
  <w:p w14:paraId="22C2138C" w14:textId="77777777" w:rsidR="00377E9C" w:rsidRPr="00377E9C" w:rsidRDefault="00377E9C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CB8" w14:textId="77777777" w:rsidR="00377E9C" w:rsidRDefault="00377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38"/>
    <w:rsid w:val="000E5947"/>
    <w:rsid w:val="002D119A"/>
    <w:rsid w:val="00377E9C"/>
    <w:rsid w:val="003926E7"/>
    <w:rsid w:val="004932C2"/>
    <w:rsid w:val="00973E38"/>
    <w:rsid w:val="00D2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0F3A7"/>
  <w15:chartTrackingRefBased/>
  <w15:docId w15:val="{3FFA1297-275A-4724-86E8-0CABEFD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3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973E38"/>
    <w:pPr>
      <w:keepNext/>
      <w:keepLines/>
      <w:spacing w:before="180"/>
      <w:ind w:firstLine="1134"/>
    </w:pPr>
    <w:rPr>
      <w:i/>
      <w:iCs/>
    </w:rPr>
  </w:style>
  <w:style w:type="paragraph" w:styleId="FootnoteText">
    <w:name w:val="footnote text"/>
    <w:basedOn w:val="Normal"/>
    <w:link w:val="FootnoteTextChar"/>
    <w:rsid w:val="00973E38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973E38"/>
    <w:rPr>
      <w:rFonts w:ascii="Calibri" w:eastAsia="Times New Roman" w:hAnsi="Calibri" w:cs="Traditional Arabic"/>
      <w:sz w:val="20"/>
      <w:szCs w:val="26"/>
      <w:lang w:val="en-US"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973E38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next w:val="Normal"/>
    <w:link w:val="NormalaftertitleChar"/>
    <w:rsid w:val="00973E38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973E38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973E3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973E38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973E38"/>
    <w:rPr>
      <w:rFonts w:ascii="Calibri" w:eastAsia="Times New Roman" w:hAnsi="Calibri" w:cs="Traditional Arabic"/>
      <w:szCs w:val="30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73E38"/>
    <w:rPr>
      <w:rFonts w:ascii="Calibri" w:eastAsia="Times New Roman" w:hAnsi="Calibri" w:cs="Traditional Arabic"/>
      <w:b/>
      <w:bCs/>
      <w:sz w:val="28"/>
      <w:szCs w:val="40"/>
      <w:lang w:val="en-US"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973E38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38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3E38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38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BRSGD</cp:lastModifiedBy>
  <cp:revision>5</cp:revision>
  <dcterms:created xsi:type="dcterms:W3CDTF">2019-07-01T08:01:00Z</dcterms:created>
  <dcterms:modified xsi:type="dcterms:W3CDTF">2023-09-20T10:22:00Z</dcterms:modified>
</cp:coreProperties>
</file>