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54493" w14:textId="77777777" w:rsidR="00B250CA" w:rsidRDefault="00B250CA" w:rsidP="00B250CA">
      <w:pPr>
        <w:pStyle w:val="QuestionNoBR"/>
        <w:rPr>
          <w:rFonts w:asciiTheme="majorBidi" w:hAnsiTheme="majorBidi" w:cstheme="majorBidi"/>
          <w:szCs w:val="28"/>
          <w:lang w:val="fr-CH"/>
        </w:rPr>
      </w:pPr>
      <w:r>
        <w:rPr>
          <w:rFonts w:asciiTheme="majorBidi" w:hAnsiTheme="majorBidi" w:cstheme="majorBidi"/>
          <w:szCs w:val="28"/>
          <w:lang w:val="fr-CH"/>
        </w:rPr>
        <w:t>Question UIT-R 145/6</w:t>
      </w:r>
      <w:r>
        <w:rPr>
          <w:rStyle w:val="FootnoteReference"/>
          <w:rFonts w:asciiTheme="majorBidi" w:hAnsiTheme="majorBidi" w:cstheme="majorBidi"/>
          <w:szCs w:val="28"/>
          <w:lang w:val="fr-CH"/>
        </w:rPr>
        <w:footnoteReference w:id="1"/>
      </w:r>
      <w:r>
        <w:rPr>
          <w:rFonts w:asciiTheme="majorBidi" w:hAnsiTheme="majorBidi" w:cstheme="majorBidi"/>
          <w:szCs w:val="28"/>
          <w:lang w:val="fr-CH"/>
        </w:rPr>
        <w:t xml:space="preserve">, </w:t>
      </w:r>
      <w:r>
        <w:rPr>
          <w:rStyle w:val="FootnoteReference"/>
          <w:rFonts w:asciiTheme="majorBidi" w:hAnsiTheme="majorBidi" w:cstheme="majorBidi"/>
          <w:szCs w:val="28"/>
          <w:lang w:val="fr-CH"/>
        </w:rPr>
        <w:footnoteReference w:id="2"/>
      </w:r>
    </w:p>
    <w:p w14:paraId="2184806A" w14:textId="2C339034" w:rsidR="00B250CA" w:rsidRDefault="00B250CA" w:rsidP="00B250CA">
      <w:pPr>
        <w:pStyle w:val="Questiontitle"/>
        <w:rPr>
          <w:rFonts w:asciiTheme="majorBidi" w:hAnsiTheme="majorBidi" w:cstheme="majorBidi"/>
          <w:szCs w:val="28"/>
          <w:lang w:val="fr-CH"/>
        </w:rPr>
      </w:pPr>
      <w:r>
        <w:rPr>
          <w:rFonts w:asciiTheme="majorBidi" w:hAnsiTheme="majorBidi" w:cstheme="majorBidi"/>
          <w:szCs w:val="28"/>
          <w:lang w:val="fr-CH"/>
        </w:rPr>
        <w:t>Systèmes permettant aux personnes handicapées d'accéder aux supports de radiodiffusion et aux supports coopératifs</w:t>
      </w:r>
    </w:p>
    <w:p w14:paraId="733F2125" w14:textId="77777777" w:rsidR="00B250CA" w:rsidRPr="00B250CA" w:rsidRDefault="00B250CA" w:rsidP="00B250CA">
      <w:pPr>
        <w:pStyle w:val="Questiondate"/>
        <w:rPr>
          <w:rFonts w:asciiTheme="majorBidi" w:hAnsiTheme="majorBidi" w:cstheme="majorBidi"/>
          <w:szCs w:val="22"/>
          <w:lang w:val="fr-CH"/>
        </w:rPr>
      </w:pPr>
      <w:r w:rsidRPr="00B250CA">
        <w:rPr>
          <w:rFonts w:asciiTheme="majorBidi" w:hAnsiTheme="majorBidi" w:cstheme="majorBidi"/>
          <w:lang w:val="fr-CH"/>
        </w:rPr>
        <w:t>(2019)</w:t>
      </w:r>
    </w:p>
    <w:p w14:paraId="57E782F3" w14:textId="77777777" w:rsidR="00B250CA" w:rsidRDefault="00B250CA" w:rsidP="00B250CA">
      <w:pPr>
        <w:pStyle w:val="Normalaftertitle"/>
        <w:spacing w:before="240"/>
        <w:jc w:val="both"/>
        <w:rPr>
          <w:rFonts w:asciiTheme="majorBidi" w:hAnsiTheme="majorBidi" w:cstheme="majorBidi"/>
          <w:szCs w:val="24"/>
          <w:lang w:val="fr-CH"/>
        </w:rPr>
      </w:pPr>
      <w:r>
        <w:rPr>
          <w:rFonts w:asciiTheme="majorBidi" w:hAnsiTheme="majorBidi" w:cstheme="majorBidi"/>
          <w:szCs w:val="24"/>
          <w:lang w:val="fr-CH"/>
        </w:rPr>
        <w:t>L'Assemblée des radiocommunications de l'UIT,</w:t>
      </w:r>
    </w:p>
    <w:p w14:paraId="67977D84" w14:textId="77777777" w:rsidR="00B250CA" w:rsidRDefault="00B250CA" w:rsidP="00B250CA">
      <w:pPr>
        <w:pStyle w:val="call0"/>
        <w:jc w:val="both"/>
        <w:rPr>
          <w:lang w:val="fr-CH"/>
        </w:rPr>
      </w:pPr>
      <w:proofErr w:type="gramStart"/>
      <w:r>
        <w:rPr>
          <w:lang w:val="fr-FR"/>
        </w:rPr>
        <w:t>considérant</w:t>
      </w:r>
      <w:proofErr w:type="gramEnd"/>
    </w:p>
    <w:p w14:paraId="39B7179B" w14:textId="77777777" w:rsidR="00B250CA" w:rsidRDefault="00B250CA" w:rsidP="00B250CA">
      <w:pPr>
        <w:tabs>
          <w:tab w:val="left" w:pos="851"/>
        </w:tabs>
        <w:jc w:val="both"/>
        <w:rPr>
          <w:rFonts w:asciiTheme="majorBidi" w:hAnsiTheme="majorBidi" w:cstheme="majorBidi"/>
          <w:szCs w:val="24"/>
          <w:lang w:val="fr-CH"/>
        </w:rPr>
      </w:pPr>
      <w:r>
        <w:rPr>
          <w:rFonts w:asciiTheme="majorBidi" w:hAnsiTheme="majorBidi" w:cstheme="majorBidi"/>
          <w:i/>
          <w:szCs w:val="24"/>
          <w:lang w:val="fr-CH"/>
        </w:rPr>
        <w:t>a)</w:t>
      </w:r>
      <w:r>
        <w:rPr>
          <w:rFonts w:asciiTheme="majorBidi" w:hAnsiTheme="majorBidi" w:cstheme="majorBidi"/>
          <w:szCs w:val="24"/>
          <w:lang w:val="fr-CH"/>
        </w:rPr>
        <w:tab/>
        <w:t xml:space="preserve">que, conformément à la Convention des Nations Unies relative aux droits des personnes handicapées, tous les pays signataires sont appelés à s'efforcer de fournir des services qui permettent aux personnes handicapées d'avoir accès à des supports équivalents à ceux offerts aux personnes non </w:t>
      </w:r>
      <w:proofErr w:type="gramStart"/>
      <w:r>
        <w:rPr>
          <w:rFonts w:asciiTheme="majorBidi" w:hAnsiTheme="majorBidi" w:cstheme="majorBidi"/>
          <w:szCs w:val="24"/>
          <w:lang w:val="fr-CH"/>
        </w:rPr>
        <w:t>handicapées;</w:t>
      </w:r>
      <w:proofErr w:type="gramEnd"/>
    </w:p>
    <w:p w14:paraId="4011694E" w14:textId="77777777" w:rsidR="00B250CA" w:rsidRDefault="00B250CA" w:rsidP="00B250CA">
      <w:pPr>
        <w:tabs>
          <w:tab w:val="left" w:pos="851"/>
        </w:tabs>
        <w:jc w:val="both"/>
        <w:rPr>
          <w:rFonts w:asciiTheme="majorBidi" w:hAnsiTheme="majorBidi" w:cstheme="majorBidi"/>
          <w:szCs w:val="24"/>
          <w:lang w:val="fr-CH"/>
        </w:rPr>
      </w:pPr>
      <w:r>
        <w:rPr>
          <w:rFonts w:asciiTheme="majorBidi" w:hAnsiTheme="majorBidi" w:cstheme="majorBidi"/>
          <w:i/>
          <w:szCs w:val="24"/>
          <w:lang w:val="fr-CH"/>
        </w:rPr>
        <w:t>b)</w:t>
      </w:r>
      <w:r>
        <w:rPr>
          <w:rFonts w:asciiTheme="majorBidi" w:hAnsiTheme="majorBidi" w:cstheme="majorBidi"/>
          <w:szCs w:val="24"/>
          <w:lang w:val="fr-CH"/>
        </w:rPr>
        <w:tab/>
        <w:t xml:space="preserve">que des mesures telles que le sous-titrage ou le sous-titrage codé, l'audiodescription et la </w:t>
      </w:r>
      <w:proofErr w:type="spellStart"/>
      <w:r>
        <w:rPr>
          <w:rFonts w:asciiTheme="majorBidi" w:hAnsiTheme="majorBidi" w:cstheme="majorBidi"/>
          <w:szCs w:val="24"/>
          <w:lang w:val="fr-CH"/>
        </w:rPr>
        <w:t>vidéodescription</w:t>
      </w:r>
      <w:proofErr w:type="spellEnd"/>
      <w:r>
        <w:rPr>
          <w:rFonts w:asciiTheme="majorBidi" w:hAnsiTheme="majorBidi" w:cstheme="majorBidi"/>
          <w:szCs w:val="24"/>
          <w:lang w:val="fr-CH"/>
        </w:rPr>
        <w:t xml:space="preserve">, l'interprétation en langue des signes et l'interprétation en langue des signes codée et d'autres services peuvent permettre d'accroître l'accès d'une partie importante de la population comprenant les personnes âgées, les malentendants et les malvoyants aux supports de radiodiffusion et leur </w:t>
      </w:r>
      <w:proofErr w:type="gramStart"/>
      <w:r>
        <w:rPr>
          <w:rFonts w:asciiTheme="majorBidi" w:hAnsiTheme="majorBidi" w:cstheme="majorBidi"/>
          <w:szCs w:val="24"/>
          <w:lang w:val="fr-CH"/>
        </w:rPr>
        <w:t>utilisation;</w:t>
      </w:r>
      <w:proofErr w:type="gramEnd"/>
    </w:p>
    <w:p w14:paraId="7701A090" w14:textId="77777777" w:rsidR="00B250CA" w:rsidRDefault="00B250CA" w:rsidP="00B250CA">
      <w:pPr>
        <w:tabs>
          <w:tab w:val="left" w:pos="851"/>
        </w:tabs>
        <w:jc w:val="both"/>
        <w:rPr>
          <w:rFonts w:asciiTheme="majorBidi" w:hAnsiTheme="majorBidi" w:cstheme="majorBidi"/>
          <w:szCs w:val="24"/>
          <w:lang w:val="fr-CH"/>
        </w:rPr>
      </w:pPr>
      <w:r>
        <w:rPr>
          <w:rFonts w:asciiTheme="majorBidi" w:hAnsiTheme="majorBidi" w:cstheme="majorBidi"/>
          <w:i/>
          <w:iCs/>
          <w:szCs w:val="24"/>
          <w:lang w:val="fr-CH"/>
        </w:rPr>
        <w:t>c)</w:t>
      </w:r>
      <w:r>
        <w:rPr>
          <w:rFonts w:asciiTheme="majorBidi" w:hAnsiTheme="majorBidi" w:cstheme="majorBidi"/>
          <w:szCs w:val="24"/>
          <w:lang w:val="fr-CH"/>
        </w:rPr>
        <w:tab/>
        <w:t>qu'il existe diverses technologies de diffusion complémentaires qui peuvent</w:t>
      </w:r>
      <w:proofErr w:type="gramStart"/>
      <w:r>
        <w:rPr>
          <w:rFonts w:asciiTheme="majorBidi" w:hAnsiTheme="majorBidi" w:cstheme="majorBidi"/>
          <w:szCs w:val="24"/>
          <w:lang w:val="fr-CH"/>
        </w:rPr>
        <w:t xml:space="preserve"> «coopérer</w:t>
      </w:r>
      <w:proofErr w:type="gramEnd"/>
      <w:r>
        <w:rPr>
          <w:rFonts w:asciiTheme="majorBidi" w:hAnsiTheme="majorBidi" w:cstheme="majorBidi"/>
          <w:szCs w:val="24"/>
          <w:lang w:val="fr-CH"/>
        </w:rPr>
        <w:t>» avec les supports de radiodiffusion, telles que, entre autres, l'Internet, la télévision IP, les systèmes intégrés de radiodiffusion et large bande (IBB), qui peuvent être utilisées pour fournir des services d'accès ou en faciliter la fourniture;</w:t>
      </w:r>
    </w:p>
    <w:p w14:paraId="14799C3E" w14:textId="77777777" w:rsidR="00B250CA" w:rsidRDefault="00B250CA" w:rsidP="00B250CA">
      <w:pPr>
        <w:tabs>
          <w:tab w:val="left" w:pos="851"/>
        </w:tabs>
        <w:jc w:val="both"/>
        <w:rPr>
          <w:rFonts w:asciiTheme="majorBidi" w:hAnsiTheme="majorBidi" w:cstheme="majorBidi"/>
          <w:szCs w:val="24"/>
          <w:lang w:val="fr-CH"/>
        </w:rPr>
      </w:pPr>
      <w:r>
        <w:rPr>
          <w:rFonts w:asciiTheme="majorBidi" w:hAnsiTheme="majorBidi" w:cstheme="majorBidi"/>
          <w:i/>
          <w:iCs/>
          <w:szCs w:val="24"/>
          <w:lang w:val="fr-CH"/>
        </w:rPr>
        <w:t>d)</w:t>
      </w:r>
      <w:r>
        <w:rPr>
          <w:rFonts w:asciiTheme="majorBidi" w:hAnsiTheme="majorBidi" w:cstheme="majorBidi"/>
          <w:szCs w:val="24"/>
          <w:lang w:val="fr-CH"/>
        </w:rPr>
        <w:tab/>
        <w:t xml:space="preserve">que l'existence de systèmes techniques communément acceptés pour la fourniture de ces services encouragerait une utilisation plus large de ces services et réduirait les coûts de </w:t>
      </w:r>
      <w:proofErr w:type="gramStart"/>
      <w:r>
        <w:rPr>
          <w:rFonts w:asciiTheme="majorBidi" w:hAnsiTheme="majorBidi" w:cstheme="majorBidi"/>
          <w:szCs w:val="24"/>
          <w:lang w:val="fr-CH"/>
        </w:rPr>
        <w:t>fourniture;</w:t>
      </w:r>
      <w:proofErr w:type="gramEnd"/>
    </w:p>
    <w:p w14:paraId="186BA79B" w14:textId="77777777" w:rsidR="00B250CA" w:rsidRDefault="00B250CA" w:rsidP="00B250CA">
      <w:pPr>
        <w:tabs>
          <w:tab w:val="left" w:pos="851"/>
        </w:tabs>
        <w:jc w:val="both"/>
        <w:rPr>
          <w:rFonts w:asciiTheme="majorBidi" w:hAnsiTheme="majorBidi" w:cstheme="majorBidi"/>
          <w:szCs w:val="24"/>
          <w:lang w:val="fr-CH"/>
        </w:rPr>
      </w:pPr>
      <w:r>
        <w:rPr>
          <w:rFonts w:asciiTheme="majorBidi" w:hAnsiTheme="majorBidi" w:cstheme="majorBidi"/>
          <w:i/>
          <w:iCs/>
          <w:szCs w:val="24"/>
          <w:lang w:val="fr-CH"/>
        </w:rPr>
        <w:t>e)</w:t>
      </w:r>
      <w:r>
        <w:rPr>
          <w:rFonts w:asciiTheme="majorBidi" w:hAnsiTheme="majorBidi" w:cstheme="majorBidi"/>
          <w:szCs w:val="24"/>
          <w:lang w:val="fr-CH"/>
        </w:rPr>
        <w:tab/>
        <w:t xml:space="preserve">qu'un dialogue avec l'UIT-T et l'UIT-D, par l'intermédiaire du Groupe IRG-AVA, ainsi qu'avec d'autres organismes de normalisation qui examinent et mettent au point des systèmes pour faciliter l'accès aux supports, peut encourager l'adoption de normes communes pour toutes les plates-formes de diffusion au profit des personnes </w:t>
      </w:r>
      <w:proofErr w:type="gramStart"/>
      <w:r>
        <w:rPr>
          <w:rFonts w:asciiTheme="majorBidi" w:hAnsiTheme="majorBidi" w:cstheme="majorBidi"/>
          <w:szCs w:val="24"/>
          <w:lang w:val="fr-CH"/>
        </w:rPr>
        <w:t>handicapées;</w:t>
      </w:r>
      <w:proofErr w:type="gramEnd"/>
    </w:p>
    <w:p w14:paraId="750997CF" w14:textId="77777777" w:rsidR="00B250CA" w:rsidRDefault="00B250CA" w:rsidP="00B250CA">
      <w:pPr>
        <w:tabs>
          <w:tab w:val="left" w:pos="851"/>
        </w:tabs>
        <w:jc w:val="both"/>
        <w:rPr>
          <w:rFonts w:asciiTheme="majorBidi" w:hAnsiTheme="majorBidi" w:cstheme="majorBidi"/>
          <w:szCs w:val="24"/>
          <w:lang w:val="fr-CH"/>
        </w:rPr>
      </w:pPr>
      <w:r>
        <w:rPr>
          <w:rFonts w:asciiTheme="majorBidi" w:hAnsiTheme="majorBidi" w:cstheme="majorBidi"/>
          <w:i/>
          <w:szCs w:val="24"/>
          <w:lang w:val="fr-CH"/>
        </w:rPr>
        <w:t>f)</w:t>
      </w:r>
      <w:r>
        <w:rPr>
          <w:rFonts w:asciiTheme="majorBidi" w:hAnsiTheme="majorBidi" w:cstheme="majorBidi"/>
          <w:szCs w:val="24"/>
          <w:lang w:val="fr-CH"/>
        </w:rPr>
        <w:tab/>
        <w:t>que, pour la conception et l'utilisation de ces systèmes d'accès, il faut toujours associer les personnes handicapées et les organismes en lien avec les personnes handicapées et tenir dûment compte de leurs vues et de leurs expériences,</w:t>
      </w:r>
    </w:p>
    <w:p w14:paraId="0C11CA60" w14:textId="77777777" w:rsidR="00B250CA" w:rsidRDefault="00B250CA" w:rsidP="00B250CA">
      <w:pPr>
        <w:pStyle w:val="call0"/>
        <w:jc w:val="both"/>
        <w:rPr>
          <w:rFonts w:asciiTheme="majorBidi" w:hAnsiTheme="majorBidi" w:cstheme="majorBidi"/>
          <w:b/>
          <w:szCs w:val="24"/>
          <w:lang w:val="fr-CH"/>
        </w:rPr>
      </w:pPr>
      <w:proofErr w:type="gramStart"/>
      <w:r>
        <w:rPr>
          <w:rFonts w:asciiTheme="majorBidi" w:hAnsiTheme="majorBidi" w:cstheme="majorBidi"/>
          <w:szCs w:val="24"/>
          <w:lang w:val="fr-CH"/>
        </w:rPr>
        <w:t>décide</w:t>
      </w:r>
      <w:proofErr w:type="gramEnd"/>
      <w:r>
        <w:rPr>
          <w:rFonts w:asciiTheme="majorBidi" w:hAnsiTheme="majorBidi" w:cstheme="majorBidi"/>
          <w:szCs w:val="24"/>
          <w:lang w:val="fr-CH"/>
        </w:rPr>
        <w:t xml:space="preserve"> </w:t>
      </w:r>
      <w:r>
        <w:rPr>
          <w:rFonts w:asciiTheme="majorBidi" w:hAnsiTheme="majorBidi" w:cstheme="majorBidi"/>
          <w:i w:val="0"/>
          <w:iCs/>
          <w:szCs w:val="24"/>
          <w:lang w:val="fr-CH"/>
        </w:rPr>
        <w:t>de mettre à l'étude les questions suivantes</w:t>
      </w:r>
    </w:p>
    <w:p w14:paraId="218D8730" w14:textId="77777777" w:rsidR="00B250CA" w:rsidRDefault="00B250CA" w:rsidP="00B250CA">
      <w:pPr>
        <w:tabs>
          <w:tab w:val="left" w:pos="851"/>
        </w:tabs>
        <w:jc w:val="both"/>
        <w:rPr>
          <w:rFonts w:asciiTheme="majorBidi" w:hAnsiTheme="majorBidi" w:cstheme="majorBidi"/>
          <w:szCs w:val="24"/>
          <w:lang w:val="fr-CH"/>
        </w:rPr>
      </w:pPr>
      <w:r>
        <w:rPr>
          <w:rFonts w:asciiTheme="majorBidi" w:hAnsiTheme="majorBidi" w:cstheme="majorBidi"/>
          <w:szCs w:val="24"/>
          <w:lang w:val="fr-CH"/>
        </w:rPr>
        <w:t>1</w:t>
      </w:r>
      <w:r>
        <w:rPr>
          <w:rFonts w:asciiTheme="majorBidi" w:hAnsiTheme="majorBidi" w:cstheme="majorBidi"/>
          <w:szCs w:val="24"/>
          <w:lang w:val="fr-CH"/>
        </w:rPr>
        <w:tab/>
        <w:t xml:space="preserve">Quels systèmes de sous-titrage et de sous-titrage codé et quels systèmes de diffusion audio dans le texte, adaptés à la diffusion des supports de radiodiffusion et des services connexes, peut-on </w:t>
      </w:r>
      <w:proofErr w:type="gramStart"/>
      <w:r>
        <w:rPr>
          <w:rFonts w:asciiTheme="majorBidi" w:hAnsiTheme="majorBidi" w:cstheme="majorBidi"/>
          <w:szCs w:val="24"/>
          <w:lang w:val="fr-CH"/>
        </w:rPr>
        <w:t>utiliser?</w:t>
      </w:r>
      <w:proofErr w:type="gramEnd"/>
    </w:p>
    <w:p w14:paraId="4D880CC3" w14:textId="77777777" w:rsidR="00B250CA" w:rsidRDefault="00B250CA" w:rsidP="00B250CA">
      <w:pPr>
        <w:tabs>
          <w:tab w:val="left" w:pos="851"/>
        </w:tabs>
        <w:jc w:val="both"/>
        <w:rPr>
          <w:rFonts w:asciiTheme="majorBidi" w:hAnsiTheme="majorBidi" w:cstheme="majorBidi"/>
          <w:szCs w:val="24"/>
          <w:lang w:val="fr-CH"/>
        </w:rPr>
      </w:pPr>
      <w:r>
        <w:rPr>
          <w:rFonts w:asciiTheme="majorBidi" w:hAnsiTheme="majorBidi" w:cstheme="majorBidi"/>
          <w:szCs w:val="24"/>
          <w:lang w:val="fr-CH"/>
        </w:rPr>
        <w:t>2</w:t>
      </w:r>
      <w:r>
        <w:rPr>
          <w:rFonts w:asciiTheme="majorBidi" w:hAnsiTheme="majorBidi" w:cstheme="majorBidi"/>
          <w:szCs w:val="24"/>
          <w:lang w:val="fr-CH"/>
        </w:rPr>
        <w:tab/>
        <w:t xml:space="preserve">Quels systèmes d'interprétation en ligne des signes et d'interprétation en langue des signes codée, adaptés à la diffusion des supports de radiodiffusion et des services connexes, peut-on </w:t>
      </w:r>
      <w:proofErr w:type="gramStart"/>
      <w:r>
        <w:rPr>
          <w:rFonts w:asciiTheme="majorBidi" w:hAnsiTheme="majorBidi" w:cstheme="majorBidi"/>
          <w:szCs w:val="24"/>
          <w:lang w:val="fr-CH"/>
        </w:rPr>
        <w:t>utiliser?</w:t>
      </w:r>
      <w:proofErr w:type="gramEnd"/>
    </w:p>
    <w:p w14:paraId="775E63E3" w14:textId="77777777" w:rsidR="00B250CA" w:rsidRDefault="00B250CA" w:rsidP="00B250CA">
      <w:pPr>
        <w:tabs>
          <w:tab w:val="left" w:pos="851"/>
        </w:tabs>
        <w:jc w:val="both"/>
        <w:rPr>
          <w:rFonts w:asciiTheme="majorBidi" w:hAnsiTheme="majorBidi" w:cstheme="majorBidi"/>
          <w:szCs w:val="24"/>
          <w:lang w:val="fr-CH"/>
        </w:rPr>
      </w:pPr>
      <w:r>
        <w:rPr>
          <w:rFonts w:asciiTheme="majorBidi" w:hAnsiTheme="majorBidi" w:cstheme="majorBidi"/>
          <w:szCs w:val="24"/>
          <w:lang w:val="fr-CH"/>
        </w:rPr>
        <w:lastRenderedPageBreak/>
        <w:t>3</w:t>
      </w:r>
      <w:r>
        <w:rPr>
          <w:rFonts w:asciiTheme="majorBidi" w:hAnsiTheme="majorBidi" w:cstheme="majorBidi"/>
          <w:szCs w:val="24"/>
          <w:lang w:val="fr-CH"/>
        </w:rPr>
        <w:tab/>
        <w:t xml:space="preserve">Quels systèmes d'audiodescription et de </w:t>
      </w:r>
      <w:proofErr w:type="spellStart"/>
      <w:r>
        <w:rPr>
          <w:rFonts w:asciiTheme="majorBidi" w:hAnsiTheme="majorBidi" w:cstheme="majorBidi"/>
          <w:szCs w:val="24"/>
          <w:lang w:val="fr-CH"/>
        </w:rPr>
        <w:t>vidéodescription</w:t>
      </w:r>
      <w:proofErr w:type="spellEnd"/>
      <w:r>
        <w:rPr>
          <w:rFonts w:asciiTheme="majorBidi" w:hAnsiTheme="majorBidi" w:cstheme="majorBidi"/>
          <w:szCs w:val="24"/>
          <w:lang w:val="fr-CH"/>
        </w:rPr>
        <w:t xml:space="preserve"> des contenus vidéo, adaptés à la diffusion des supports de radiodiffusion et des services connexes, peut-on </w:t>
      </w:r>
      <w:proofErr w:type="gramStart"/>
      <w:r>
        <w:rPr>
          <w:rFonts w:asciiTheme="majorBidi" w:hAnsiTheme="majorBidi" w:cstheme="majorBidi"/>
          <w:szCs w:val="24"/>
          <w:lang w:val="fr-CH"/>
        </w:rPr>
        <w:t>utiliser?</w:t>
      </w:r>
      <w:proofErr w:type="gramEnd"/>
    </w:p>
    <w:p w14:paraId="7B2AED81" w14:textId="77777777" w:rsidR="00B250CA" w:rsidRDefault="00B250CA" w:rsidP="00B250CA">
      <w:pPr>
        <w:tabs>
          <w:tab w:val="left" w:pos="851"/>
        </w:tabs>
        <w:jc w:val="both"/>
        <w:rPr>
          <w:rFonts w:asciiTheme="majorBidi" w:hAnsiTheme="majorBidi" w:cstheme="majorBidi"/>
          <w:szCs w:val="24"/>
          <w:lang w:val="fr-CH"/>
        </w:rPr>
      </w:pPr>
      <w:r>
        <w:rPr>
          <w:rFonts w:asciiTheme="majorBidi" w:hAnsiTheme="majorBidi" w:cstheme="majorBidi"/>
          <w:szCs w:val="24"/>
          <w:lang w:val="fr-CH"/>
        </w:rPr>
        <w:t>4</w:t>
      </w:r>
      <w:r>
        <w:rPr>
          <w:rFonts w:asciiTheme="majorBidi" w:hAnsiTheme="majorBidi" w:cstheme="majorBidi"/>
          <w:szCs w:val="24"/>
          <w:lang w:val="fr-CH"/>
        </w:rPr>
        <w:tab/>
        <w:t>Quels systèmes de fourniture d'un</w:t>
      </w:r>
      <w:proofErr w:type="gramStart"/>
      <w:r>
        <w:rPr>
          <w:rFonts w:asciiTheme="majorBidi" w:hAnsiTheme="majorBidi" w:cstheme="majorBidi"/>
          <w:szCs w:val="24"/>
          <w:lang w:val="fr-CH"/>
        </w:rPr>
        <w:t xml:space="preserve"> «audio</w:t>
      </w:r>
      <w:proofErr w:type="gramEnd"/>
      <w:r>
        <w:rPr>
          <w:rFonts w:asciiTheme="majorBidi" w:hAnsiTheme="majorBidi" w:cstheme="majorBidi"/>
          <w:szCs w:val="24"/>
          <w:lang w:val="fr-CH"/>
        </w:rPr>
        <w:t xml:space="preserve"> propre» (fonctionnalité permettant d'améliorer la clarté des dialogues) pour la diffusion de l'audio pour les supports de radiodiffusion ainsi que les services connexes, peut-on utiliser?</w:t>
      </w:r>
    </w:p>
    <w:p w14:paraId="38E65963" w14:textId="77777777" w:rsidR="00B250CA" w:rsidRDefault="00B250CA" w:rsidP="00B250CA">
      <w:pPr>
        <w:tabs>
          <w:tab w:val="left" w:pos="851"/>
        </w:tabs>
        <w:jc w:val="both"/>
        <w:rPr>
          <w:rFonts w:asciiTheme="majorBidi" w:hAnsiTheme="majorBidi" w:cstheme="majorBidi"/>
          <w:szCs w:val="24"/>
          <w:lang w:val="fr-CH"/>
        </w:rPr>
      </w:pPr>
      <w:r>
        <w:rPr>
          <w:rFonts w:asciiTheme="majorBidi" w:hAnsiTheme="majorBidi" w:cstheme="majorBidi"/>
          <w:szCs w:val="24"/>
          <w:lang w:val="fr-CH"/>
        </w:rPr>
        <w:t>5</w:t>
      </w:r>
      <w:r>
        <w:rPr>
          <w:rFonts w:asciiTheme="majorBidi" w:hAnsiTheme="majorBidi" w:cstheme="majorBidi"/>
          <w:szCs w:val="24"/>
          <w:lang w:val="fr-CH"/>
        </w:rPr>
        <w:tab/>
        <w:t xml:space="preserve">Quels systèmes de fourniture d'informations haptiques, adaptés à la diffusion des supports de radiodiffusion et des services connexes, peut-on </w:t>
      </w:r>
      <w:proofErr w:type="gramStart"/>
      <w:r>
        <w:rPr>
          <w:rFonts w:asciiTheme="majorBidi" w:hAnsiTheme="majorBidi" w:cstheme="majorBidi"/>
          <w:szCs w:val="24"/>
          <w:lang w:val="fr-CH"/>
        </w:rPr>
        <w:t>utiliser?</w:t>
      </w:r>
      <w:proofErr w:type="gramEnd"/>
    </w:p>
    <w:p w14:paraId="77FFF79D" w14:textId="77777777" w:rsidR="00B250CA" w:rsidRDefault="00B250CA" w:rsidP="00B250CA">
      <w:pPr>
        <w:tabs>
          <w:tab w:val="left" w:pos="851"/>
        </w:tabs>
        <w:jc w:val="both"/>
        <w:rPr>
          <w:rFonts w:asciiTheme="majorBidi" w:hAnsiTheme="majorBidi" w:cstheme="majorBidi"/>
          <w:szCs w:val="24"/>
          <w:lang w:val="fr-CH"/>
        </w:rPr>
      </w:pPr>
      <w:r>
        <w:rPr>
          <w:rFonts w:asciiTheme="majorBidi" w:hAnsiTheme="majorBidi" w:cstheme="majorBidi"/>
          <w:szCs w:val="24"/>
          <w:lang w:val="fr-CH"/>
        </w:rPr>
        <w:t>6</w:t>
      </w:r>
      <w:r>
        <w:rPr>
          <w:rFonts w:asciiTheme="majorBidi" w:hAnsiTheme="majorBidi" w:cstheme="majorBidi"/>
          <w:szCs w:val="24"/>
          <w:lang w:val="fr-CH"/>
        </w:rPr>
        <w:tab/>
        <w:t xml:space="preserve">En quoi le recours à des agents intelligents et à des technologies connexes pourrait faciliter le développement et l'utilisation de systèmes et de services </w:t>
      </w:r>
      <w:proofErr w:type="gramStart"/>
      <w:r>
        <w:rPr>
          <w:rFonts w:asciiTheme="majorBidi" w:hAnsiTheme="majorBidi" w:cstheme="majorBidi"/>
          <w:szCs w:val="24"/>
          <w:lang w:val="fr-CH"/>
        </w:rPr>
        <w:t>d'accès?</w:t>
      </w:r>
      <w:proofErr w:type="gramEnd"/>
    </w:p>
    <w:p w14:paraId="31CB3B45" w14:textId="77777777" w:rsidR="00B250CA" w:rsidRDefault="00B250CA" w:rsidP="00B250CA">
      <w:pPr>
        <w:tabs>
          <w:tab w:val="left" w:pos="851"/>
        </w:tabs>
        <w:jc w:val="both"/>
        <w:rPr>
          <w:rFonts w:asciiTheme="majorBidi" w:hAnsiTheme="majorBidi" w:cstheme="majorBidi"/>
          <w:szCs w:val="24"/>
          <w:lang w:val="fr-CH"/>
        </w:rPr>
      </w:pPr>
      <w:r>
        <w:rPr>
          <w:rFonts w:asciiTheme="majorBidi" w:hAnsiTheme="majorBidi" w:cstheme="majorBidi"/>
          <w:szCs w:val="24"/>
          <w:lang w:val="fr-CH"/>
        </w:rPr>
        <w:t>7</w:t>
      </w:r>
      <w:r>
        <w:rPr>
          <w:rFonts w:asciiTheme="majorBidi" w:hAnsiTheme="majorBidi" w:cstheme="majorBidi"/>
          <w:szCs w:val="24"/>
          <w:lang w:val="fr-CH"/>
        </w:rPr>
        <w:tab/>
        <w:t xml:space="preserve">Quelles technologies pourraient être utilisées pour améliorer la compréhension du contenu des supports de radiodiffusion pour les personnes ayant des capacités </w:t>
      </w:r>
      <w:proofErr w:type="gramStart"/>
      <w:r>
        <w:rPr>
          <w:rFonts w:asciiTheme="majorBidi" w:hAnsiTheme="majorBidi" w:cstheme="majorBidi"/>
          <w:szCs w:val="24"/>
          <w:lang w:val="fr-CH"/>
        </w:rPr>
        <w:t>différentes?</w:t>
      </w:r>
      <w:proofErr w:type="gramEnd"/>
    </w:p>
    <w:p w14:paraId="5CAD9C02" w14:textId="77777777" w:rsidR="00B250CA" w:rsidRDefault="00B250CA" w:rsidP="00B250CA">
      <w:pPr>
        <w:tabs>
          <w:tab w:val="left" w:pos="851"/>
        </w:tabs>
        <w:jc w:val="both"/>
        <w:rPr>
          <w:rFonts w:asciiTheme="majorBidi" w:hAnsiTheme="majorBidi" w:cstheme="majorBidi"/>
          <w:szCs w:val="24"/>
          <w:lang w:val="fr-CH"/>
        </w:rPr>
      </w:pPr>
      <w:r>
        <w:rPr>
          <w:rFonts w:asciiTheme="majorBidi" w:hAnsiTheme="majorBidi" w:cstheme="majorBidi"/>
          <w:szCs w:val="24"/>
          <w:lang w:val="fr-CH"/>
        </w:rPr>
        <w:t>8</w:t>
      </w:r>
      <w:r>
        <w:rPr>
          <w:rFonts w:asciiTheme="majorBidi" w:hAnsiTheme="majorBidi" w:cstheme="majorBidi"/>
          <w:szCs w:val="24"/>
          <w:lang w:val="fr-CH"/>
        </w:rPr>
        <w:tab/>
        <w:t xml:space="preserve">Quels sont les meilleures solutions pour permettre à une personne ayant des capacités différentes (vision, audition, motricité) de participer aux contenus des programmes </w:t>
      </w:r>
      <w:proofErr w:type="gramStart"/>
      <w:r>
        <w:rPr>
          <w:rFonts w:asciiTheme="majorBidi" w:hAnsiTheme="majorBidi" w:cstheme="majorBidi"/>
          <w:szCs w:val="24"/>
          <w:lang w:val="fr-CH"/>
        </w:rPr>
        <w:t>interactifs?</w:t>
      </w:r>
      <w:proofErr w:type="gramEnd"/>
    </w:p>
    <w:p w14:paraId="0B46DFAE" w14:textId="77777777" w:rsidR="00B250CA" w:rsidRDefault="00B250CA" w:rsidP="00B250CA">
      <w:pPr>
        <w:keepNext/>
        <w:keepLines/>
        <w:tabs>
          <w:tab w:val="left" w:pos="851"/>
        </w:tabs>
        <w:ind w:left="851"/>
        <w:jc w:val="both"/>
        <w:rPr>
          <w:rFonts w:asciiTheme="majorBidi" w:hAnsiTheme="majorBidi" w:cstheme="majorBidi"/>
          <w:i/>
          <w:szCs w:val="24"/>
          <w:lang w:val="fr-CH"/>
        </w:rPr>
      </w:pPr>
      <w:proofErr w:type="gramStart"/>
      <w:r>
        <w:rPr>
          <w:rFonts w:asciiTheme="majorBidi" w:hAnsiTheme="majorBidi" w:cstheme="majorBidi"/>
          <w:i/>
          <w:szCs w:val="24"/>
          <w:lang w:val="fr-CH"/>
        </w:rPr>
        <w:t>décide</w:t>
      </w:r>
      <w:proofErr w:type="gramEnd"/>
      <w:r>
        <w:rPr>
          <w:rFonts w:asciiTheme="majorBidi" w:hAnsiTheme="majorBidi" w:cstheme="majorBidi"/>
          <w:i/>
          <w:szCs w:val="24"/>
          <w:lang w:val="fr-CH"/>
        </w:rPr>
        <w:t xml:space="preserve"> en outre</w:t>
      </w:r>
    </w:p>
    <w:p w14:paraId="38FFDFB7" w14:textId="77777777" w:rsidR="00B250CA" w:rsidRDefault="00B250CA" w:rsidP="00B250CA">
      <w:pPr>
        <w:jc w:val="both"/>
        <w:rPr>
          <w:rFonts w:asciiTheme="majorBidi" w:hAnsiTheme="majorBidi" w:cstheme="majorBidi"/>
          <w:szCs w:val="24"/>
          <w:lang w:val="fr-CH"/>
        </w:rPr>
      </w:pPr>
      <w:r>
        <w:rPr>
          <w:rFonts w:asciiTheme="majorBidi" w:hAnsiTheme="majorBidi" w:cstheme="majorBidi"/>
          <w:bCs/>
          <w:szCs w:val="24"/>
          <w:lang w:val="fr-CH"/>
        </w:rPr>
        <w:t>1</w:t>
      </w:r>
      <w:r>
        <w:rPr>
          <w:rFonts w:asciiTheme="majorBidi" w:hAnsiTheme="majorBidi" w:cstheme="majorBidi"/>
          <w:szCs w:val="24"/>
          <w:lang w:val="fr-CH"/>
        </w:rPr>
        <w:tab/>
        <w:t xml:space="preserve">que les résultats des études susmentionnées devraient être inclus dans une ou plusieurs Recommandations et/ou un ou plusieurs </w:t>
      </w:r>
      <w:proofErr w:type="gramStart"/>
      <w:r>
        <w:rPr>
          <w:rFonts w:asciiTheme="majorBidi" w:hAnsiTheme="majorBidi" w:cstheme="majorBidi"/>
          <w:szCs w:val="24"/>
          <w:lang w:val="fr-CH"/>
        </w:rPr>
        <w:t>Rapports;</w:t>
      </w:r>
      <w:proofErr w:type="gramEnd"/>
    </w:p>
    <w:p w14:paraId="4B365096" w14:textId="77777777" w:rsidR="00B250CA" w:rsidRDefault="00B250CA" w:rsidP="00B250CA">
      <w:pPr>
        <w:jc w:val="both"/>
        <w:rPr>
          <w:rFonts w:asciiTheme="majorBidi" w:hAnsiTheme="majorBidi" w:cstheme="majorBidi"/>
          <w:szCs w:val="24"/>
          <w:lang w:val="fr-CH" w:eastAsia="ja-JP"/>
        </w:rPr>
      </w:pPr>
      <w:r>
        <w:rPr>
          <w:rFonts w:asciiTheme="majorBidi" w:hAnsiTheme="majorBidi" w:cstheme="majorBidi"/>
          <w:bCs/>
          <w:szCs w:val="24"/>
          <w:lang w:val="fr-CH"/>
        </w:rPr>
        <w:t>2</w:t>
      </w:r>
      <w:r>
        <w:rPr>
          <w:rFonts w:asciiTheme="majorBidi" w:hAnsiTheme="majorBidi" w:cstheme="majorBidi"/>
          <w:szCs w:val="24"/>
          <w:lang w:val="fr-CH"/>
        </w:rPr>
        <w:tab/>
        <w:t>que ces études devraient être achevées d'ici à 2027.</w:t>
      </w:r>
    </w:p>
    <w:p w14:paraId="6F83AD42" w14:textId="205F0B47" w:rsidR="00BA3F70" w:rsidRPr="00075D61" w:rsidRDefault="00B250CA" w:rsidP="00B250CA">
      <w:pPr>
        <w:spacing w:before="480"/>
        <w:jc w:val="both"/>
      </w:pPr>
      <w:proofErr w:type="gramStart"/>
      <w:r>
        <w:rPr>
          <w:rFonts w:asciiTheme="majorBidi" w:hAnsiTheme="majorBidi" w:cstheme="majorBidi"/>
          <w:szCs w:val="24"/>
          <w:lang w:val="fr-CH" w:eastAsia="ja-JP"/>
        </w:rPr>
        <w:t>Catégorie:</w:t>
      </w:r>
      <w:proofErr w:type="gramEnd"/>
      <w:r>
        <w:rPr>
          <w:rFonts w:asciiTheme="majorBidi" w:hAnsiTheme="majorBidi" w:cstheme="majorBidi"/>
          <w:szCs w:val="24"/>
          <w:lang w:val="fr-CH" w:eastAsia="ja-JP"/>
        </w:rPr>
        <w:t xml:space="preserve"> S2</w:t>
      </w:r>
      <w:r>
        <w:rPr>
          <w:rFonts w:asciiTheme="majorBidi" w:hAnsiTheme="majorBidi" w:cstheme="majorBidi"/>
          <w:szCs w:val="24"/>
          <w:lang w:val="fr-CH" w:eastAsia="zh-CN"/>
        </w:rPr>
        <w:t xml:space="preserve"> </w:t>
      </w:r>
    </w:p>
    <w:sectPr w:rsidR="00BA3F70" w:rsidRPr="00075D61" w:rsidSect="00D02712">
      <w:headerReference w:type="default" r:id="rId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6A08B" w14:textId="77777777" w:rsidR="00D44C89" w:rsidRDefault="00D44C89">
      <w:r>
        <w:separator/>
      </w:r>
    </w:p>
  </w:endnote>
  <w:endnote w:type="continuationSeparator" w:id="0">
    <w:p w14:paraId="67F94675" w14:textId="77777777" w:rsidR="00D44C89" w:rsidRDefault="00D4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2B306" w14:textId="77777777" w:rsidR="00D44C89" w:rsidRDefault="00D44C89">
      <w:r>
        <w:t>____________________</w:t>
      </w:r>
    </w:p>
  </w:footnote>
  <w:footnote w:type="continuationSeparator" w:id="0">
    <w:p w14:paraId="7352F219" w14:textId="77777777" w:rsidR="00D44C89" w:rsidRDefault="00D44C89">
      <w:r>
        <w:continuationSeparator/>
      </w:r>
    </w:p>
  </w:footnote>
  <w:footnote w:id="1">
    <w:p w14:paraId="0E71C7A8" w14:textId="77777777" w:rsidR="00B250CA" w:rsidRDefault="00B250CA" w:rsidP="00B250CA">
      <w:pPr>
        <w:pStyle w:val="FootnoteText"/>
        <w:ind w:left="255" w:hanging="255"/>
        <w:jc w:val="both"/>
        <w:rPr>
          <w:rFonts w:asciiTheme="majorBidi" w:hAnsiTheme="majorBidi" w:cstheme="majorBidi"/>
          <w:szCs w:val="28"/>
          <w:lang w:val="fr-CH"/>
        </w:rPr>
      </w:pPr>
      <w:r>
        <w:rPr>
          <w:rStyle w:val="FootnoteReference"/>
          <w:rFonts w:asciiTheme="majorBidi" w:hAnsiTheme="majorBidi" w:cstheme="majorBidi"/>
        </w:rPr>
        <w:footnoteRef/>
      </w:r>
      <w:r>
        <w:rPr>
          <w:rFonts w:asciiTheme="majorBidi" w:hAnsiTheme="majorBidi" w:cstheme="majorBidi"/>
          <w:lang w:val="fr-CH"/>
        </w:rPr>
        <w:t xml:space="preserve"> </w:t>
      </w:r>
      <w:r>
        <w:rPr>
          <w:lang w:val="fr-CH"/>
        </w:rPr>
        <w:tab/>
      </w:r>
      <w:r>
        <w:rPr>
          <w:rFonts w:asciiTheme="majorBidi" w:hAnsiTheme="majorBidi" w:cstheme="majorBidi"/>
          <w:szCs w:val="28"/>
          <w:lang w:val="fr-CH"/>
        </w:rPr>
        <w:t>Cette Question doit être portée à l’attention des ISO/IEC JTC1/SC35, IRG-AVA, Commissions d’études 9 et 16 de l’UIT-T.</w:t>
      </w:r>
    </w:p>
  </w:footnote>
  <w:footnote w:id="2">
    <w:p w14:paraId="3E051E05" w14:textId="77777777" w:rsidR="00B250CA" w:rsidRDefault="00B250CA" w:rsidP="00B250CA">
      <w:pPr>
        <w:pStyle w:val="FootnoteText"/>
        <w:ind w:left="255" w:hanging="255"/>
        <w:jc w:val="both"/>
        <w:rPr>
          <w:szCs w:val="32"/>
          <w:lang w:val="fr-FR"/>
        </w:rPr>
      </w:pPr>
      <w:r>
        <w:rPr>
          <w:rStyle w:val="FootnoteReference"/>
        </w:rPr>
        <w:footnoteRef/>
      </w:r>
      <w:r>
        <w:rPr>
          <w:lang w:val="fr-FR"/>
        </w:rPr>
        <w:t xml:space="preserve"> </w:t>
      </w:r>
      <w:r>
        <w:rPr>
          <w:lang w:val="fr-FR"/>
        </w:rPr>
        <w:tab/>
      </w:r>
      <w:bookmarkStart w:id="0" w:name="_Hlk138256676"/>
      <w:r>
        <w:rPr>
          <w:rFonts w:asciiTheme="majorBidi" w:hAnsiTheme="majorBidi" w:cstheme="majorBidi"/>
          <w:szCs w:val="32"/>
          <w:lang w:val="fr-CH"/>
        </w:rPr>
        <w:t xml:space="preserve">En 2023, la Commission d'études </w:t>
      </w:r>
      <w:r>
        <w:rPr>
          <w:rFonts w:asciiTheme="majorBidi" w:eastAsia="Arial Unicode MS" w:hAnsiTheme="majorBidi" w:cstheme="majorBidi"/>
          <w:szCs w:val="28"/>
          <w:lang w:val="fr-FR"/>
        </w:rPr>
        <w:t>6</w:t>
      </w:r>
      <w:r>
        <w:rPr>
          <w:rFonts w:asciiTheme="majorBidi" w:hAnsiTheme="majorBidi" w:cstheme="majorBidi"/>
          <w:szCs w:val="32"/>
          <w:lang w:val="fr-CH"/>
        </w:rPr>
        <w:t xml:space="preserve"> des radiocommunications a repoussé la date d'achèvement des études au titre de cette Question.</w:t>
      </w:r>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C38E"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s-ES" w:vendorID="64" w:dllVersion="0" w:nlCheck="1" w:checkStyle="0"/>
  <w:activeWritingStyle w:appName="MSWord" w:lang="es-ES_tradnl"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C89"/>
    <w:rsid w:val="000069D4"/>
    <w:rsid w:val="000174AD"/>
    <w:rsid w:val="00047A1D"/>
    <w:rsid w:val="000604B9"/>
    <w:rsid w:val="00075D61"/>
    <w:rsid w:val="000A7D55"/>
    <w:rsid w:val="000C12C8"/>
    <w:rsid w:val="000C2E8E"/>
    <w:rsid w:val="000E0E7C"/>
    <w:rsid w:val="000F1B4B"/>
    <w:rsid w:val="0012744F"/>
    <w:rsid w:val="00131178"/>
    <w:rsid w:val="00156F66"/>
    <w:rsid w:val="00163271"/>
    <w:rsid w:val="001658F8"/>
    <w:rsid w:val="00172122"/>
    <w:rsid w:val="00182528"/>
    <w:rsid w:val="0018500B"/>
    <w:rsid w:val="00196A19"/>
    <w:rsid w:val="00202DC1"/>
    <w:rsid w:val="002116EE"/>
    <w:rsid w:val="002309D8"/>
    <w:rsid w:val="002845CC"/>
    <w:rsid w:val="002A7FE2"/>
    <w:rsid w:val="002E1B4F"/>
    <w:rsid w:val="002F2E67"/>
    <w:rsid w:val="002F7CB3"/>
    <w:rsid w:val="00315546"/>
    <w:rsid w:val="00330567"/>
    <w:rsid w:val="00386A9D"/>
    <w:rsid w:val="00391081"/>
    <w:rsid w:val="003B2789"/>
    <w:rsid w:val="003C13CE"/>
    <w:rsid w:val="003C697E"/>
    <w:rsid w:val="003E2518"/>
    <w:rsid w:val="003E7CEF"/>
    <w:rsid w:val="00493BC7"/>
    <w:rsid w:val="004B1EF7"/>
    <w:rsid w:val="004B3FAD"/>
    <w:rsid w:val="004C5749"/>
    <w:rsid w:val="00501DCA"/>
    <w:rsid w:val="00513A47"/>
    <w:rsid w:val="00525812"/>
    <w:rsid w:val="005408DF"/>
    <w:rsid w:val="00573344"/>
    <w:rsid w:val="00583F9B"/>
    <w:rsid w:val="005B0D29"/>
    <w:rsid w:val="005E5C10"/>
    <w:rsid w:val="005F2C78"/>
    <w:rsid w:val="006144E4"/>
    <w:rsid w:val="00650299"/>
    <w:rsid w:val="00655FC5"/>
    <w:rsid w:val="00803F21"/>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185B"/>
    <w:rsid w:val="009C2064"/>
    <w:rsid w:val="009D1697"/>
    <w:rsid w:val="009F3A46"/>
    <w:rsid w:val="009F6520"/>
    <w:rsid w:val="00A014F8"/>
    <w:rsid w:val="00A5173C"/>
    <w:rsid w:val="00A61AEF"/>
    <w:rsid w:val="00AD2345"/>
    <w:rsid w:val="00AF173A"/>
    <w:rsid w:val="00B024F4"/>
    <w:rsid w:val="00B066A4"/>
    <w:rsid w:val="00B07A13"/>
    <w:rsid w:val="00B250CA"/>
    <w:rsid w:val="00B4279B"/>
    <w:rsid w:val="00B45FC9"/>
    <w:rsid w:val="00B76F35"/>
    <w:rsid w:val="00B81138"/>
    <w:rsid w:val="00BA3F70"/>
    <w:rsid w:val="00BC7CCF"/>
    <w:rsid w:val="00BE470B"/>
    <w:rsid w:val="00C51A49"/>
    <w:rsid w:val="00C57A91"/>
    <w:rsid w:val="00CC01C2"/>
    <w:rsid w:val="00CF21F2"/>
    <w:rsid w:val="00D02712"/>
    <w:rsid w:val="00D046A7"/>
    <w:rsid w:val="00D214D0"/>
    <w:rsid w:val="00D44C89"/>
    <w:rsid w:val="00D6546B"/>
    <w:rsid w:val="00DB178B"/>
    <w:rsid w:val="00DC17D3"/>
    <w:rsid w:val="00DD4BED"/>
    <w:rsid w:val="00DE39F0"/>
    <w:rsid w:val="00DF0AF3"/>
    <w:rsid w:val="00DF7E9F"/>
    <w:rsid w:val="00E27D7E"/>
    <w:rsid w:val="00E42E13"/>
    <w:rsid w:val="00E56D5C"/>
    <w:rsid w:val="00E6257C"/>
    <w:rsid w:val="00E63C59"/>
    <w:rsid w:val="00ED171F"/>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2B3367"/>
  <w15:docId w15:val="{490CF89B-1933-419C-9951-567433CB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9C185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link w:val="QuestiontitleChar"/>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NormalaftertitleChar">
    <w:name w:val="Normal_after_title Char"/>
    <w:basedOn w:val="DefaultParagraphFont"/>
    <w:link w:val="Normalaftertitle"/>
    <w:locked/>
    <w:rsid w:val="00B024F4"/>
    <w:rPr>
      <w:rFonts w:ascii="Times New Roman" w:hAnsi="Times New Roman"/>
      <w:sz w:val="24"/>
      <w:lang w:val="en-GB" w:eastAsia="en-US"/>
    </w:rPr>
  </w:style>
  <w:style w:type="character" w:customStyle="1" w:styleId="CallChar">
    <w:name w:val="Call Char"/>
    <w:basedOn w:val="DefaultParagraphFont"/>
    <w:link w:val="Call"/>
    <w:locked/>
    <w:rsid w:val="00B024F4"/>
    <w:rPr>
      <w:rFonts w:ascii="Times New Roman" w:hAnsi="Times New Roman"/>
      <w:i/>
      <w:sz w:val="24"/>
      <w:lang w:val="en-GB" w:eastAsia="en-US"/>
    </w:rPr>
  </w:style>
  <w:style w:type="character" w:customStyle="1" w:styleId="QuestiontitleChar">
    <w:name w:val="Question_title Char"/>
    <w:basedOn w:val="DefaultParagraphFont"/>
    <w:link w:val="Questiontitle"/>
    <w:locked/>
    <w:rsid w:val="00B024F4"/>
    <w:rPr>
      <w:rFonts w:ascii="Times New Roman Bold" w:hAnsi="Times New Roman Bold"/>
      <w:b/>
      <w:sz w:val="28"/>
      <w:lang w:val="en-GB" w:eastAsia="en-US"/>
    </w:rPr>
  </w:style>
  <w:style w:type="character" w:customStyle="1" w:styleId="QuestionNoBRChar">
    <w:name w:val="Question_No_BR Char"/>
    <w:basedOn w:val="DefaultParagraphFont"/>
    <w:link w:val="QuestionNoBR"/>
    <w:locked/>
    <w:rsid w:val="00B024F4"/>
    <w:rPr>
      <w:rFonts w:ascii="Times New Roman" w:hAnsi="Times New Roman"/>
      <w:caps/>
      <w:sz w:val="28"/>
      <w:lang w:val="es-ES_tradnl" w:eastAsia="en-US"/>
    </w:rPr>
  </w:style>
  <w:style w:type="paragraph" w:customStyle="1" w:styleId="QuestionNoBR">
    <w:name w:val="Question_No_BR"/>
    <w:basedOn w:val="Normal"/>
    <w:next w:val="Normal"/>
    <w:link w:val="QuestionNoBRChar"/>
    <w:rsid w:val="00B024F4"/>
    <w:pPr>
      <w:keepNext/>
      <w:keepLines/>
      <w:tabs>
        <w:tab w:val="clear" w:pos="1134"/>
        <w:tab w:val="clear" w:pos="1871"/>
        <w:tab w:val="clear" w:pos="2268"/>
        <w:tab w:val="left" w:pos="794"/>
        <w:tab w:val="left" w:pos="1191"/>
        <w:tab w:val="left" w:pos="1588"/>
        <w:tab w:val="left" w:pos="1985"/>
      </w:tabs>
      <w:spacing w:before="480"/>
      <w:jc w:val="center"/>
      <w:textAlignment w:val="auto"/>
    </w:pPr>
    <w:rPr>
      <w:caps/>
      <w:sz w:val="28"/>
      <w:lang w:val="es-ES_tradnl"/>
    </w:rPr>
  </w:style>
  <w:style w:type="paragraph" w:customStyle="1" w:styleId="call0">
    <w:name w:val="call"/>
    <w:basedOn w:val="Normal"/>
    <w:next w:val="Normal"/>
    <w:rsid w:val="00B250CA"/>
    <w:pPr>
      <w:keepNext/>
      <w:keepLines/>
      <w:tabs>
        <w:tab w:val="clear" w:pos="1134"/>
        <w:tab w:val="clear" w:pos="1871"/>
        <w:tab w:val="clear" w:pos="2268"/>
        <w:tab w:val="left" w:pos="794"/>
        <w:tab w:val="left" w:pos="1191"/>
        <w:tab w:val="left" w:pos="1588"/>
        <w:tab w:val="left" w:pos="1985"/>
      </w:tabs>
      <w:overflowPunct/>
      <w:autoSpaceDE/>
      <w:autoSpaceDN/>
      <w:adjustRightInd/>
      <w:spacing w:before="160"/>
      <w:ind w:left="794"/>
      <w:textAlignment w:val="auto"/>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626630">
      <w:bodyDiv w:val="1"/>
      <w:marLeft w:val="0"/>
      <w:marRight w:val="0"/>
      <w:marTop w:val="0"/>
      <w:marBottom w:val="0"/>
      <w:divBdr>
        <w:top w:val="none" w:sz="0" w:space="0" w:color="auto"/>
        <w:left w:val="none" w:sz="0" w:space="0" w:color="auto"/>
        <w:bottom w:val="none" w:sz="0" w:space="0" w:color="auto"/>
        <w:right w:val="none" w:sz="0" w:space="0" w:color="auto"/>
      </w:divBdr>
    </w:div>
    <w:div w:id="1316453879">
      <w:bodyDiv w:val="1"/>
      <w:marLeft w:val="0"/>
      <w:marRight w:val="0"/>
      <w:marTop w:val="0"/>
      <w:marBottom w:val="0"/>
      <w:divBdr>
        <w:top w:val="none" w:sz="0" w:space="0" w:color="auto"/>
        <w:left w:val="none" w:sz="0" w:space="0" w:color="auto"/>
        <w:bottom w:val="none" w:sz="0" w:space="0" w:color="auto"/>
        <w:right w:val="none" w:sz="0" w:space="0" w:color="auto"/>
      </w:divBdr>
    </w:div>
    <w:div w:id="147914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0</TotalTime>
  <Pages>2</Pages>
  <Words>543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Limousin</dc:creator>
  <cp:lastModifiedBy>BRSGD</cp:lastModifiedBy>
  <cp:revision>2</cp:revision>
  <cp:lastPrinted>2008-02-21T14:04:00Z</cp:lastPrinted>
  <dcterms:created xsi:type="dcterms:W3CDTF">2023-09-20T13:03:00Z</dcterms:created>
  <dcterms:modified xsi:type="dcterms:W3CDTF">2023-09-20T13:03:00Z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