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9F22" w14:textId="621F43B9" w:rsidR="00556614" w:rsidRDefault="00556614" w:rsidP="00556614">
      <w:pPr>
        <w:pStyle w:val="QuestionNo"/>
        <w:rPr>
          <w:rFonts w:cs="Traditional Arabic"/>
          <w:sz w:val="28"/>
          <w:lang w:eastAsia="en-US"/>
        </w:rPr>
      </w:pPr>
      <w:r>
        <w:rPr>
          <w:rtl/>
        </w:rPr>
        <w:t xml:space="preserve">المسألة </w:t>
      </w:r>
      <w:bookmarkStart w:id="0" w:name="_Hlk135925819"/>
      <w:r w:rsidR="00D56EEC" w:rsidRPr="0058778F">
        <w:rPr>
          <w:rStyle w:val="FootnoteReference"/>
          <w:rtl/>
        </w:rPr>
        <w:footnoteReference w:customMarkFollows="1" w:id="1"/>
        <w:sym w:font="Symbol" w:char="F02A"/>
      </w:r>
      <w:bookmarkEnd w:id="0"/>
      <w:r>
        <w:t>ITU-R 44-4/6</w:t>
      </w:r>
    </w:p>
    <w:p w14:paraId="121EB56B" w14:textId="77777777" w:rsidR="00556614" w:rsidRDefault="00556614" w:rsidP="00556614">
      <w:pPr>
        <w:pStyle w:val="Questiontitle"/>
        <w:rPr>
          <w:rFonts w:ascii="Times New Roman Bold" w:hAnsi="Times New Roman Bold"/>
          <w:bCs w:val="0"/>
          <w:rtl/>
          <w:lang w:bidi="ar-EG"/>
        </w:rPr>
      </w:pPr>
      <w:r>
        <w:rPr>
          <w:rtl/>
          <w:lang w:bidi="ar-EG"/>
        </w:rPr>
        <w:t xml:space="preserve">المعلمات الموضوعية لجودة </w:t>
      </w:r>
      <w:r w:rsidRPr="00FE7E90">
        <w:rPr>
          <w:rtl/>
        </w:rPr>
        <w:t>الصورة</w:t>
      </w:r>
      <w:r>
        <w:rPr>
          <w:rtl/>
          <w:lang w:bidi="ar-EG"/>
        </w:rPr>
        <w:t xml:space="preserve"> وطرائق القياس والمراقبة المرتبطة بها</w:t>
      </w:r>
      <w:r>
        <w:rPr>
          <w:rtl/>
          <w:lang w:bidi="ar-EG"/>
        </w:rPr>
        <w:br/>
        <w:t>بالنسبة للصور التلفزيونية الرقمية</w:t>
      </w:r>
    </w:p>
    <w:p w14:paraId="3F228A16" w14:textId="77777777" w:rsidR="00556614" w:rsidRPr="00556614" w:rsidRDefault="00556614" w:rsidP="00556614">
      <w:pPr>
        <w:pStyle w:val="Questiondate"/>
        <w:jc w:val="right"/>
        <w:rPr>
          <w:i/>
          <w:szCs w:val="30"/>
          <w:rtl/>
          <w:lang w:bidi="ar-EG"/>
        </w:rPr>
      </w:pPr>
      <w:r>
        <w:rPr>
          <w:lang w:bidi="ar-EG"/>
        </w:rPr>
        <w:t>(2011-2006-2005-2003-2002-1997-1996-1993-1990)</w:t>
      </w:r>
    </w:p>
    <w:p w14:paraId="2B183B05" w14:textId="77777777" w:rsidR="00556614" w:rsidRPr="00556614" w:rsidRDefault="00556614" w:rsidP="00556614">
      <w:pPr>
        <w:pStyle w:val="Normalaftertitle"/>
      </w:pPr>
      <w:r w:rsidRPr="00556614">
        <w:rPr>
          <w:rtl/>
        </w:rPr>
        <w:t>إن جمعية الاتصالات الراديوية للاتحاد الدولي للاتصالات،</w:t>
      </w:r>
    </w:p>
    <w:p w14:paraId="5B9CFE2A" w14:textId="77777777" w:rsidR="00556614" w:rsidRPr="00556614" w:rsidRDefault="00556614" w:rsidP="00556614">
      <w:pPr>
        <w:pStyle w:val="Call"/>
        <w:rPr>
          <w:rtl/>
        </w:rPr>
      </w:pPr>
      <w:r w:rsidRPr="00556614">
        <w:rPr>
          <w:rtl/>
        </w:rPr>
        <w:t>إذ تضع في اعتبارها</w:t>
      </w:r>
    </w:p>
    <w:p w14:paraId="30CF78CF" w14:textId="77777777" w:rsidR="00556614" w:rsidRPr="00556614" w:rsidRDefault="00556614" w:rsidP="00556614">
      <w:pPr>
        <w:rPr>
          <w:rtl/>
          <w:lang w:val="en-GB"/>
        </w:rPr>
      </w:pPr>
      <w:r w:rsidRPr="00B30402">
        <w:rPr>
          <w:i/>
          <w:iCs/>
          <w:rtl/>
        </w:rPr>
        <w:t xml:space="preserve"> </w:t>
      </w:r>
      <w:proofErr w:type="gramStart"/>
      <w:r w:rsidRPr="00B30402">
        <w:rPr>
          <w:i/>
          <w:iCs/>
          <w:rtl/>
        </w:rPr>
        <w:t>أ )</w:t>
      </w:r>
      <w:proofErr w:type="gramEnd"/>
      <w:r w:rsidRPr="00556614">
        <w:rPr>
          <w:rtl/>
        </w:rPr>
        <w:tab/>
        <w:t>أن تقدماً هائلاً قد أُحرز في مجال معايير التلفزيون الرقمي؛</w:t>
      </w:r>
    </w:p>
    <w:p w14:paraId="225A7817" w14:textId="77777777" w:rsidR="00556614" w:rsidRPr="00556614" w:rsidRDefault="00556614" w:rsidP="00556614">
      <w:pPr>
        <w:rPr>
          <w:rtl/>
        </w:rPr>
      </w:pPr>
      <w:r w:rsidRPr="00B30402">
        <w:rPr>
          <w:i/>
          <w:iCs/>
          <w:rtl/>
        </w:rPr>
        <w:t>ب)</w:t>
      </w:r>
      <w:r w:rsidRPr="00556614">
        <w:rPr>
          <w:rtl/>
        </w:rPr>
        <w:tab/>
        <w:t>أن لجنة دراسات قطاع الاتصالات الراديوية مسؤولة عن وضع السويات الإجمالية لجودة الأداء للقنوات الإذاعية؛</w:t>
      </w:r>
    </w:p>
    <w:p w14:paraId="03BDCA80" w14:textId="77777777" w:rsidR="00556614" w:rsidRPr="00556614" w:rsidRDefault="00556614" w:rsidP="00556614">
      <w:pPr>
        <w:rPr>
          <w:rtl/>
        </w:rPr>
      </w:pPr>
      <w:r w:rsidRPr="00B30402">
        <w:rPr>
          <w:i/>
          <w:iCs/>
          <w:rtl/>
        </w:rPr>
        <w:t>ج)</w:t>
      </w:r>
      <w:r w:rsidRPr="00556614">
        <w:rPr>
          <w:rtl/>
        </w:rPr>
        <w:tab/>
        <w:t>أن من الضروري، بالنسبة لأنظمة التلفزيون التي تتراوح من الأنظمة منخفضة الاستبانة</w:t>
      </w:r>
      <w:r w:rsidRPr="00556614">
        <w:rPr>
          <w:rtl/>
        </w:rPr>
        <w:footnoteReference w:id="2"/>
      </w:r>
      <w:r w:rsidRPr="00556614">
        <w:rPr>
          <w:rtl/>
        </w:rPr>
        <w:t xml:space="preserve"> ومروراً بالتلفزيون عادي الوضوح </w:t>
      </w:r>
      <w:r w:rsidRPr="00556614">
        <w:t>(SDTV)</w:t>
      </w:r>
      <w:r w:rsidRPr="00556614">
        <w:rPr>
          <w:rtl/>
        </w:rPr>
        <w:t xml:space="preserve"> إلى أنظمة الصور ذات الاستبانة العالية جداً </w:t>
      </w:r>
      <w:r w:rsidRPr="00556614">
        <w:t>(EHRI)</w:t>
      </w:r>
      <w:r w:rsidRPr="00556614">
        <w:rPr>
          <w:rtl/>
        </w:rPr>
        <w:t xml:space="preserve"> بما في ذلك تطبيقات معينة مثل البرمجة المتعددة وأنظمة المعلومات الفيديوية </w:t>
      </w:r>
      <w:r w:rsidRPr="00556614">
        <w:t>(VIS)</w:t>
      </w:r>
      <w:r w:rsidRPr="00556614">
        <w:rPr>
          <w:rtl/>
        </w:rPr>
        <w:t xml:space="preserve"> الرقمية متعددة الوسائط لأغراض المشاهدة الجماعية وداخل المباني وخارجها، أن تحدد معلمات موضوعية لجودة الصورة بالإضافة إلى طرائق القياس ومراقبة الأداء المرتبطة بها في بيئة الاستوديو وفي الإذاعة؛</w:t>
      </w:r>
    </w:p>
    <w:p w14:paraId="230E3032" w14:textId="77777777" w:rsidR="00556614" w:rsidRPr="00556614" w:rsidRDefault="00556614" w:rsidP="00556614">
      <w:pPr>
        <w:rPr>
          <w:rtl/>
        </w:rPr>
      </w:pPr>
      <w:proofErr w:type="gramStart"/>
      <w:r w:rsidRPr="00B30402">
        <w:rPr>
          <w:i/>
          <w:iCs/>
          <w:rtl/>
        </w:rPr>
        <w:t>د )</w:t>
      </w:r>
      <w:proofErr w:type="gramEnd"/>
      <w:r w:rsidRPr="00556614">
        <w:rPr>
          <w:rtl/>
        </w:rPr>
        <w:tab/>
        <w:t>أن تكنولوجيا العرض، بما فيها العروض الثابتة من حيث عدد وحدات بيكسل، تخضع لمعالجة رقمية مسبقة قد تجلب معها شوائب غير متوقعة، مثل تعديل مقياس البيكسل وتعويض معدل التباين وتصحيح قياس عناصر الألوان وغير ذلك؛</w:t>
      </w:r>
    </w:p>
    <w:p w14:paraId="725BC1A2" w14:textId="77777777" w:rsidR="00556614" w:rsidRPr="00AC2983" w:rsidRDefault="00556614" w:rsidP="00556614">
      <w:pPr>
        <w:rPr>
          <w:rtl/>
        </w:rPr>
      </w:pPr>
      <w:proofErr w:type="gramStart"/>
      <w:r w:rsidRPr="00B30402">
        <w:rPr>
          <w:i/>
          <w:iCs/>
          <w:rtl/>
        </w:rPr>
        <w:t>ﻫ )</w:t>
      </w:r>
      <w:proofErr w:type="gramEnd"/>
      <w:r w:rsidRPr="00556614">
        <w:rPr>
          <w:rtl/>
        </w:rPr>
        <w:tab/>
      </w:r>
      <w:r w:rsidRPr="00AC2983">
        <w:rPr>
          <w:spacing w:val="-6"/>
          <w:rtl/>
        </w:rPr>
        <w:t>أن من المفيد لو أمكن توحيد طرائق القياس المستخدمة لمثل هذه المهام بالنسبة للتلفزيون </w:t>
      </w:r>
      <w:r w:rsidRPr="00AC2983">
        <w:rPr>
          <w:spacing w:val="-6"/>
        </w:rPr>
        <w:t>SDTV</w:t>
      </w:r>
      <w:r w:rsidRPr="00AC2983">
        <w:rPr>
          <w:spacing w:val="-6"/>
          <w:rtl/>
        </w:rPr>
        <w:t xml:space="preserve"> والتلفزيون </w:t>
      </w:r>
      <w:r w:rsidRPr="00AC2983">
        <w:rPr>
          <w:spacing w:val="-6"/>
        </w:rPr>
        <w:t>HDTV</w:t>
      </w:r>
      <w:r w:rsidRPr="00AC2983">
        <w:rPr>
          <w:spacing w:val="-6"/>
          <w:rtl/>
        </w:rPr>
        <w:t xml:space="preserve"> </w:t>
      </w:r>
      <w:r w:rsidRPr="00AC2983">
        <w:rPr>
          <w:rtl/>
        </w:rPr>
        <w:t>والأنظمة منخفضة الاستبانة؛</w:t>
      </w:r>
    </w:p>
    <w:p w14:paraId="45204B07" w14:textId="77777777" w:rsidR="00556614" w:rsidRPr="00556614" w:rsidRDefault="00556614" w:rsidP="00556614">
      <w:pPr>
        <w:rPr>
          <w:rtl/>
        </w:rPr>
      </w:pPr>
      <w:proofErr w:type="gramStart"/>
      <w:r w:rsidRPr="00B30402">
        <w:rPr>
          <w:i/>
          <w:iCs/>
          <w:rtl/>
        </w:rPr>
        <w:t>و )</w:t>
      </w:r>
      <w:proofErr w:type="gramEnd"/>
      <w:r w:rsidRPr="00556614">
        <w:rPr>
          <w:rtl/>
        </w:rPr>
        <w:tab/>
        <w:t>أن أحوال انحطاط الصور التلفزيونية يمكن البرهان على أنها مرتبطة بملامح قابلة للقياس للإشارات؛</w:t>
      </w:r>
    </w:p>
    <w:p w14:paraId="02EB2A08" w14:textId="77777777" w:rsidR="00556614" w:rsidRPr="00556614" w:rsidRDefault="00556614" w:rsidP="00556614">
      <w:pPr>
        <w:rPr>
          <w:rtl/>
        </w:rPr>
      </w:pPr>
      <w:proofErr w:type="gramStart"/>
      <w:r w:rsidRPr="00B30402">
        <w:rPr>
          <w:i/>
          <w:iCs/>
          <w:rtl/>
        </w:rPr>
        <w:t>ز )</w:t>
      </w:r>
      <w:proofErr w:type="gramEnd"/>
      <w:r w:rsidRPr="00556614">
        <w:rPr>
          <w:rtl/>
        </w:rPr>
        <w:tab/>
        <w:t>أن الجودة الإجمالية للصورة مرتبطة بمجموع أحوال الانحطاط كلها؛</w:t>
      </w:r>
    </w:p>
    <w:p w14:paraId="12B82A42" w14:textId="77777777" w:rsidR="00556614" w:rsidRPr="00556614" w:rsidRDefault="00556614" w:rsidP="00556614">
      <w:pPr>
        <w:rPr>
          <w:rtl/>
        </w:rPr>
      </w:pPr>
      <w:r w:rsidRPr="00B30402">
        <w:rPr>
          <w:i/>
          <w:iCs/>
          <w:rtl/>
        </w:rPr>
        <w:t>ح)</w:t>
      </w:r>
      <w:r w:rsidRPr="00556614">
        <w:rPr>
          <w:rtl/>
        </w:rPr>
        <w:tab/>
        <w:t>أن التطورات في مجال الخصائص الإحصائية للصور التلفزيونية وعملية نمذجة نظام الرؤية البشري قد تؤدي إلى الاستعاضة عن التقييم الوضعي بقياس موضوعي في بعض التطبيقات؛</w:t>
      </w:r>
    </w:p>
    <w:p w14:paraId="3E39E60B" w14:textId="77777777" w:rsidR="00556614" w:rsidRPr="00556614" w:rsidRDefault="00556614" w:rsidP="00556614">
      <w:pPr>
        <w:rPr>
          <w:rtl/>
        </w:rPr>
      </w:pPr>
      <w:r w:rsidRPr="00B30402">
        <w:rPr>
          <w:i/>
          <w:iCs/>
          <w:rtl/>
        </w:rPr>
        <w:t>ط)</w:t>
      </w:r>
      <w:r w:rsidRPr="00556614">
        <w:rPr>
          <w:rtl/>
        </w:rPr>
        <w:tab/>
        <w:t xml:space="preserve">أن من الضروري في حالة التلفزيون الرقمي بصفة خاصة تقييم أداء طرائق تخفيض معدل </w:t>
      </w:r>
      <w:proofErr w:type="gramStart"/>
      <w:r w:rsidRPr="00556614">
        <w:rPr>
          <w:rtl/>
        </w:rPr>
        <w:t>البتات</w:t>
      </w:r>
      <w:proofErr w:type="gramEnd"/>
      <w:r w:rsidRPr="00556614">
        <w:rPr>
          <w:rtl/>
        </w:rPr>
        <w:t xml:space="preserve"> من حيث المعلمات الوضعية والموضوعية على السواء؛</w:t>
      </w:r>
    </w:p>
    <w:p w14:paraId="4E3B0A17" w14:textId="77777777" w:rsidR="00556614" w:rsidRPr="00556614" w:rsidRDefault="00556614" w:rsidP="00556614">
      <w:pPr>
        <w:rPr>
          <w:rtl/>
        </w:rPr>
      </w:pPr>
      <w:r w:rsidRPr="00B30402">
        <w:rPr>
          <w:i/>
          <w:iCs/>
          <w:rtl/>
        </w:rPr>
        <w:t>ي)</w:t>
      </w:r>
      <w:r w:rsidRPr="00556614">
        <w:rPr>
          <w:rtl/>
        </w:rPr>
        <w:tab/>
        <w:t>أن قياس الأداء يتطلب مواد وطرائق اختبار معيارية متفقاً عليها تعتمد على الصور المتحركة والساكنة؛</w:t>
      </w:r>
    </w:p>
    <w:p w14:paraId="49FEE2E1" w14:textId="77777777" w:rsidR="00556614" w:rsidRPr="00556614" w:rsidRDefault="00556614" w:rsidP="00556614">
      <w:pPr>
        <w:rPr>
          <w:rtl/>
        </w:rPr>
      </w:pPr>
      <w:r w:rsidRPr="00B30402">
        <w:rPr>
          <w:i/>
          <w:iCs/>
          <w:rtl/>
        </w:rPr>
        <w:t>ك)</w:t>
      </w:r>
      <w:r w:rsidRPr="00556614">
        <w:rPr>
          <w:rtl/>
        </w:rPr>
        <w:tab/>
        <w:t xml:space="preserve">أن عملية التخليط المستخدَمة في الإذاعة مشروطة النفاذ قد تتطلب اتخاذ خطوات خاصة حيث يتعين اللجوء إلى تخفيض معدل </w:t>
      </w:r>
      <w:proofErr w:type="gramStart"/>
      <w:r w:rsidRPr="00556614">
        <w:rPr>
          <w:rtl/>
        </w:rPr>
        <w:t>البتات</w:t>
      </w:r>
      <w:proofErr w:type="gramEnd"/>
      <w:r w:rsidRPr="00556614">
        <w:rPr>
          <w:rtl/>
        </w:rPr>
        <w:t>؛</w:t>
      </w:r>
    </w:p>
    <w:p w14:paraId="5252B95D" w14:textId="77777777" w:rsidR="00556614" w:rsidRPr="00556614" w:rsidRDefault="00556614" w:rsidP="00556614">
      <w:pPr>
        <w:rPr>
          <w:rtl/>
        </w:rPr>
      </w:pPr>
      <w:r w:rsidRPr="00B30402">
        <w:rPr>
          <w:i/>
          <w:iCs/>
          <w:rtl/>
        </w:rPr>
        <w:t>ل)</w:t>
      </w:r>
      <w:r w:rsidRPr="00556614">
        <w:rPr>
          <w:rtl/>
        </w:rPr>
        <w:tab/>
        <w:t>أن الأمر يحتاج إلى استمرار تقييم ومراقبة الجودة (بما في ذلك الاستبانة الدينامية)؛</w:t>
      </w:r>
    </w:p>
    <w:p w14:paraId="4A9E06A4" w14:textId="77777777" w:rsidR="00556614" w:rsidRPr="00556614" w:rsidRDefault="00556614" w:rsidP="00556614">
      <w:pPr>
        <w:rPr>
          <w:rtl/>
        </w:rPr>
      </w:pPr>
      <w:r w:rsidRPr="00B30402">
        <w:rPr>
          <w:i/>
          <w:iCs/>
          <w:rtl/>
        </w:rPr>
        <w:t>م)</w:t>
      </w:r>
      <w:r w:rsidRPr="00556614">
        <w:rPr>
          <w:rtl/>
        </w:rPr>
        <w:tab/>
        <w:t>أن ظروف المشاهدة تختلف بالنسبة للتطبيقات خارج المباني وداخلها،</w:t>
      </w:r>
    </w:p>
    <w:p w14:paraId="2B71A3F6" w14:textId="39C9CF4D" w:rsidR="00556614" w:rsidRPr="00632824" w:rsidRDefault="00556614" w:rsidP="00556614">
      <w:pPr>
        <w:pStyle w:val="Call"/>
        <w:rPr>
          <w:i w:val="0"/>
          <w:iCs w:val="0"/>
          <w:rtl/>
        </w:rPr>
      </w:pPr>
      <w:r w:rsidRPr="00BA2D4F">
        <w:rPr>
          <w:rtl/>
        </w:rPr>
        <w:t xml:space="preserve">تقرر </w:t>
      </w:r>
      <w:r w:rsidR="00537078" w:rsidRPr="00632824">
        <w:rPr>
          <w:rFonts w:hint="cs"/>
          <w:i w:val="0"/>
          <w:iCs w:val="0"/>
          <w:rtl/>
        </w:rPr>
        <w:t>أن تخضع</w:t>
      </w:r>
      <w:r w:rsidRPr="00632824">
        <w:rPr>
          <w:i w:val="0"/>
          <w:iCs w:val="0"/>
          <w:rtl/>
        </w:rPr>
        <w:t xml:space="preserve"> المسائل التالية</w:t>
      </w:r>
      <w:r w:rsidR="00537078" w:rsidRPr="00632824">
        <w:rPr>
          <w:rFonts w:hint="cs"/>
          <w:i w:val="0"/>
          <w:iCs w:val="0"/>
          <w:rtl/>
        </w:rPr>
        <w:t xml:space="preserve"> للدراسة</w:t>
      </w:r>
    </w:p>
    <w:p w14:paraId="41ABDACD" w14:textId="77777777" w:rsidR="00556614" w:rsidRPr="00556614" w:rsidRDefault="00556614" w:rsidP="00556614">
      <w:pPr>
        <w:rPr>
          <w:rtl/>
        </w:rPr>
      </w:pPr>
      <w:r w:rsidRPr="00563ED1">
        <w:rPr>
          <w:b/>
          <w:bCs/>
        </w:rPr>
        <w:t>1</w:t>
      </w:r>
      <w:r w:rsidRPr="00556614">
        <w:rPr>
          <w:rtl/>
        </w:rPr>
        <w:tab/>
        <w:t>ما هي معلمات الأداء الموضوعية لكل تطبيق محدد ولكل نسق تلفزيوني رقمي؟</w:t>
      </w:r>
    </w:p>
    <w:p w14:paraId="78F5BA6B" w14:textId="77777777" w:rsidR="00556614" w:rsidRPr="006257B0" w:rsidRDefault="00556614" w:rsidP="00556614">
      <w:pPr>
        <w:rPr>
          <w:spacing w:val="-2"/>
          <w:rtl/>
        </w:rPr>
      </w:pPr>
      <w:r w:rsidRPr="00563ED1">
        <w:rPr>
          <w:b/>
          <w:bCs/>
        </w:rPr>
        <w:t>2</w:t>
      </w:r>
      <w:r w:rsidRPr="00556614">
        <w:rPr>
          <w:rtl/>
        </w:rPr>
        <w:tab/>
      </w:r>
      <w:r w:rsidRPr="006257B0">
        <w:rPr>
          <w:spacing w:val="-2"/>
          <w:rtl/>
        </w:rPr>
        <w:t>ما هي مواد الاختبار وإشارات الاختبار الضرورية المطلوبة من أجل قياس الجودة الموضوعي للتطبيقات المختلفة؟</w:t>
      </w:r>
    </w:p>
    <w:p w14:paraId="05FD93CF" w14:textId="77777777" w:rsidR="00556614" w:rsidRPr="00556614" w:rsidRDefault="00556614" w:rsidP="00556614">
      <w:pPr>
        <w:rPr>
          <w:rtl/>
        </w:rPr>
      </w:pPr>
      <w:r w:rsidRPr="00563ED1">
        <w:rPr>
          <w:b/>
          <w:bCs/>
        </w:rPr>
        <w:lastRenderedPageBreak/>
        <w:t>3</w:t>
      </w:r>
      <w:r w:rsidRPr="00556614">
        <w:rPr>
          <w:rtl/>
        </w:rPr>
        <w:tab/>
        <w:t xml:space="preserve">ما هي الطرائق التي ينبغي استخدامها لقياس ومراقبة المعلمات المعرَّفة في الفقرتين </w:t>
      </w:r>
      <w:r w:rsidRPr="00556614">
        <w:t>1</w:t>
      </w:r>
      <w:r w:rsidRPr="00556614">
        <w:rPr>
          <w:rtl/>
        </w:rPr>
        <w:t xml:space="preserve"> و</w:t>
      </w:r>
      <w:r w:rsidRPr="00556614">
        <w:t>2</w:t>
      </w:r>
      <w:r w:rsidRPr="00556614">
        <w:rPr>
          <w:rtl/>
        </w:rPr>
        <w:t xml:space="preserve"> لتشمل جميع شوائب وأحوال انحطاط الحركة بما في ذلك تلك الناجمة عن المعالجة المسبقة للعرض؟</w:t>
      </w:r>
    </w:p>
    <w:p w14:paraId="6C1C2644" w14:textId="77777777" w:rsidR="00556614" w:rsidRPr="00556614" w:rsidRDefault="00556614" w:rsidP="00556614">
      <w:pPr>
        <w:rPr>
          <w:rtl/>
        </w:rPr>
      </w:pPr>
      <w:r w:rsidRPr="00563ED1">
        <w:rPr>
          <w:b/>
          <w:bCs/>
        </w:rPr>
        <w:t>4</w:t>
      </w:r>
      <w:r w:rsidRPr="00556614">
        <w:rPr>
          <w:rtl/>
        </w:rPr>
        <w:tab/>
        <w:t>ما هي الخصائص التي ينبغي التوصية بها من أجل مقياس جودة فعّال من حيث التكلفة يعطي دليلاً مباشراً معروضاً عن جودة الصورة؟</w:t>
      </w:r>
    </w:p>
    <w:p w14:paraId="0EF4F624" w14:textId="77777777" w:rsidR="00556614" w:rsidRPr="00556614" w:rsidRDefault="00556614" w:rsidP="00556614">
      <w:pPr>
        <w:rPr>
          <w:rtl/>
        </w:rPr>
      </w:pPr>
      <w:r w:rsidRPr="00563ED1">
        <w:rPr>
          <w:b/>
          <w:bCs/>
        </w:rPr>
        <w:t>5</w:t>
      </w:r>
      <w:r w:rsidRPr="00556614">
        <w:rPr>
          <w:rtl/>
        </w:rPr>
        <w:tab/>
        <w:t>ما هي الخطوات الضرورية لتنسيق عمليات التخليط وتخفيض معدل البتات بحيث يمكن الحفاظ على الجودة المرغوبة وضعياً وموضوعياً؟</w:t>
      </w:r>
    </w:p>
    <w:p w14:paraId="66938B3B" w14:textId="77777777" w:rsidR="00556614" w:rsidRPr="00556614" w:rsidRDefault="00556614" w:rsidP="00556614">
      <w:pPr>
        <w:rPr>
          <w:rtl/>
        </w:rPr>
      </w:pPr>
      <w:r w:rsidRPr="00563ED1">
        <w:rPr>
          <w:b/>
          <w:bCs/>
        </w:rPr>
        <w:t>6</w:t>
      </w:r>
      <w:r w:rsidRPr="00556614">
        <w:rPr>
          <w:rtl/>
        </w:rPr>
        <w:tab/>
        <w:t>ما هي الخصائص التي ينبغي التوصية بها من أجل طريقة تقييم إلكتروني عالي الجودة لاختبار جودة صور التلفزيون الرقمي؟</w:t>
      </w:r>
    </w:p>
    <w:p w14:paraId="45515390" w14:textId="77777777" w:rsidR="00556614" w:rsidRPr="00556614" w:rsidRDefault="00556614" w:rsidP="00556614">
      <w:pPr>
        <w:pStyle w:val="Call"/>
        <w:rPr>
          <w:rtl/>
        </w:rPr>
      </w:pPr>
      <w:r w:rsidRPr="00556614">
        <w:rPr>
          <w:rtl/>
        </w:rPr>
        <w:t>وتقرر كذلك</w:t>
      </w:r>
    </w:p>
    <w:p w14:paraId="5BFFA230" w14:textId="607935CD" w:rsidR="00556614" w:rsidRPr="00556614" w:rsidRDefault="00556614" w:rsidP="00556614">
      <w:pPr>
        <w:rPr>
          <w:rtl/>
        </w:rPr>
      </w:pPr>
      <w:r w:rsidRPr="00BA2D4F">
        <w:rPr>
          <w:b/>
          <w:bCs/>
        </w:rPr>
        <w:t>1</w:t>
      </w:r>
      <w:r w:rsidRPr="00BA2D4F">
        <w:rPr>
          <w:rtl/>
        </w:rPr>
        <w:tab/>
        <w:t>إدراج نتائج الدراسات أعلاه في تقرير (</w:t>
      </w:r>
      <w:r w:rsidR="00537078" w:rsidRPr="00BA2D4F">
        <w:rPr>
          <w:rFonts w:hint="cs"/>
          <w:rtl/>
        </w:rPr>
        <w:t>أو أكثر</w:t>
      </w:r>
      <w:r w:rsidRPr="00BA2D4F">
        <w:rPr>
          <w:rtl/>
        </w:rPr>
        <w:t>) و/أو توصية (</w:t>
      </w:r>
      <w:r w:rsidR="00537078" w:rsidRPr="00BA2D4F">
        <w:rPr>
          <w:rFonts w:hint="cs"/>
          <w:rtl/>
        </w:rPr>
        <w:t xml:space="preserve">أو </w:t>
      </w:r>
      <w:proofErr w:type="gramStart"/>
      <w:r w:rsidR="00537078" w:rsidRPr="00BA2D4F">
        <w:rPr>
          <w:rFonts w:hint="cs"/>
          <w:rtl/>
        </w:rPr>
        <w:t>أكثر</w:t>
      </w:r>
      <w:r w:rsidRPr="00BA2D4F">
        <w:rPr>
          <w:rtl/>
        </w:rPr>
        <w:t>)؛</w:t>
      </w:r>
      <w:proofErr w:type="gramEnd"/>
    </w:p>
    <w:p w14:paraId="78FDF455" w14:textId="72FD608B" w:rsidR="00556614" w:rsidRPr="00556614" w:rsidRDefault="00556614" w:rsidP="00556614">
      <w:pPr>
        <w:rPr>
          <w:rtl/>
        </w:rPr>
      </w:pPr>
      <w:r w:rsidRPr="00563ED1">
        <w:rPr>
          <w:b/>
          <w:bCs/>
        </w:rPr>
        <w:t>2</w:t>
      </w:r>
      <w:r w:rsidRPr="00556614">
        <w:rPr>
          <w:rtl/>
        </w:rPr>
        <w:tab/>
        <w:t>إنجاز الدراسات</w:t>
      </w:r>
      <w:r w:rsidR="00537078">
        <w:rPr>
          <w:rFonts w:hint="cs"/>
          <w:rtl/>
        </w:rPr>
        <w:t xml:space="preserve"> المذكورة</w:t>
      </w:r>
      <w:r w:rsidRPr="00556614">
        <w:rPr>
          <w:rtl/>
        </w:rPr>
        <w:t xml:space="preserve"> أعلاه بحلول عام </w:t>
      </w:r>
      <w:r>
        <w:t>2027</w:t>
      </w:r>
      <w:r w:rsidRPr="00556614">
        <w:rPr>
          <w:rtl/>
        </w:rPr>
        <w:t>.</w:t>
      </w:r>
    </w:p>
    <w:p w14:paraId="274DB81C" w14:textId="590D6DA0" w:rsidR="00556614" w:rsidRDefault="00556614" w:rsidP="00A07143">
      <w:pPr>
        <w:spacing w:before="360"/>
        <w:rPr>
          <w:lang w:bidi="ar-EG"/>
        </w:rPr>
      </w:pPr>
      <w:r>
        <w:rPr>
          <w:rtl/>
          <w:lang w:bidi="ar-EG"/>
        </w:rPr>
        <w:t>الفئة:</w:t>
      </w:r>
      <w:r>
        <w:rPr>
          <w:rtl/>
          <w:lang w:bidi="ar-EG"/>
        </w:rPr>
        <w:tab/>
      </w:r>
      <w:r>
        <w:rPr>
          <w:lang w:bidi="ar-EG"/>
        </w:rPr>
        <w:t>S3</w:t>
      </w:r>
    </w:p>
    <w:sectPr w:rsidR="00556614" w:rsidSect="007B56ED">
      <w:headerReference w:type="even" r:id="rId12"/>
      <w:headerReference w:type="default" r:id="rId13"/>
      <w:footerReference w:type="even" r:id="rId14"/>
      <w:footerReference w:type="default" r:id="rId15"/>
      <w:headerReference w:type="first" r:id="rId16"/>
      <w:footerReference w:type="first" r:id="rId17"/>
      <w:type w:val="oddPage"/>
      <w:pgSz w:w="11909" w:h="16834" w:code="9"/>
      <w:pgMar w:top="1418" w:right="1134" w:bottom="1134" w:left="1134" w:header="561" w:footer="56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B9FC" w14:textId="77777777" w:rsidR="005B31B5" w:rsidRDefault="005B31B5" w:rsidP="002919E1">
      <w:r>
        <w:separator/>
      </w:r>
    </w:p>
    <w:p w14:paraId="6D75DE99" w14:textId="77777777" w:rsidR="005B31B5" w:rsidRDefault="005B31B5" w:rsidP="002919E1"/>
    <w:p w14:paraId="5DE98805" w14:textId="77777777" w:rsidR="005B31B5" w:rsidRDefault="005B31B5" w:rsidP="002919E1"/>
    <w:p w14:paraId="63140C25" w14:textId="77777777" w:rsidR="005B31B5" w:rsidRDefault="005B31B5"/>
    <w:p w14:paraId="1322C99A" w14:textId="77777777" w:rsidR="005B31B5" w:rsidRDefault="005B31B5"/>
    <w:p w14:paraId="389CCA79" w14:textId="77777777" w:rsidR="005B31B5" w:rsidRDefault="005B31B5"/>
  </w:endnote>
  <w:endnote w:type="continuationSeparator" w:id="0">
    <w:p w14:paraId="794A0883" w14:textId="77777777" w:rsidR="005B31B5" w:rsidRDefault="005B31B5" w:rsidP="002919E1">
      <w:r>
        <w:continuationSeparator/>
      </w:r>
    </w:p>
    <w:p w14:paraId="28357484" w14:textId="77777777" w:rsidR="005B31B5" w:rsidRDefault="005B31B5" w:rsidP="002919E1"/>
    <w:p w14:paraId="25C3A739" w14:textId="77777777" w:rsidR="005B31B5" w:rsidRDefault="005B31B5" w:rsidP="002919E1"/>
    <w:p w14:paraId="5DF3032E" w14:textId="77777777" w:rsidR="005B31B5" w:rsidRDefault="005B31B5"/>
    <w:p w14:paraId="4ECDF4DF" w14:textId="77777777" w:rsidR="005B31B5" w:rsidRDefault="005B31B5"/>
    <w:p w14:paraId="4E37DDD6" w14:textId="77777777" w:rsidR="005B31B5" w:rsidRDefault="005B3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Verdana Bold">
    <w:altName w:val="Verdana"/>
    <w:panose1 w:val="00000000000000000000"/>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4198"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5B31B5">
      <w:rPr>
        <w:noProof/>
        <w:sz w:val="16"/>
        <w:szCs w:val="16"/>
        <w:lang w:val="fr-FR"/>
      </w:rPr>
      <w:t>Document1</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0D3D" w14:textId="2D9B78CC" w:rsidR="005B1C67" w:rsidRPr="00D14108" w:rsidRDefault="005B1C67" w:rsidP="00D14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9738" w14:textId="5A4BEBA1" w:rsidR="00D63A6F" w:rsidRPr="00D14108" w:rsidRDefault="00D63A6F" w:rsidP="00D1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0A42" w14:textId="77777777" w:rsidR="005B31B5" w:rsidRDefault="005B31B5" w:rsidP="002919E1">
      <w:r>
        <w:separator/>
      </w:r>
    </w:p>
  </w:footnote>
  <w:footnote w:type="continuationSeparator" w:id="0">
    <w:p w14:paraId="50DF6244" w14:textId="77777777" w:rsidR="005B31B5" w:rsidRDefault="005B31B5" w:rsidP="002919E1">
      <w:r>
        <w:continuationSeparator/>
      </w:r>
    </w:p>
    <w:p w14:paraId="24C99CD4" w14:textId="77777777" w:rsidR="005B31B5" w:rsidRDefault="005B31B5" w:rsidP="002919E1"/>
    <w:p w14:paraId="6592277D" w14:textId="77777777" w:rsidR="005B31B5" w:rsidRDefault="005B31B5" w:rsidP="002919E1"/>
    <w:p w14:paraId="3301C246" w14:textId="77777777" w:rsidR="005B31B5" w:rsidRDefault="005B31B5"/>
    <w:p w14:paraId="6586C56E" w14:textId="77777777" w:rsidR="005B31B5" w:rsidRDefault="005B31B5"/>
    <w:p w14:paraId="7E50EA2B" w14:textId="77777777" w:rsidR="005B31B5" w:rsidRDefault="005B31B5"/>
  </w:footnote>
  <w:footnote w:id="1">
    <w:p w14:paraId="70BEC883" w14:textId="77777777" w:rsidR="00D56EEC" w:rsidRPr="0058778F" w:rsidRDefault="00D56EEC" w:rsidP="00D56EEC">
      <w:pPr>
        <w:pStyle w:val="FootnoteText"/>
        <w:rPr>
          <w:lang w:val="fr-FR"/>
        </w:rPr>
      </w:pPr>
      <w:r w:rsidRPr="0058778F">
        <w:rPr>
          <w:rStyle w:val="FootnoteReference"/>
        </w:rPr>
        <w:sym w:font="Symbol" w:char="F02A"/>
      </w:r>
      <w:r w:rsidRPr="00D56EEC">
        <w:rPr>
          <w:lang w:val="fr-FR"/>
        </w:rPr>
        <w:t xml:space="preserve"> </w:t>
      </w:r>
      <w:r w:rsidRPr="0058778F">
        <w:rPr>
          <w:rtl/>
          <w:lang w:val="en-GB"/>
        </w:rPr>
        <w:t xml:space="preserve">أدخلت لجنة الدراسات 6 للاتصالات الراديوية تعديلات </w:t>
      </w:r>
      <w:proofErr w:type="spellStart"/>
      <w:r w:rsidRPr="0058778F">
        <w:rPr>
          <w:rtl/>
          <w:lang w:val="en-GB"/>
        </w:rPr>
        <w:t>صياغية</w:t>
      </w:r>
      <w:proofErr w:type="spellEnd"/>
      <w:r w:rsidRPr="0058778F">
        <w:rPr>
          <w:rtl/>
          <w:lang w:val="en-GB"/>
        </w:rPr>
        <w:t xml:space="preserve"> على هذه المسألة في عام 2023، وفقاً للقرار </w:t>
      </w:r>
      <w:r w:rsidRPr="00D56EEC">
        <w:rPr>
          <w:lang w:val="fr-FR"/>
        </w:rPr>
        <w:t>ITU-R 1</w:t>
      </w:r>
      <w:r w:rsidRPr="0058778F">
        <w:rPr>
          <w:rtl/>
          <w:lang w:val="en-GB"/>
        </w:rPr>
        <w:t>.</w:t>
      </w:r>
    </w:p>
  </w:footnote>
  <w:footnote w:id="2">
    <w:p w14:paraId="72B5069C" w14:textId="483BA207" w:rsidR="00556614" w:rsidRPr="0058778F" w:rsidRDefault="00556614" w:rsidP="00E3278F">
      <w:pPr>
        <w:pStyle w:val="FootnoteText"/>
        <w:tabs>
          <w:tab w:val="clear" w:pos="1134"/>
          <w:tab w:val="left" w:pos="419"/>
        </w:tabs>
        <w:ind w:left="420" w:hanging="420"/>
        <w:rPr>
          <w:lang w:val="fr-FR" w:bidi="ar-EG"/>
        </w:rPr>
      </w:pPr>
      <w:r>
        <w:rPr>
          <w:rStyle w:val="FootnoteReference"/>
        </w:rPr>
        <w:footnoteRef/>
      </w:r>
      <w:r>
        <w:rPr>
          <w:rtl/>
        </w:rPr>
        <w:tab/>
      </w:r>
      <w:r>
        <w:rPr>
          <w:rtl/>
          <w:lang w:bidi="ar-EG"/>
        </w:rPr>
        <w:t xml:space="preserve">هي الأنظمة التي تكون فيها الاستبانة أقل مما هي في التلفزيون عادي الوضوح </w:t>
      </w:r>
      <w:r w:rsidRPr="0058778F">
        <w:rPr>
          <w:lang w:val="fr-FR" w:bidi="ar-EG"/>
        </w:rPr>
        <w:t>(SDTV)</w:t>
      </w:r>
      <w:r>
        <w:rPr>
          <w:rtl/>
          <w:lang w:bidi="ar-EG"/>
        </w:rPr>
        <w:t xml:space="preserve">، كتلك المستخدَمة الآن في الأجهزة المتنقلة أو المحمولة </w:t>
      </w:r>
      <w:r w:rsidR="00694D56">
        <w:rPr>
          <w:rFonts w:hint="cs"/>
          <w:rtl/>
          <w:lang w:bidi="ar-EG"/>
        </w:rPr>
        <w:t>يدوياً</w:t>
      </w:r>
      <w:r>
        <w:rPr>
          <w:rtl/>
          <w:lang w:bidi="ar-EG"/>
        </w:rPr>
        <w:t xml:space="preserve"> لاستقبال البرامج المذاعة.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841D" w14:textId="77777777" w:rsidR="00D63A6F" w:rsidRPr="00447F32" w:rsidRDefault="00D56EEC" w:rsidP="00D63A6F">
    <w:pPr>
      <w:pStyle w:val="Header"/>
      <w:bidi w:val="0"/>
      <w:spacing w:after="240"/>
      <w:jc w:val="center"/>
      <w:rPr>
        <w:rFonts w:cs="Calibri"/>
      </w:rPr>
    </w:pPr>
    <w:sdt>
      <w:sdtPr>
        <w:id w:val="-1375531529"/>
        <w:docPartObj>
          <w:docPartGallery w:val="Page Numbers (Top of Page)"/>
          <w:docPartUnique/>
        </w:docPartObj>
      </w:sdtPr>
      <w:sdtEndPr>
        <w:rPr>
          <w:rFonts w:cs="Calibri"/>
          <w:noProof/>
        </w:rPr>
      </w:sdtEndPr>
      <w:sdtContent>
        <w:r w:rsidR="00D63A6F">
          <w:t xml:space="preserve">- </w:t>
        </w:r>
        <w:r w:rsidR="00D63A6F" w:rsidRPr="00447F32">
          <w:rPr>
            <w:rFonts w:cs="Calibri"/>
          </w:rPr>
          <w:fldChar w:fldCharType="begin"/>
        </w:r>
        <w:r w:rsidR="00D63A6F" w:rsidRPr="00447F32">
          <w:rPr>
            <w:rFonts w:cs="Calibri"/>
          </w:rPr>
          <w:instrText xml:space="preserve"> PAGE   \* MERGEFORMAT </w:instrText>
        </w:r>
        <w:r w:rsidR="00D63A6F" w:rsidRPr="00447F32">
          <w:rPr>
            <w:rFonts w:cs="Calibri"/>
          </w:rPr>
          <w:fldChar w:fldCharType="separate"/>
        </w:r>
        <w:r w:rsidR="00D63A6F">
          <w:rPr>
            <w:rFonts w:cs="Calibri"/>
          </w:rPr>
          <w:t>2</w:t>
        </w:r>
        <w:r w:rsidR="00D63A6F" w:rsidRPr="00447F32">
          <w:rPr>
            <w:rFonts w:cs="Calibri"/>
            <w:noProof/>
          </w:rPr>
          <w:fldChar w:fldCharType="end"/>
        </w:r>
        <w:r w:rsidR="00D63A6F">
          <w:rPr>
            <w:rFonts w:cs="Calibri"/>
            <w:noProof/>
          </w:rPr>
          <w:t xml:space="preserve"> -</w:t>
        </w:r>
      </w:sdtContent>
    </w:sdt>
  </w:p>
  <w:p w14:paraId="4A0B0A0D" w14:textId="77777777" w:rsidR="00EC1B1C" w:rsidRDefault="00EC1B1C" w:rsidP="00D63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3394" w14:textId="77777777" w:rsidR="005B1C67" w:rsidRPr="005B1C67" w:rsidRDefault="00D56EEC" w:rsidP="005B1C67">
    <w:pPr>
      <w:pStyle w:val="Header"/>
      <w:bidi w:val="0"/>
      <w:spacing w:after="240"/>
      <w:jc w:val="center"/>
      <w:rPr>
        <w:rFonts w:cs="Calibri"/>
      </w:rPr>
    </w:pPr>
    <w:sdt>
      <w:sdtPr>
        <w:id w:val="-1168642493"/>
        <w:docPartObj>
          <w:docPartGallery w:val="Page Numbers (Top of Page)"/>
          <w:docPartUnique/>
        </w:docPartObj>
      </w:sdtPr>
      <w:sdtEndPr>
        <w:rPr>
          <w:rFonts w:cs="Calibri"/>
          <w:noProof/>
        </w:rPr>
      </w:sdtEndPr>
      <w:sdtContent>
        <w:r w:rsidR="005B1C67">
          <w:t xml:space="preserve">- </w:t>
        </w:r>
        <w:r w:rsidR="005B1C67" w:rsidRPr="00447F32">
          <w:rPr>
            <w:rFonts w:cs="Calibri"/>
          </w:rPr>
          <w:fldChar w:fldCharType="begin"/>
        </w:r>
        <w:r w:rsidR="005B1C67" w:rsidRPr="00447F32">
          <w:rPr>
            <w:rFonts w:cs="Calibri"/>
          </w:rPr>
          <w:instrText xml:space="preserve"> PAGE   \* MERGEFORMAT </w:instrText>
        </w:r>
        <w:r w:rsidR="005B1C67" w:rsidRPr="00447F32">
          <w:rPr>
            <w:rFonts w:cs="Calibri"/>
          </w:rPr>
          <w:fldChar w:fldCharType="separate"/>
        </w:r>
        <w:r w:rsidR="005B1C67">
          <w:rPr>
            <w:rFonts w:cs="Calibri"/>
          </w:rPr>
          <w:t>2</w:t>
        </w:r>
        <w:r w:rsidR="005B1C67" w:rsidRPr="00447F32">
          <w:rPr>
            <w:rFonts w:cs="Calibri"/>
            <w:noProof/>
          </w:rPr>
          <w:fldChar w:fldCharType="end"/>
        </w:r>
        <w:r w:rsidR="005B1C67">
          <w:rPr>
            <w:rFonts w:cs="Calibri"/>
            <w:noProof/>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389A" w14:textId="77777777" w:rsidR="00D14108" w:rsidRDefault="00D14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947B5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7C47D38"/>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9656091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08E7352"/>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num w:numId="1" w16cid:durableId="478378422">
    <w:abstractNumId w:val="4"/>
  </w:num>
  <w:num w:numId="2" w16cid:durableId="532037146">
    <w:abstractNumId w:val="3"/>
  </w:num>
  <w:num w:numId="3" w16cid:durableId="478887417">
    <w:abstractNumId w:val="2"/>
  </w:num>
  <w:num w:numId="4" w16cid:durableId="1416441814">
    <w:abstractNumId w:val="1"/>
  </w:num>
  <w:num w:numId="5" w16cid:durableId="1768699053">
    <w:abstractNumId w:val="0"/>
  </w:num>
  <w:num w:numId="6" w16cid:durableId="688484468">
    <w:abstractNumId w:val="3"/>
  </w:num>
  <w:num w:numId="7" w16cid:durableId="1529441695">
    <w:abstractNumId w:val="2"/>
  </w:num>
  <w:num w:numId="8" w16cid:durableId="632491342">
    <w:abstractNumId w:val="1"/>
  </w:num>
  <w:num w:numId="9" w16cid:durableId="1547252644">
    <w:abstractNumId w:val="0"/>
  </w:num>
  <w:num w:numId="10" w16cid:durableId="581178626">
    <w:abstractNumId w:val="3"/>
  </w:num>
  <w:num w:numId="11" w16cid:durableId="604583303">
    <w:abstractNumId w:val="2"/>
  </w:num>
  <w:num w:numId="12" w16cid:durableId="1601841127">
    <w:abstractNumId w:val="1"/>
  </w:num>
  <w:num w:numId="13" w16cid:durableId="745612852">
    <w:abstractNumId w:val="0"/>
  </w:num>
  <w:num w:numId="14" w16cid:durableId="320278198">
    <w:abstractNumId w:val="3"/>
  </w:num>
  <w:num w:numId="15" w16cid:durableId="1777869644">
    <w:abstractNumId w:val="2"/>
  </w:num>
  <w:num w:numId="16" w16cid:durableId="1479346408">
    <w:abstractNumId w:val="1"/>
  </w:num>
  <w:num w:numId="17" w16cid:durableId="16789695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B5"/>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46F1F"/>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628F"/>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1C48"/>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B1"/>
    <w:rsid w:val="0039497E"/>
    <w:rsid w:val="00395559"/>
    <w:rsid w:val="003965FE"/>
    <w:rsid w:val="003A70C4"/>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A05E6"/>
    <w:rsid w:val="004A6230"/>
    <w:rsid w:val="004A6C66"/>
    <w:rsid w:val="004A713B"/>
    <w:rsid w:val="004A715A"/>
    <w:rsid w:val="004A7AA0"/>
    <w:rsid w:val="004B403D"/>
    <w:rsid w:val="004C02BD"/>
    <w:rsid w:val="004C11BC"/>
    <w:rsid w:val="004C5C04"/>
    <w:rsid w:val="004C67F1"/>
    <w:rsid w:val="004C6A41"/>
    <w:rsid w:val="004D0448"/>
    <w:rsid w:val="004D1B32"/>
    <w:rsid w:val="004D2146"/>
    <w:rsid w:val="004D4AE6"/>
    <w:rsid w:val="004D5234"/>
    <w:rsid w:val="004F4785"/>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7078"/>
    <w:rsid w:val="005431B5"/>
    <w:rsid w:val="005447B3"/>
    <w:rsid w:val="005461A1"/>
    <w:rsid w:val="00546A99"/>
    <w:rsid w:val="005470D7"/>
    <w:rsid w:val="00553411"/>
    <w:rsid w:val="00554AE7"/>
    <w:rsid w:val="00556614"/>
    <w:rsid w:val="00563ED1"/>
    <w:rsid w:val="00564746"/>
    <w:rsid w:val="0056512C"/>
    <w:rsid w:val="005716C8"/>
    <w:rsid w:val="00576D0A"/>
    <w:rsid w:val="00576FCC"/>
    <w:rsid w:val="00580F39"/>
    <w:rsid w:val="005821DC"/>
    <w:rsid w:val="00584333"/>
    <w:rsid w:val="0058478B"/>
    <w:rsid w:val="0058778F"/>
    <w:rsid w:val="005953EC"/>
    <w:rsid w:val="005B00A1"/>
    <w:rsid w:val="005B1C67"/>
    <w:rsid w:val="005B31B5"/>
    <w:rsid w:val="005B4A6D"/>
    <w:rsid w:val="005C29C8"/>
    <w:rsid w:val="005C47A6"/>
    <w:rsid w:val="005C5D25"/>
    <w:rsid w:val="005D2606"/>
    <w:rsid w:val="005D6D48"/>
    <w:rsid w:val="005D72A4"/>
    <w:rsid w:val="005E1676"/>
    <w:rsid w:val="005E77B1"/>
    <w:rsid w:val="005E7F46"/>
    <w:rsid w:val="005F05CC"/>
    <w:rsid w:val="005F65DE"/>
    <w:rsid w:val="0060446B"/>
    <w:rsid w:val="00605A1E"/>
    <w:rsid w:val="00610526"/>
    <w:rsid w:val="00612042"/>
    <w:rsid w:val="00613492"/>
    <w:rsid w:val="006208D2"/>
    <w:rsid w:val="006226F2"/>
    <w:rsid w:val="006257B0"/>
    <w:rsid w:val="00630905"/>
    <w:rsid w:val="006315B5"/>
    <w:rsid w:val="00632824"/>
    <w:rsid w:val="00634507"/>
    <w:rsid w:val="0063573F"/>
    <w:rsid w:val="00642743"/>
    <w:rsid w:val="006437CF"/>
    <w:rsid w:val="00646862"/>
    <w:rsid w:val="00651F17"/>
    <w:rsid w:val="00654D43"/>
    <w:rsid w:val="0065562F"/>
    <w:rsid w:val="006569F9"/>
    <w:rsid w:val="00660B83"/>
    <w:rsid w:val="00666697"/>
    <w:rsid w:val="00674222"/>
    <w:rsid w:val="00675555"/>
    <w:rsid w:val="006779A4"/>
    <w:rsid w:val="0068074B"/>
    <w:rsid w:val="00680A66"/>
    <w:rsid w:val="00681391"/>
    <w:rsid w:val="0068330E"/>
    <w:rsid w:val="0068511C"/>
    <w:rsid w:val="00685BF6"/>
    <w:rsid w:val="00694690"/>
    <w:rsid w:val="00694D56"/>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38C"/>
    <w:rsid w:val="00741855"/>
    <w:rsid w:val="00742B73"/>
    <w:rsid w:val="00751251"/>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B56ED"/>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1EE8"/>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D15C6"/>
    <w:rsid w:val="009D6348"/>
    <w:rsid w:val="009E0A44"/>
    <w:rsid w:val="009E5007"/>
    <w:rsid w:val="009E613F"/>
    <w:rsid w:val="009F042B"/>
    <w:rsid w:val="009F2EC9"/>
    <w:rsid w:val="00A03FD6"/>
    <w:rsid w:val="00A04CF4"/>
    <w:rsid w:val="00A07143"/>
    <w:rsid w:val="00A1068F"/>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2983"/>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303E0"/>
    <w:rsid w:val="00B30402"/>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2D4F"/>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17F3A"/>
    <w:rsid w:val="00C22074"/>
    <w:rsid w:val="00C2377B"/>
    <w:rsid w:val="00C259A8"/>
    <w:rsid w:val="00C33DE8"/>
    <w:rsid w:val="00C34A00"/>
    <w:rsid w:val="00C35016"/>
    <w:rsid w:val="00C3693C"/>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4D2"/>
    <w:rsid w:val="00CE0302"/>
    <w:rsid w:val="00CE0E68"/>
    <w:rsid w:val="00CE21B5"/>
    <w:rsid w:val="00CE2DED"/>
    <w:rsid w:val="00CE5779"/>
    <w:rsid w:val="00CE5BA4"/>
    <w:rsid w:val="00CE7DB9"/>
    <w:rsid w:val="00CF0F3D"/>
    <w:rsid w:val="00D05322"/>
    <w:rsid w:val="00D10CFC"/>
    <w:rsid w:val="00D14108"/>
    <w:rsid w:val="00D1728C"/>
    <w:rsid w:val="00D21226"/>
    <w:rsid w:val="00D21235"/>
    <w:rsid w:val="00D24E4D"/>
    <w:rsid w:val="00D25120"/>
    <w:rsid w:val="00D27F6E"/>
    <w:rsid w:val="00D419CB"/>
    <w:rsid w:val="00D44350"/>
    <w:rsid w:val="00D44E3F"/>
    <w:rsid w:val="00D51132"/>
    <w:rsid w:val="00D51BB8"/>
    <w:rsid w:val="00D525F5"/>
    <w:rsid w:val="00D535D0"/>
    <w:rsid w:val="00D56EEC"/>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278F"/>
    <w:rsid w:val="00E33051"/>
    <w:rsid w:val="00E343A3"/>
    <w:rsid w:val="00E428EF"/>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1B1C"/>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41C8"/>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E7E9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963C9"/>
  <w15:docId w15:val="{961F6E6C-CDAB-4ABE-B099-E1D96D31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84A"/>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symbo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semiHidden/>
    <w:unhideWhenUsed/>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C17F3A"/>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C17F3A"/>
    <w:pPr>
      <w:spacing w:before="240"/>
    </w:pPr>
    <w:rPr>
      <w:w w:val="110"/>
    </w:rPr>
  </w:style>
  <w:style w:type="paragraph" w:customStyle="1" w:styleId="Title3">
    <w:name w:val="Title 3"/>
    <w:basedOn w:val="Title2"/>
    <w:next w:val="Normal"/>
    <w:qFormat/>
    <w:rsid w:val="00C17F3A"/>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A1068F"/>
    <w:rPr>
      <w:rFonts w:ascii="Dubai" w:hAnsi="Dubai" w:cs="Dubai"/>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395559"/>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5B1C67"/>
    <w:rPr>
      <w:rFonts w:ascii="Dubai" w:hAnsi="Dubai" w:cs="Dubai"/>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1"/>
      </w:numPr>
      <w:contextualSpacing/>
    </w:pPr>
  </w:style>
  <w:style w:type="paragraph" w:customStyle="1" w:styleId="Title4">
    <w:name w:val="Title 4"/>
    <w:basedOn w:val="Title3"/>
    <w:qFormat/>
    <w:rsid w:val="006A6E88"/>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646862"/>
    <w:rPr>
      <w:rFonts w:ascii="Dubai" w:hAnsi="Dubai" w:cs="Dubai"/>
      <w:b/>
      <w:bCs/>
    </w:rPr>
  </w:style>
  <w:style w:type="paragraph" w:customStyle="1" w:styleId="Appendixref">
    <w:name w:val="Appendix_ref"/>
    <w:basedOn w:val="AnnexRef"/>
    <w:next w:val="Annextitle"/>
    <w:qFormat/>
    <w:rsid w:val="004C02BD"/>
    <w:pPr>
      <w:spacing w:before="120" w:after="360"/>
      <w:jc w:val="center"/>
    </w:pPr>
    <w:rPr>
      <w:b w:val="0"/>
      <w:bCs w:val="0"/>
    </w:rPr>
  </w:style>
  <w:style w:type="paragraph" w:customStyle="1" w:styleId="Artheading">
    <w:name w:val="Art_heading"/>
    <w:basedOn w:val="Normal"/>
    <w:next w:val="Normal"/>
    <w:qFormat/>
    <w:rsid w:val="004C02BD"/>
    <w:pPr>
      <w:keepNext/>
      <w:spacing w:before="360" w:after="120"/>
      <w:jc w:val="center"/>
    </w:pPr>
    <w:rPr>
      <w:b/>
      <w:bCs/>
      <w:sz w:val="28"/>
      <w:szCs w:val="28"/>
      <w:lang w:bidi="ar-EG"/>
    </w:rPr>
  </w:style>
  <w:style w:type="paragraph" w:customStyle="1" w:styleId="Figure">
    <w:name w:val="Figure"/>
    <w:basedOn w:val="Normal"/>
    <w:next w:val="Normal"/>
    <w:qFormat/>
    <w:rsid w:val="004C02BD"/>
    <w:pPr>
      <w:spacing w:before="100" w:beforeAutospacing="1" w:after="100" w:afterAutospacing="1" w:line="240" w:lineRule="auto"/>
      <w:jc w:val="center"/>
    </w:pPr>
  </w:style>
  <w:style w:type="paragraph" w:customStyle="1" w:styleId="Figurelegend">
    <w:name w:val="Figure_legend"/>
    <w:basedOn w:val="Normal"/>
    <w:qFormat/>
    <w:rsid w:val="00646862"/>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646862"/>
    <w:pPr>
      <w:spacing w:before="360" w:line="240" w:lineRule="auto"/>
    </w:pPr>
  </w:style>
  <w:style w:type="paragraph" w:customStyle="1" w:styleId="Partref">
    <w:name w:val="Part_ref"/>
    <w:basedOn w:val="AnnexRef"/>
    <w:next w:val="Normal"/>
    <w:qFormat/>
    <w:rsid w:val="00F941C8"/>
    <w:pPr>
      <w:keepNext/>
      <w:spacing w:before="120" w:after="360"/>
      <w:jc w:val="center"/>
    </w:pPr>
    <w:rPr>
      <w:b w:val="0"/>
      <w:bCs w:val="0"/>
      <w:sz w:val="24"/>
      <w:szCs w:val="24"/>
    </w:rPr>
  </w:style>
  <w:style w:type="paragraph" w:customStyle="1" w:styleId="Questiondate">
    <w:name w:val="Question_date"/>
    <w:basedOn w:val="Normal"/>
    <w:next w:val="Normalaftertitle"/>
    <w:qFormat/>
    <w:rsid w:val="00F941C8"/>
    <w:pPr>
      <w:keepNext/>
      <w:keepLines/>
    </w:pPr>
  </w:style>
  <w:style w:type="paragraph" w:customStyle="1" w:styleId="QuestionNo">
    <w:name w:val="Question_No"/>
    <w:basedOn w:val="Normal"/>
    <w:qFormat/>
    <w:rsid w:val="00F941C8"/>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646862"/>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link w:val="QuestiontitleChar"/>
    <w:qFormat/>
    <w:rsid w:val="00646862"/>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646862"/>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646862"/>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646862"/>
  </w:style>
  <w:style w:type="paragraph" w:customStyle="1" w:styleId="Repref">
    <w:name w:val="Rep_ref"/>
    <w:basedOn w:val="Normal"/>
    <w:next w:val="Repdate"/>
    <w:semiHidden/>
    <w:rsid w:val="00646862"/>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646862"/>
  </w:style>
  <w:style w:type="character" w:customStyle="1" w:styleId="Resdef">
    <w:name w:val="Res_def"/>
    <w:basedOn w:val="DefaultParagraphFont"/>
    <w:semiHidden/>
    <w:rsid w:val="00646862"/>
    <w:rPr>
      <w:rFonts w:ascii="Dubai" w:hAnsi="Dubai" w:cs="Dubai"/>
      <w:b/>
      <w:bCs/>
      <w:i w:val="0"/>
    </w:rPr>
  </w:style>
  <w:style w:type="paragraph" w:customStyle="1" w:styleId="Sectiontitle">
    <w:name w:val="Section_title"/>
    <w:basedOn w:val="Normal"/>
    <w:next w:val="Normal"/>
    <w:rsid w:val="00646862"/>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2A1C48"/>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4C02BD"/>
    <w:pPr>
      <w:bidi w:val="0"/>
      <w:jc w:val="left"/>
    </w:pPr>
    <w:rPr>
      <w:lang w:val="en-GB" w:bidi="ar-EG"/>
    </w:rPr>
  </w:style>
  <w:style w:type="paragraph" w:customStyle="1" w:styleId="CPMProposal">
    <w:name w:val="CPM_Proposal"/>
    <w:basedOn w:val="Proposal"/>
    <w:rsid w:val="005B1C67"/>
    <w:rPr>
      <w:lang w:val="en-GB"/>
    </w:rPr>
  </w:style>
  <w:style w:type="paragraph" w:customStyle="1" w:styleId="CPMReasons">
    <w:name w:val="CPM_Reasons"/>
    <w:basedOn w:val="Reasons"/>
    <w:rsid w:val="005B1C67"/>
  </w:style>
  <w:style w:type="paragraph" w:customStyle="1" w:styleId="Normalaftertitle0">
    <w:name w:val="Normal_after_title"/>
    <w:basedOn w:val="Normal"/>
    <w:next w:val="Normal"/>
    <w:rsid w:val="00556614"/>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pPr>
    <w:rPr>
      <w:rFonts w:ascii="Times New Roman" w:hAnsi="Times New Roman" w:cs="Traditional Arabic"/>
      <w:szCs w:val="30"/>
      <w:lang w:val="en-GB"/>
    </w:rPr>
  </w:style>
  <w:style w:type="paragraph" w:customStyle="1" w:styleId="AnnexNotitle">
    <w:name w:val="Annex_No &amp; title"/>
    <w:basedOn w:val="Normal"/>
    <w:next w:val="Normalaftertitle0"/>
    <w:rsid w:val="00556614"/>
    <w:pPr>
      <w:keepNext/>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480"/>
      <w:jc w:val="center"/>
    </w:pPr>
    <w:rPr>
      <w:rFonts w:ascii="Times New Roman" w:hAnsi="Times New Roman" w:cs="Traditional Arabic"/>
      <w:b/>
      <w:sz w:val="28"/>
      <w:szCs w:val="30"/>
      <w:lang w:val="en-GB"/>
    </w:rPr>
  </w:style>
  <w:style w:type="character" w:customStyle="1" w:styleId="QuestiontitleChar">
    <w:name w:val="Question_title Char"/>
    <w:basedOn w:val="DefaultParagraphFont"/>
    <w:link w:val="Questiontitle"/>
    <w:locked/>
    <w:rsid w:val="00556614"/>
    <w:rPr>
      <w:rFonts w:ascii="Dubai" w:eastAsiaTheme="minorEastAsia" w:hAnsi="Dubai" w:cs="Dubai"/>
      <w:b/>
      <w:bCs/>
      <w:sz w:val="28"/>
      <w:szCs w:val="28"/>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220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6443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93D25B3B-5FDE-4E53-994F-60636F3B02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470</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R16-WRC19-C-!MSW-A</dc:title>
  <dc:creator>Arabic-EA</dc:creator>
  <cp:keywords>DPM_v2020.5.14.1_prod</cp:keywords>
  <cp:lastModifiedBy>Limousin, Catherine</cp:lastModifiedBy>
  <cp:revision>22</cp:revision>
  <cp:lastPrinted>2020-08-11T14:28:00Z</cp:lastPrinted>
  <dcterms:created xsi:type="dcterms:W3CDTF">2023-03-27T09:15:00Z</dcterms:created>
  <dcterms:modified xsi:type="dcterms:W3CDTF">2023-05-25T14:52:00Z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