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47E5" w14:textId="77777777" w:rsidR="00E0517D" w:rsidRDefault="00E0517D" w:rsidP="00E0517D">
      <w:pPr>
        <w:pStyle w:val="QuestionNo"/>
        <w:rPr>
          <w:szCs w:val="24"/>
          <w:lang w:val="en-US" w:eastAsia="ja-JP"/>
        </w:rPr>
      </w:pPr>
      <w:r>
        <w:rPr>
          <w:lang w:val="en-US"/>
        </w:rPr>
        <w:t xml:space="preserve">QUESTION ITU-R </w:t>
      </w:r>
      <w:r>
        <w:rPr>
          <w:bCs/>
          <w:szCs w:val="28"/>
          <w:lang w:val="en-US" w:eastAsia="ja-JP"/>
        </w:rPr>
        <w:t>45-6/6</w:t>
      </w:r>
      <w:r>
        <w:rPr>
          <w:rStyle w:val="FootnoteReference"/>
          <w:bCs/>
          <w:szCs w:val="28"/>
          <w:lang w:val="en-US" w:eastAsia="ja-JP"/>
        </w:rPr>
        <w:footnoteReference w:id="1"/>
      </w:r>
      <w:r>
        <w:rPr>
          <w:bCs/>
          <w:szCs w:val="28"/>
          <w:vertAlign w:val="superscript"/>
          <w:lang w:val="en-US" w:eastAsia="ja-JP"/>
        </w:rPr>
        <w:t xml:space="preserve">, </w:t>
      </w:r>
      <w:r>
        <w:rPr>
          <w:rStyle w:val="FootnoteReference"/>
          <w:bCs/>
          <w:szCs w:val="28"/>
          <w:lang w:val="en-US" w:eastAsia="ja-JP"/>
        </w:rPr>
        <w:footnoteReference w:id="2"/>
      </w:r>
    </w:p>
    <w:p w14:paraId="07BDDE82" w14:textId="77777777" w:rsidR="00E0517D" w:rsidRDefault="00E0517D" w:rsidP="00E0517D">
      <w:pPr>
        <w:pStyle w:val="Questiontitle"/>
        <w:rPr>
          <w:lang w:val="en-US" w:eastAsia="zh-CN"/>
        </w:rPr>
      </w:pPr>
      <w:r>
        <w:rPr>
          <w:lang w:val="en-US"/>
        </w:rPr>
        <w:t>Broadcasting of multimedia and data applications</w:t>
      </w:r>
    </w:p>
    <w:p w14:paraId="1A0DCB30" w14:textId="77777777" w:rsidR="00E0517D" w:rsidRDefault="00E0517D" w:rsidP="00E0517D">
      <w:pPr>
        <w:pStyle w:val="Questiondate"/>
        <w:rPr>
          <w:lang w:val="en-US"/>
        </w:rPr>
      </w:pPr>
      <w:r>
        <w:rPr>
          <w:lang w:val="en-US"/>
        </w:rPr>
        <w:t>(2003-2005-2009-2010-2012-2014-2019)</w:t>
      </w:r>
    </w:p>
    <w:p w14:paraId="1E38BF7D" w14:textId="77777777" w:rsidR="00E0517D" w:rsidRDefault="00E0517D" w:rsidP="00E0517D">
      <w:pPr>
        <w:pStyle w:val="Normalaftertitle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>The ITU Radiocommunication Assembly,</w:t>
      </w:r>
    </w:p>
    <w:p w14:paraId="0216EA18" w14:textId="77777777" w:rsidR="00E0517D" w:rsidRDefault="00E0517D" w:rsidP="00E0517D">
      <w:pPr>
        <w:keepNext/>
        <w:keepLines/>
        <w:ind w:left="1134"/>
        <w:jc w:val="both"/>
        <w:rPr>
          <w:i/>
        </w:rPr>
      </w:pPr>
      <w:r>
        <w:rPr>
          <w:i/>
        </w:rPr>
        <w:t>considering</w:t>
      </w:r>
    </w:p>
    <w:p w14:paraId="441F395D" w14:textId="77777777" w:rsidR="00E0517D" w:rsidRDefault="00E0517D" w:rsidP="00E0517D">
      <w:pPr>
        <w:jc w:val="both"/>
      </w:pPr>
      <w:r>
        <w:rPr>
          <w:i/>
          <w:iCs/>
        </w:rPr>
        <w:t>a)</w:t>
      </w:r>
      <w:r>
        <w:tab/>
        <w:t xml:space="preserve">that </w:t>
      </w:r>
      <w:r>
        <w:rPr>
          <w:lang w:eastAsia="ja-JP"/>
        </w:rPr>
        <w:t xml:space="preserve">digital television and sound broadcasting systems have been implemented in many </w:t>
      </w:r>
      <w:proofErr w:type="gramStart"/>
      <w:r>
        <w:rPr>
          <w:lang w:eastAsia="ja-JP"/>
        </w:rPr>
        <w:t>countries</w:t>
      </w:r>
      <w:r>
        <w:t>;</w:t>
      </w:r>
      <w:proofErr w:type="gramEnd"/>
    </w:p>
    <w:p w14:paraId="7CE889CA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b)</w:t>
      </w:r>
      <w:r>
        <w:rPr>
          <w:szCs w:val="24"/>
        </w:rPr>
        <w:tab/>
        <w:t xml:space="preserve">that </w:t>
      </w:r>
      <w:r>
        <w:rPr>
          <w:lang w:eastAsia="ja-JP"/>
        </w:rPr>
        <w:t>multimedia</w:t>
      </w:r>
      <w:r>
        <w:rPr>
          <w:szCs w:val="24"/>
          <w:lang w:eastAsia="ja-JP"/>
        </w:rPr>
        <w:t xml:space="preserve"> and data broadcasting services have been introduced in many </w:t>
      </w:r>
      <w:proofErr w:type="gramStart"/>
      <w:r>
        <w:rPr>
          <w:szCs w:val="24"/>
          <w:lang w:eastAsia="ja-JP"/>
        </w:rPr>
        <w:t>countries</w:t>
      </w:r>
      <w:r>
        <w:rPr>
          <w:szCs w:val="24"/>
        </w:rPr>
        <w:t>;</w:t>
      </w:r>
      <w:proofErr w:type="gramEnd"/>
    </w:p>
    <w:p w14:paraId="7FFAF587" w14:textId="77777777" w:rsidR="00E0517D" w:rsidRDefault="00E0517D" w:rsidP="00E0517D">
      <w:pPr>
        <w:jc w:val="both"/>
        <w:rPr>
          <w:szCs w:val="24"/>
        </w:rPr>
      </w:pPr>
      <w:r>
        <w:rPr>
          <w:i/>
          <w:iCs/>
          <w:szCs w:val="24"/>
        </w:rPr>
        <w:t>c)</w:t>
      </w:r>
      <w:r>
        <w:rPr>
          <w:szCs w:val="24"/>
        </w:rPr>
        <w:tab/>
        <w:t xml:space="preserve">that </w:t>
      </w:r>
      <w:r>
        <w:rPr>
          <w:szCs w:val="24"/>
          <w:lang w:eastAsia="ja-JP"/>
        </w:rPr>
        <w:t xml:space="preserve">mobile radiocommunication systems with advanced information technologies have been implemented in many </w:t>
      </w:r>
      <w:proofErr w:type="gramStart"/>
      <w:r>
        <w:rPr>
          <w:szCs w:val="24"/>
          <w:lang w:eastAsia="ja-JP"/>
        </w:rPr>
        <w:t>countries;</w:t>
      </w:r>
      <w:proofErr w:type="gramEnd"/>
    </w:p>
    <w:p w14:paraId="59AA32A7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d)</w:t>
      </w:r>
      <w:r>
        <w:rPr>
          <w:szCs w:val="24"/>
        </w:rPr>
        <w:tab/>
      </w:r>
      <w:r>
        <w:rPr>
          <w:szCs w:val="24"/>
          <w:lang w:eastAsia="ja-JP"/>
        </w:rPr>
        <w:t xml:space="preserve">that </w:t>
      </w:r>
      <w:r>
        <w:rPr>
          <w:lang w:eastAsia="ja-JP"/>
        </w:rPr>
        <w:t>reception</w:t>
      </w:r>
      <w:r>
        <w:rPr>
          <w:szCs w:val="24"/>
          <w:lang w:eastAsia="ja-JP"/>
        </w:rPr>
        <w:t xml:space="preserve"> of digital broadcasting services is possible both inside and outside the home with fixed receivers such as TV sets in the living room, as well as handheld/portable/vehicular </w:t>
      </w:r>
      <w:proofErr w:type="gramStart"/>
      <w:r>
        <w:rPr>
          <w:szCs w:val="24"/>
          <w:lang w:eastAsia="ja-JP"/>
        </w:rPr>
        <w:t>receivers;</w:t>
      </w:r>
      <w:proofErr w:type="gramEnd"/>
    </w:p>
    <w:p w14:paraId="71661F2F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e)</w:t>
      </w:r>
      <w:r>
        <w:rPr>
          <w:szCs w:val="24"/>
        </w:rPr>
        <w:tab/>
      </w:r>
      <w:r>
        <w:rPr>
          <w:szCs w:val="24"/>
          <w:lang w:eastAsia="ja-JP"/>
        </w:rPr>
        <w:t xml:space="preserve">that the </w:t>
      </w:r>
      <w:r>
        <w:rPr>
          <w:lang w:eastAsia="ja-JP"/>
        </w:rPr>
        <w:t>characteristics</w:t>
      </w:r>
      <w:r>
        <w:rPr>
          <w:szCs w:val="24"/>
          <w:lang w:eastAsia="ja-JP"/>
        </w:rPr>
        <w:t xml:space="preserve"> of mobile reception and stationary reception are quite </w:t>
      </w:r>
      <w:proofErr w:type="gramStart"/>
      <w:r>
        <w:rPr>
          <w:szCs w:val="24"/>
          <w:lang w:eastAsia="ja-JP"/>
        </w:rPr>
        <w:t>different;</w:t>
      </w:r>
      <w:proofErr w:type="gramEnd"/>
    </w:p>
    <w:p w14:paraId="75C74B34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f)</w:t>
      </w:r>
      <w:r>
        <w:rPr>
          <w:szCs w:val="24"/>
        </w:rPr>
        <w:tab/>
      </w:r>
      <w:r>
        <w:rPr>
          <w:szCs w:val="24"/>
          <w:lang w:eastAsia="ja-JP"/>
        </w:rPr>
        <w:t>that the display sizes and receiver capabilities may be different between handheld/portable/</w:t>
      </w:r>
      <w:r>
        <w:rPr>
          <w:lang w:eastAsia="ja-JP"/>
        </w:rPr>
        <w:t>vehicular</w:t>
      </w:r>
      <w:r>
        <w:rPr>
          <w:szCs w:val="24"/>
          <w:lang w:eastAsia="ja-JP"/>
        </w:rPr>
        <w:t xml:space="preserve"> receivers and fixed </w:t>
      </w:r>
      <w:proofErr w:type="gramStart"/>
      <w:r>
        <w:rPr>
          <w:szCs w:val="24"/>
          <w:lang w:eastAsia="ja-JP"/>
        </w:rPr>
        <w:t>receivers;</w:t>
      </w:r>
      <w:proofErr w:type="gramEnd"/>
    </w:p>
    <w:p w14:paraId="799CF0EA" w14:textId="77777777" w:rsidR="00E0517D" w:rsidRDefault="00E0517D" w:rsidP="00E0517D">
      <w:pPr>
        <w:jc w:val="both"/>
        <w:rPr>
          <w:szCs w:val="24"/>
        </w:rPr>
      </w:pPr>
      <w:r>
        <w:rPr>
          <w:i/>
          <w:iCs/>
          <w:szCs w:val="24"/>
        </w:rPr>
        <w:t>g)</w:t>
      </w:r>
      <w:r>
        <w:rPr>
          <w:szCs w:val="24"/>
        </w:rPr>
        <w:tab/>
        <w:t xml:space="preserve">that </w:t>
      </w:r>
      <w:r>
        <w:rPr>
          <w:rFonts w:eastAsia="Batang"/>
          <w:szCs w:val="24"/>
          <w:lang w:eastAsia="ja-JP"/>
        </w:rPr>
        <w:t>optical head-mounted displays (</w:t>
      </w:r>
      <w:proofErr w:type="gramStart"/>
      <w:r>
        <w:rPr>
          <w:rFonts w:eastAsia="Batang"/>
          <w:szCs w:val="24"/>
          <w:lang w:eastAsia="ja-JP"/>
        </w:rPr>
        <w:t>e.g.</w:t>
      </w:r>
      <w:proofErr w:type="gramEnd"/>
      <w:r>
        <w:rPr>
          <w:rFonts w:eastAsia="Batang"/>
          <w:szCs w:val="24"/>
          <w:lang w:eastAsia="ja-JP"/>
        </w:rPr>
        <w:t xml:space="preserve"> </w:t>
      </w:r>
      <w:r>
        <w:rPr>
          <w:szCs w:val="24"/>
          <w:lang w:eastAsia="ja-JP"/>
        </w:rPr>
        <w:t>“</w:t>
      </w:r>
      <w:r>
        <w:rPr>
          <w:rFonts w:eastAsia="Batang"/>
          <w:szCs w:val="24"/>
          <w:lang w:eastAsia="ja-JP"/>
        </w:rPr>
        <w:t>video glasses</w:t>
      </w:r>
      <w:r>
        <w:rPr>
          <w:szCs w:val="24"/>
          <w:lang w:eastAsia="ja-JP"/>
        </w:rPr>
        <w:t>”</w:t>
      </w:r>
      <w:r>
        <w:rPr>
          <w:rFonts w:eastAsia="Batang"/>
          <w:szCs w:val="24"/>
          <w:lang w:eastAsia="ja-JP"/>
        </w:rPr>
        <w:t>)</w:t>
      </w:r>
      <w:r>
        <w:rPr>
          <w:rFonts w:eastAsia="Batang"/>
          <w:position w:val="6"/>
          <w:sz w:val="18"/>
          <w:szCs w:val="18"/>
          <w:lang w:eastAsia="ja-JP"/>
        </w:rPr>
        <w:footnoteReference w:id="3"/>
      </w:r>
      <w:r>
        <w:rPr>
          <w:szCs w:val="24"/>
        </w:rPr>
        <w:t xml:space="preserve"> have been implemented, for the reception of TV broadcasting programmes and multimedia information;</w:t>
      </w:r>
    </w:p>
    <w:p w14:paraId="14D337EC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h)</w:t>
      </w:r>
      <w:r>
        <w:rPr>
          <w:szCs w:val="24"/>
        </w:rPr>
        <w:tab/>
        <w:t xml:space="preserve">that the </w:t>
      </w:r>
      <w:r>
        <w:rPr>
          <w:lang w:eastAsia="ja-JP"/>
        </w:rPr>
        <w:t>multiscreen</w:t>
      </w:r>
      <w:r>
        <w:rPr>
          <w:szCs w:val="24"/>
        </w:rPr>
        <w:t xml:space="preserve">/multi-image technology is used in the broadcasting and multimedia information applications providing simultaneous presentation of different applications and/or </w:t>
      </w:r>
      <w:proofErr w:type="gramStart"/>
      <w:r>
        <w:rPr>
          <w:szCs w:val="24"/>
        </w:rPr>
        <w:t>images;</w:t>
      </w:r>
      <w:proofErr w:type="gramEnd"/>
    </w:p>
    <w:p w14:paraId="06151667" w14:textId="77777777" w:rsidR="00E0517D" w:rsidRDefault="00E0517D" w:rsidP="00E0517D">
      <w:pPr>
        <w:jc w:val="both"/>
        <w:rPr>
          <w:szCs w:val="24"/>
          <w:lang w:eastAsia="ja-JP"/>
        </w:rPr>
      </w:pPr>
      <w:proofErr w:type="spellStart"/>
      <w:r>
        <w:rPr>
          <w:i/>
          <w:iCs/>
          <w:szCs w:val="24"/>
        </w:rPr>
        <w:t>i</w:t>
      </w:r>
      <w:proofErr w:type="spellEnd"/>
      <w:r>
        <w:rPr>
          <w:i/>
          <w:iCs/>
          <w:szCs w:val="24"/>
        </w:rPr>
        <w:t>)</w:t>
      </w:r>
      <w:r>
        <w:rPr>
          <w:szCs w:val="24"/>
        </w:rPr>
        <w:tab/>
      </w:r>
      <w:r>
        <w:rPr>
          <w:szCs w:val="24"/>
          <w:lang w:eastAsia="ja-JP"/>
        </w:rPr>
        <w:t xml:space="preserve">that the format of the transmitted information should be such that the content can be displayed intelligibly on as many types of screens and terminals as </w:t>
      </w:r>
      <w:proofErr w:type="gramStart"/>
      <w:r>
        <w:rPr>
          <w:szCs w:val="24"/>
          <w:lang w:eastAsia="ja-JP"/>
        </w:rPr>
        <w:t>possible;</w:t>
      </w:r>
      <w:proofErr w:type="gramEnd"/>
    </w:p>
    <w:p w14:paraId="720933B3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</w:rPr>
        <w:t>j)</w:t>
      </w:r>
      <w:r>
        <w:rPr>
          <w:szCs w:val="24"/>
        </w:rPr>
        <w:tab/>
      </w:r>
      <w:r>
        <w:rPr>
          <w:szCs w:val="24"/>
          <w:lang w:eastAsia="ja-JP"/>
        </w:rPr>
        <w:t xml:space="preserve">the need for </w:t>
      </w:r>
      <w:r>
        <w:rPr>
          <w:lang w:eastAsia="ja-JP"/>
        </w:rPr>
        <w:t>interoperability</w:t>
      </w:r>
      <w:r>
        <w:rPr>
          <w:szCs w:val="24"/>
          <w:lang w:eastAsia="ja-JP"/>
        </w:rPr>
        <w:t xml:space="preserve"> between the telecommunication services and interactive digital broadcasting </w:t>
      </w:r>
      <w:proofErr w:type="gramStart"/>
      <w:r>
        <w:rPr>
          <w:szCs w:val="24"/>
          <w:lang w:eastAsia="ja-JP"/>
        </w:rPr>
        <w:t>services;</w:t>
      </w:r>
      <w:proofErr w:type="gramEnd"/>
    </w:p>
    <w:p w14:paraId="66114267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i/>
          <w:iCs/>
          <w:szCs w:val="24"/>
          <w:lang w:eastAsia="ja-JP"/>
        </w:rPr>
        <w:t>k</w:t>
      </w:r>
      <w:r>
        <w:rPr>
          <w:i/>
          <w:iCs/>
          <w:szCs w:val="24"/>
        </w:rPr>
        <w:t>)</w:t>
      </w:r>
      <w:r>
        <w:rPr>
          <w:szCs w:val="24"/>
        </w:rPr>
        <w:tab/>
      </w:r>
      <w:r>
        <w:rPr>
          <w:szCs w:val="24"/>
          <w:lang w:eastAsia="ja-JP"/>
        </w:rPr>
        <w:t xml:space="preserve">the need to </w:t>
      </w:r>
      <w:r>
        <w:rPr>
          <w:lang w:eastAsia="ja-JP"/>
        </w:rPr>
        <w:t>harmonize</w:t>
      </w:r>
      <w:r>
        <w:rPr>
          <w:szCs w:val="24"/>
          <w:lang w:eastAsia="ja-JP"/>
        </w:rPr>
        <w:t xml:space="preserve"> technical methods used to implement content protection and conditional </w:t>
      </w:r>
      <w:proofErr w:type="gramStart"/>
      <w:r>
        <w:rPr>
          <w:szCs w:val="24"/>
          <w:lang w:eastAsia="ja-JP"/>
        </w:rPr>
        <w:t>access;</w:t>
      </w:r>
      <w:proofErr w:type="gramEnd"/>
    </w:p>
    <w:p w14:paraId="3F2D444E" w14:textId="77777777" w:rsidR="00E0517D" w:rsidRDefault="00E0517D" w:rsidP="00E0517D">
      <w:pPr>
        <w:keepNext/>
        <w:keepLines/>
        <w:jc w:val="both"/>
        <w:rPr>
          <w:rFonts w:asciiTheme="majorBidi" w:hAnsiTheme="majorBidi" w:cstheme="majorBidi"/>
          <w:szCs w:val="22"/>
          <w:lang w:eastAsia="ja-JP"/>
        </w:rPr>
      </w:pPr>
      <w:r>
        <w:rPr>
          <w:rFonts w:asciiTheme="majorBidi" w:hAnsiTheme="majorBidi" w:cstheme="majorBidi"/>
          <w:i/>
          <w:iCs/>
          <w:lang w:eastAsia="ja-JP"/>
        </w:rPr>
        <w:lastRenderedPageBreak/>
        <w:t>l</w:t>
      </w:r>
      <w:r>
        <w:rPr>
          <w:rFonts w:asciiTheme="majorBidi" w:hAnsiTheme="majorBidi" w:cstheme="majorBidi"/>
          <w:i/>
          <w:iCs/>
        </w:rPr>
        <w:t>)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eastAsia="ja-JP"/>
        </w:rPr>
        <w:t>that digital multimedia video information systems for presentation of various kinds of multimedia information applicable to</w:t>
      </w:r>
      <w:r>
        <w:rPr>
          <w:rFonts w:asciiTheme="majorBidi" w:hAnsiTheme="majorBidi" w:cstheme="majorBidi"/>
        </w:rPr>
        <w:t xml:space="preserve"> programmes</w:t>
      </w:r>
      <w:r>
        <w:rPr>
          <w:rFonts w:asciiTheme="majorBidi" w:hAnsiTheme="majorBidi" w:cstheme="majorBidi"/>
          <w:lang w:eastAsia="ja-JP"/>
        </w:rPr>
        <w:t xml:space="preserve"> such as </w:t>
      </w:r>
      <w:r>
        <w:rPr>
          <w:rFonts w:asciiTheme="majorBidi" w:hAnsiTheme="majorBidi" w:cstheme="majorBidi"/>
        </w:rPr>
        <w:t>dramas, plays, sporting events, concerts, cultural events, etc. are widespread</w:t>
      </w:r>
      <w:r>
        <w:rPr>
          <w:rFonts w:asciiTheme="majorBidi" w:hAnsiTheme="majorBidi" w:cstheme="majorBidi"/>
          <w:lang w:eastAsia="ja-JP"/>
        </w:rPr>
        <w:t>,</w:t>
      </w:r>
      <w:r>
        <w:rPr>
          <w:rFonts w:asciiTheme="majorBidi" w:hAnsiTheme="majorBidi" w:cstheme="majorBidi"/>
        </w:rPr>
        <w:t xml:space="preserve"> and those system</w:t>
      </w:r>
      <w:r>
        <w:rPr>
          <w:rFonts w:asciiTheme="majorBidi" w:hAnsiTheme="majorBidi" w:cstheme="majorBidi"/>
          <w:lang w:eastAsia="ja-JP"/>
        </w:rPr>
        <w:t>s</w:t>
      </w:r>
      <w:r>
        <w:rPr>
          <w:rFonts w:asciiTheme="majorBidi" w:hAnsiTheme="majorBidi" w:cstheme="majorBidi"/>
        </w:rPr>
        <w:t xml:space="preserve"> are being installed</w:t>
      </w:r>
      <w:r>
        <w:rPr>
          <w:rFonts w:asciiTheme="majorBidi" w:hAnsiTheme="majorBidi" w:cstheme="majorBidi"/>
          <w:lang w:eastAsia="ja-JP"/>
        </w:rPr>
        <w:t xml:space="preserve"> for collective viewing,</w:t>
      </w:r>
    </w:p>
    <w:p w14:paraId="46A24AD6" w14:textId="77777777" w:rsidR="00E0517D" w:rsidRDefault="00E0517D" w:rsidP="00E0517D">
      <w:pPr>
        <w:pStyle w:val="Call"/>
        <w:jc w:val="both"/>
        <w:rPr>
          <w:i w:val="0"/>
          <w:iCs/>
          <w:lang w:val="en-US" w:eastAsia="ja-JP"/>
        </w:rPr>
      </w:pPr>
      <w:r>
        <w:rPr>
          <w:lang w:val="en-US"/>
        </w:rPr>
        <w:t xml:space="preserve">decides </w:t>
      </w:r>
      <w:r>
        <w:rPr>
          <w:i w:val="0"/>
          <w:iCs/>
          <w:lang w:val="en-US"/>
        </w:rPr>
        <w:t xml:space="preserve">that the following Questions should be </w:t>
      </w:r>
      <w:proofErr w:type="gramStart"/>
      <w:r>
        <w:rPr>
          <w:i w:val="0"/>
          <w:iCs/>
          <w:lang w:val="en-US"/>
        </w:rPr>
        <w:t>studied</w:t>
      </w:r>
      <w:proofErr w:type="gramEnd"/>
    </w:p>
    <w:p w14:paraId="5B1DE029" w14:textId="77777777" w:rsidR="00E0517D" w:rsidRDefault="00E0517D" w:rsidP="00E0517D">
      <w:pPr>
        <w:keepNext/>
        <w:jc w:val="both"/>
        <w:rPr>
          <w:szCs w:val="24"/>
          <w:lang w:val="en-US" w:eastAsia="ja-JP"/>
        </w:rPr>
      </w:pPr>
      <w:r>
        <w:rPr>
          <w:bCs/>
          <w:szCs w:val="24"/>
        </w:rPr>
        <w:t>1</w:t>
      </w:r>
      <w:r>
        <w:rPr>
          <w:szCs w:val="24"/>
        </w:rPr>
        <w:tab/>
        <w:t xml:space="preserve">What are the user requirements </w:t>
      </w:r>
      <w:r>
        <w:rPr>
          <w:szCs w:val="24"/>
          <w:lang w:eastAsia="ja-JP"/>
        </w:rPr>
        <w:t xml:space="preserve">for broadcasting of </w:t>
      </w:r>
      <w:r>
        <w:rPr>
          <w:szCs w:val="24"/>
        </w:rPr>
        <w:t xml:space="preserve">multimedia </w:t>
      </w:r>
      <w:r>
        <w:rPr>
          <w:szCs w:val="24"/>
          <w:lang w:eastAsia="ja-JP"/>
        </w:rPr>
        <w:t xml:space="preserve">and data applications </w:t>
      </w:r>
      <w:proofErr w:type="gramStart"/>
      <w:r>
        <w:rPr>
          <w:szCs w:val="24"/>
          <w:lang w:eastAsia="ja-JP"/>
        </w:rPr>
        <w:t>taking into account</w:t>
      </w:r>
      <w:proofErr w:type="gramEnd"/>
      <w:r>
        <w:rPr>
          <w:szCs w:val="24"/>
          <w:lang w:eastAsia="ja-JP"/>
        </w:rPr>
        <w:t xml:space="preserve"> of various types of displays:</w:t>
      </w:r>
    </w:p>
    <w:p w14:paraId="242D7EBB" w14:textId="77777777" w:rsidR="00E0517D" w:rsidRDefault="00E0517D" w:rsidP="00E0517D">
      <w:pPr>
        <w:tabs>
          <w:tab w:val="left" w:pos="2608"/>
          <w:tab w:val="left" w:pos="3345"/>
        </w:tabs>
        <w:spacing w:before="80"/>
        <w:ind w:left="1134" w:hanging="1134"/>
        <w:jc w:val="both"/>
      </w:pPr>
      <w:r>
        <w:t>–</w:t>
      </w:r>
      <w:r>
        <w:tab/>
        <w:t>for mobile</w:t>
      </w:r>
      <w:r>
        <w:rPr>
          <w:lang w:eastAsia="ja-JP"/>
        </w:rPr>
        <w:t>/portable</w:t>
      </w:r>
      <w:r>
        <w:t xml:space="preserve"> </w:t>
      </w:r>
      <w:proofErr w:type="gramStart"/>
      <w:r>
        <w:t>reception;</w:t>
      </w:r>
      <w:proofErr w:type="gramEnd"/>
    </w:p>
    <w:p w14:paraId="00638CC0" w14:textId="77777777" w:rsidR="00E0517D" w:rsidRDefault="00E0517D" w:rsidP="00E0517D">
      <w:pPr>
        <w:tabs>
          <w:tab w:val="left" w:pos="2608"/>
          <w:tab w:val="left" w:pos="3345"/>
        </w:tabs>
        <w:spacing w:before="80"/>
        <w:ind w:left="1134" w:hanging="1134"/>
        <w:jc w:val="both"/>
      </w:pPr>
      <w:r>
        <w:t>–</w:t>
      </w:r>
      <w:r>
        <w:tab/>
        <w:t>for stationary reception?</w:t>
      </w:r>
    </w:p>
    <w:p w14:paraId="061B59CD" w14:textId="77777777" w:rsidR="00E0517D" w:rsidRDefault="00E0517D" w:rsidP="00E0517D">
      <w:pPr>
        <w:jc w:val="both"/>
        <w:rPr>
          <w:szCs w:val="24"/>
        </w:rPr>
      </w:pPr>
      <w:r>
        <w:rPr>
          <w:bCs/>
          <w:szCs w:val="24"/>
          <w:lang w:eastAsia="ja-JP"/>
        </w:rPr>
        <w:t>2</w:t>
      </w:r>
      <w:r>
        <w:rPr>
          <w:szCs w:val="24"/>
        </w:rPr>
        <w:tab/>
        <w:t xml:space="preserve">What are </w:t>
      </w:r>
      <w:r>
        <w:rPr>
          <w:lang w:eastAsia="ja-JP"/>
        </w:rPr>
        <w:t>the</w:t>
      </w:r>
      <w:r>
        <w:rPr>
          <w:szCs w:val="24"/>
        </w:rPr>
        <w:t xml:space="preserve"> user requirements for digital multimedia video information systems with respect to the actual format of the video signal (for example, SDTV, HDTV, UHDTV, HDR-TV, VR/360°, etc.)?</w:t>
      </w:r>
    </w:p>
    <w:p w14:paraId="6250BBDA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bCs/>
          <w:szCs w:val="24"/>
          <w:lang w:eastAsia="ja-JP"/>
        </w:rPr>
        <w:t>3</w:t>
      </w:r>
      <w:r>
        <w:rPr>
          <w:szCs w:val="24"/>
          <w:lang w:eastAsia="ja-JP"/>
        </w:rPr>
        <w:tab/>
        <w:t xml:space="preserve">What </w:t>
      </w:r>
      <w:r>
        <w:rPr>
          <w:lang w:eastAsia="ja-JP"/>
        </w:rPr>
        <w:t>characteristics</w:t>
      </w:r>
      <w:r>
        <w:rPr>
          <w:szCs w:val="24"/>
          <w:lang w:eastAsia="ja-JP"/>
        </w:rPr>
        <w:t xml:space="preserve"> are required for service assembly and access for broadcasting of multimedia and data applications for mobile reception and for stationary reception?</w:t>
      </w:r>
    </w:p>
    <w:p w14:paraId="4E43931D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bCs/>
          <w:szCs w:val="24"/>
          <w:lang w:eastAsia="ja-JP"/>
        </w:rPr>
        <w:t>4</w:t>
      </w:r>
      <w:r>
        <w:rPr>
          <w:szCs w:val="24"/>
          <w:lang w:eastAsia="ja-JP"/>
        </w:rPr>
        <w:tab/>
        <w:t xml:space="preserve">What </w:t>
      </w:r>
      <w:r>
        <w:rPr>
          <w:lang w:eastAsia="ja-JP"/>
        </w:rPr>
        <w:t>characteristics</w:t>
      </w:r>
      <w:r>
        <w:rPr>
          <w:szCs w:val="24"/>
          <w:lang w:eastAsia="ja-JP"/>
        </w:rPr>
        <w:t xml:space="preserve"> are required for service assembly and access for the digital multimedia video information systems for collective indoor and outdoor viewing?</w:t>
      </w:r>
    </w:p>
    <w:p w14:paraId="116FAF55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bCs/>
          <w:szCs w:val="24"/>
          <w:lang w:eastAsia="ja-JP"/>
        </w:rPr>
        <w:t>5</w:t>
      </w:r>
      <w:r>
        <w:rPr>
          <w:szCs w:val="24"/>
          <w:lang w:eastAsia="ja-JP"/>
        </w:rPr>
        <w:tab/>
        <w:t xml:space="preserve">What </w:t>
      </w:r>
      <w:r>
        <w:rPr>
          <w:lang w:eastAsia="ja-JP"/>
        </w:rPr>
        <w:t>data</w:t>
      </w:r>
      <w:r>
        <w:rPr>
          <w:szCs w:val="24"/>
          <w:lang w:eastAsia="ja-JP"/>
        </w:rPr>
        <w:t xml:space="preserve"> transport protocol(s) is (are) most suited to deliver broadcast multimedia and data contents to handheld, portable and vehicular receivers and to fixed receivers?</w:t>
      </w:r>
    </w:p>
    <w:p w14:paraId="04A603A9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szCs w:val="24"/>
          <w:lang w:eastAsia="ja-JP"/>
        </w:rPr>
        <w:t>6</w:t>
      </w:r>
      <w:r>
        <w:rPr>
          <w:szCs w:val="24"/>
          <w:lang w:eastAsia="ja-JP"/>
        </w:rPr>
        <w:tab/>
        <w:t xml:space="preserve">What </w:t>
      </w:r>
      <w:r>
        <w:rPr>
          <w:lang w:eastAsia="ja-JP"/>
        </w:rPr>
        <w:t>solutions</w:t>
      </w:r>
      <w:r>
        <w:rPr>
          <w:szCs w:val="24"/>
          <w:lang w:eastAsia="ja-JP"/>
        </w:rPr>
        <w:t xml:space="preserve"> can be adopted to ensure the interoperability between the telecommunication services and interactive digital broadcasting services?</w:t>
      </w:r>
    </w:p>
    <w:p w14:paraId="6FE70B36" w14:textId="77777777" w:rsidR="00E0517D" w:rsidRDefault="00E0517D" w:rsidP="00E0517D">
      <w:pPr>
        <w:keepNext/>
        <w:keepLines/>
        <w:ind w:left="1134"/>
        <w:jc w:val="both"/>
        <w:rPr>
          <w:i/>
        </w:rPr>
      </w:pPr>
      <w:r>
        <w:rPr>
          <w:i/>
        </w:rPr>
        <w:t xml:space="preserve">further </w:t>
      </w:r>
      <w:proofErr w:type="gramStart"/>
      <w:r>
        <w:rPr>
          <w:i/>
        </w:rPr>
        <w:t>decides</w:t>
      </w:r>
      <w:proofErr w:type="gramEnd"/>
    </w:p>
    <w:p w14:paraId="0DA605E4" w14:textId="77777777" w:rsidR="00E0517D" w:rsidRDefault="00E0517D" w:rsidP="00E0517D">
      <w:pPr>
        <w:jc w:val="both"/>
        <w:rPr>
          <w:szCs w:val="24"/>
        </w:rPr>
      </w:pPr>
      <w:r>
        <w:rPr>
          <w:bCs/>
          <w:szCs w:val="24"/>
        </w:rPr>
        <w:t>1</w:t>
      </w:r>
      <w:r>
        <w:rPr>
          <w:szCs w:val="24"/>
        </w:rPr>
        <w:tab/>
        <w:t>that the results of the above studies should be included in (a) Report(s) and/or Recommendation(s</w:t>
      </w:r>
      <w:proofErr w:type="gramStart"/>
      <w:r>
        <w:rPr>
          <w:szCs w:val="24"/>
        </w:rPr>
        <w:t>);</w:t>
      </w:r>
      <w:proofErr w:type="gramEnd"/>
    </w:p>
    <w:p w14:paraId="353CA544" w14:textId="77777777" w:rsidR="00E0517D" w:rsidRDefault="00E0517D" w:rsidP="00E0517D">
      <w:pPr>
        <w:jc w:val="both"/>
        <w:rPr>
          <w:szCs w:val="24"/>
          <w:lang w:eastAsia="ja-JP"/>
        </w:rPr>
      </w:pPr>
      <w:r>
        <w:rPr>
          <w:bCs/>
          <w:szCs w:val="24"/>
        </w:rPr>
        <w:t>2</w:t>
      </w:r>
      <w:r>
        <w:rPr>
          <w:szCs w:val="24"/>
        </w:rPr>
        <w:tab/>
        <w:t xml:space="preserve">that the </w:t>
      </w:r>
      <w:r>
        <w:rPr>
          <w:lang w:eastAsia="ja-JP"/>
        </w:rPr>
        <w:t>above</w:t>
      </w:r>
      <w:r>
        <w:rPr>
          <w:szCs w:val="24"/>
        </w:rPr>
        <w:t xml:space="preserve"> studies should be completed by 2027</w:t>
      </w:r>
      <w:r>
        <w:rPr>
          <w:szCs w:val="24"/>
          <w:lang w:eastAsia="ja-JP"/>
        </w:rPr>
        <w:t>.</w:t>
      </w:r>
    </w:p>
    <w:p w14:paraId="6F83AD42" w14:textId="1F21C63A" w:rsidR="00BA3F70" w:rsidRPr="001658F8" w:rsidRDefault="00E0517D" w:rsidP="00E0517D">
      <w:pPr>
        <w:spacing w:before="360"/>
        <w:jc w:val="both"/>
      </w:pPr>
      <w:r>
        <w:rPr>
          <w:lang w:eastAsia="ja-JP"/>
        </w:rPr>
        <w:t>Category: S2</w:t>
      </w:r>
    </w:p>
    <w:sectPr w:rsidR="00BA3F70" w:rsidRPr="001658F8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083D59C5" w14:textId="77777777" w:rsidR="00E0517D" w:rsidRDefault="00E0517D" w:rsidP="00E0517D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rFonts w:ascii="Calibri" w:hAnsi="Calibri" w:cs="Calibri"/>
          <w:szCs w:val="24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tab/>
      </w:r>
      <w:r>
        <w:rPr>
          <w:rFonts w:asciiTheme="majorBidi" w:hAnsiTheme="majorBidi" w:cstheme="majorBidi"/>
          <w:szCs w:val="24"/>
        </w:rPr>
        <w:t xml:space="preserve">This Question should be brought to the attention of ITU-R Study Group </w:t>
      </w:r>
      <w:r>
        <w:rPr>
          <w:rFonts w:asciiTheme="majorBidi" w:hAnsiTheme="majorBidi" w:cstheme="majorBidi"/>
          <w:szCs w:val="24"/>
          <w:lang w:eastAsia="ja-JP"/>
        </w:rPr>
        <w:t>5</w:t>
      </w:r>
      <w:r>
        <w:rPr>
          <w:rFonts w:asciiTheme="majorBidi" w:hAnsiTheme="majorBidi" w:cstheme="majorBidi"/>
          <w:szCs w:val="24"/>
        </w:rPr>
        <w:t xml:space="preserve"> and ITU-T Study Group 1</w:t>
      </w:r>
      <w:r>
        <w:rPr>
          <w:rFonts w:asciiTheme="majorBidi" w:hAnsiTheme="majorBidi" w:cstheme="majorBidi"/>
          <w:szCs w:val="24"/>
          <w:lang w:eastAsia="ja-JP"/>
        </w:rPr>
        <w:t>6</w:t>
      </w:r>
      <w:r>
        <w:rPr>
          <w:rFonts w:asciiTheme="majorBidi" w:hAnsiTheme="majorBidi" w:cstheme="majorBidi"/>
          <w:szCs w:val="24"/>
        </w:rPr>
        <w:t>.</w:t>
      </w:r>
    </w:p>
  </w:footnote>
  <w:footnote w:id="2">
    <w:p w14:paraId="34A99D07" w14:textId="77777777" w:rsidR="00E0517D" w:rsidRDefault="00E0517D" w:rsidP="00E0517D">
      <w:pPr>
        <w:pStyle w:val="FootnoteText"/>
        <w:ind w:left="255" w:hanging="255"/>
        <w:jc w:val="both"/>
        <w:rPr>
          <w:szCs w:val="28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8"/>
        </w:rPr>
        <w:tab/>
      </w:r>
      <w:r>
        <w:rPr>
          <w:rFonts w:asciiTheme="majorBidi" w:eastAsia="Arial Unicode MS" w:hAnsiTheme="majorBidi" w:cstheme="majorBidi"/>
          <w:szCs w:val="28"/>
        </w:rPr>
        <w:t xml:space="preserve">In the year 2023, Radiocommunication Study Group 6 extended the completion date </w:t>
      </w:r>
      <w:r>
        <w:rPr>
          <w:rFonts w:asciiTheme="majorBidi" w:hAnsiTheme="majorBidi" w:cstheme="majorBidi"/>
          <w:szCs w:val="28"/>
        </w:rPr>
        <w:t xml:space="preserve">of studies for </w:t>
      </w:r>
      <w:r>
        <w:rPr>
          <w:rFonts w:asciiTheme="majorBidi" w:eastAsia="Arial Unicode MS" w:hAnsiTheme="majorBidi" w:cstheme="majorBidi"/>
          <w:szCs w:val="28"/>
        </w:rPr>
        <w:t>this Question.</w:t>
      </w:r>
    </w:p>
  </w:footnote>
  <w:footnote w:id="3">
    <w:p w14:paraId="69F9F3CD" w14:textId="77777777" w:rsidR="00E0517D" w:rsidRDefault="00E0517D" w:rsidP="00E0517D">
      <w:pPr>
        <w:pStyle w:val="FootnoteText"/>
        <w:tabs>
          <w:tab w:val="clear" w:pos="255"/>
          <w:tab w:val="left" w:pos="284"/>
        </w:tabs>
        <w:ind w:left="284" w:hanging="284"/>
        <w:jc w:val="both"/>
        <w:rPr>
          <w:rFonts w:asciiTheme="majorBidi" w:hAnsiTheme="majorBidi" w:cstheme="majorBidi"/>
          <w:szCs w:val="24"/>
        </w:rPr>
      </w:pPr>
      <w:r>
        <w:rPr>
          <w:rStyle w:val="FootnoteReference"/>
          <w:rFonts w:asciiTheme="majorBidi" w:hAnsiTheme="majorBidi" w:cstheme="majorBidi"/>
          <w:szCs w:val="18"/>
        </w:rPr>
        <w:footnoteRef/>
      </w:r>
      <w:r>
        <w:rPr>
          <w:rFonts w:asciiTheme="majorBidi" w:hAnsiTheme="majorBidi" w:cstheme="majorBidi"/>
          <w:szCs w:val="24"/>
        </w:rPr>
        <w:tab/>
      </w:r>
      <w:r>
        <w:rPr>
          <w:rFonts w:asciiTheme="majorBidi" w:hAnsiTheme="majorBidi" w:cstheme="majorBidi"/>
          <w:szCs w:val="24"/>
          <w:lang w:eastAsia="ko-KR"/>
        </w:rPr>
        <w:t xml:space="preserve">The personal displays utilizing optical glasses can be used with the PCs, </w:t>
      </w:r>
      <w:proofErr w:type="gramStart"/>
      <w:r>
        <w:rPr>
          <w:rFonts w:asciiTheme="majorBidi" w:hAnsiTheme="majorBidi" w:cstheme="majorBidi"/>
          <w:szCs w:val="24"/>
          <w:lang w:eastAsia="ko-KR"/>
        </w:rPr>
        <w:t>smartphones</w:t>
      </w:r>
      <w:proofErr w:type="gramEnd"/>
      <w:r>
        <w:rPr>
          <w:rFonts w:asciiTheme="majorBidi" w:hAnsiTheme="majorBidi" w:cstheme="majorBidi"/>
          <w:szCs w:val="24"/>
          <w:lang w:eastAsia="ko-KR"/>
        </w:rPr>
        <w:t xml:space="preserve"> and other devices. They can be used for the reception of TV broadcasting programmes and personal multimedia information at any time, at any place and in motion.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0517D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Style 13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DNV-,DNV-F,DN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445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2023-09-20T12:27:00Z</dcterms:created>
  <dcterms:modified xsi:type="dcterms:W3CDTF">2023-09-20T12:27:00Z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