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9515" w14:textId="77777777" w:rsidR="00A02744" w:rsidRPr="00F50675" w:rsidRDefault="00A02744" w:rsidP="00E97678">
      <w:pPr>
        <w:pStyle w:val="QuestionNoBR"/>
        <w:rPr>
          <w:lang w:val="en-US"/>
        </w:rPr>
      </w:pPr>
      <w:r w:rsidRPr="00F50675">
        <w:rPr>
          <w:lang w:val="en-US"/>
        </w:rPr>
        <w:t>QUESTION ITU-R 118-2/7</w:t>
      </w:r>
    </w:p>
    <w:p w14:paraId="598E08A4" w14:textId="77777777" w:rsidR="00A02744" w:rsidRDefault="00A02744" w:rsidP="00A02744">
      <w:pPr>
        <w:pStyle w:val="Questiontitle"/>
      </w:pPr>
      <w:r>
        <w:t>Factors which affect frequency sharing between data relay</w:t>
      </w:r>
      <w:r>
        <w:br/>
        <w:t>satellite systems and systems of other services</w:t>
      </w:r>
    </w:p>
    <w:p w14:paraId="38EE5664" w14:textId="77777777" w:rsidR="00A02744" w:rsidRDefault="00A02744" w:rsidP="00695C08">
      <w:pPr>
        <w:pStyle w:val="Questiondate"/>
        <w:rPr>
          <w:b/>
        </w:rPr>
      </w:pPr>
      <w:r>
        <w:t>(1990-1996-2000)</w:t>
      </w:r>
    </w:p>
    <w:p w14:paraId="2A7519DD" w14:textId="77777777" w:rsidR="00A02744" w:rsidRDefault="00A02744" w:rsidP="003379C2">
      <w:pPr>
        <w:pStyle w:val="Normalaftertitle0"/>
        <w:jc w:val="both"/>
      </w:pPr>
      <w:r>
        <w:t>The ITU Radiocommunication Assembly,</w:t>
      </w:r>
    </w:p>
    <w:p w14:paraId="696DFD76" w14:textId="77777777" w:rsidR="00A02744" w:rsidRDefault="00A02744" w:rsidP="003379C2">
      <w:pPr>
        <w:pStyle w:val="Call"/>
        <w:jc w:val="both"/>
      </w:pPr>
      <w:r>
        <w:t>considering</w:t>
      </w:r>
    </w:p>
    <w:p w14:paraId="3BA19154" w14:textId="130FC2BE" w:rsidR="00A02744" w:rsidRDefault="00A02744" w:rsidP="003379C2">
      <w:pPr>
        <w:jc w:val="both"/>
      </w:pPr>
      <w:r w:rsidRPr="003379C2">
        <w:rPr>
          <w:i/>
          <w:iCs/>
        </w:rPr>
        <w:t>a)</w:t>
      </w:r>
      <w:r>
        <w:tab/>
        <w:t>that data relay satellites are used to relay mission-gathered data, television and voice communications in manned missions, orbit-tracking data such as position and velocity of the spacecraft, and telecommands for guidance and control of the spacecraft;</w:t>
      </w:r>
    </w:p>
    <w:p w14:paraId="405107DA" w14:textId="5EAEAC7E" w:rsidR="00A02744" w:rsidRDefault="00A02744" w:rsidP="003379C2">
      <w:pPr>
        <w:jc w:val="both"/>
      </w:pPr>
      <w:r w:rsidRPr="003379C2">
        <w:rPr>
          <w:i/>
          <w:iCs/>
        </w:rPr>
        <w:t>b)</w:t>
      </w:r>
      <w:r>
        <w:tab/>
        <w:t>that frequencies between 2 and 30 GHz used by both near-Earth satellite and data relay satellites are shared with other service systems;</w:t>
      </w:r>
    </w:p>
    <w:p w14:paraId="7FA702D8" w14:textId="6E1C43D3" w:rsidR="00A02744" w:rsidRDefault="00A02744" w:rsidP="003379C2">
      <w:pPr>
        <w:jc w:val="both"/>
      </w:pPr>
      <w:r w:rsidRPr="003379C2">
        <w:rPr>
          <w:i/>
          <w:iCs/>
        </w:rPr>
        <w:t>c)</w:t>
      </w:r>
      <w:r>
        <w:tab/>
        <w:t>that frequency bands between 20 and 30 GHz are becoming more heavily occupied by existing and planned systems;</w:t>
      </w:r>
    </w:p>
    <w:p w14:paraId="452511B4" w14:textId="77777777" w:rsidR="00A02744" w:rsidRDefault="00A02744" w:rsidP="003379C2">
      <w:pPr>
        <w:jc w:val="both"/>
      </w:pPr>
      <w:r w:rsidRPr="003379C2">
        <w:rPr>
          <w:i/>
          <w:iCs/>
        </w:rPr>
        <w:t>d)</w:t>
      </w:r>
      <w:r>
        <w:tab/>
        <w:t>that frequency sharing between space stations of a data relay satellite network and terrestrial systems is feasible, provided:</w:t>
      </w:r>
    </w:p>
    <w:p w14:paraId="3A24FC56" w14:textId="77777777" w:rsidR="00A02744" w:rsidRDefault="00A02744" w:rsidP="003379C2">
      <w:pPr>
        <w:pStyle w:val="enumlev1"/>
        <w:jc w:val="both"/>
      </w:pPr>
      <w:r>
        <w:t>–</w:t>
      </w:r>
      <w:r>
        <w:tab/>
        <w:t>that appropriate power flux-density limits are applied to the emissions of space stations of the data relay satellite networks;</w:t>
      </w:r>
    </w:p>
    <w:p w14:paraId="37F12FD5" w14:textId="77777777" w:rsidR="00A02744" w:rsidRDefault="00A02744" w:rsidP="003379C2">
      <w:pPr>
        <w:jc w:val="both"/>
      </w:pPr>
      <w:r>
        <w:t>–</w:t>
      </w:r>
      <w:r>
        <w:tab/>
        <w:t>that appropriate e.i.r.p. density limits are applied to terrestrial service stations;</w:t>
      </w:r>
    </w:p>
    <w:p w14:paraId="3AC4C7E2" w14:textId="77777777" w:rsidR="00A02744" w:rsidRDefault="00A02744" w:rsidP="003379C2">
      <w:pPr>
        <w:tabs>
          <w:tab w:val="clear" w:pos="794"/>
          <w:tab w:val="left" w:pos="810"/>
        </w:tabs>
        <w:jc w:val="both"/>
      </w:pPr>
      <w:r w:rsidRPr="003379C2">
        <w:rPr>
          <w:i/>
          <w:iCs/>
        </w:rPr>
        <w:t>e)</w:t>
      </w:r>
      <w:r>
        <w:tab/>
        <w:t>that interference to stations of a data relay satellite network from the emissions of fixed terrestrial stations may result in levels of interference that exceed the protection level when within view of these stations;</w:t>
      </w:r>
    </w:p>
    <w:p w14:paraId="2A350A36" w14:textId="77777777" w:rsidR="00A02744" w:rsidRDefault="00A02744" w:rsidP="003379C2">
      <w:pPr>
        <w:jc w:val="both"/>
      </w:pPr>
      <w:r w:rsidRPr="003379C2">
        <w:rPr>
          <w:i/>
          <w:iCs/>
        </w:rPr>
        <w:t>f)</w:t>
      </w:r>
      <w:r>
        <w:tab/>
        <w:t xml:space="preserve">that the use by data relay satellites of interference mitigation techniques such as frequency agility, adaptive interference cancellation and avoidance of </w:t>
      </w:r>
      <w:proofErr w:type="spellStart"/>
      <w:r>
        <w:t>mainbeam</w:t>
      </w:r>
      <w:proofErr w:type="spellEnd"/>
      <w:r>
        <w:t>-to-</w:t>
      </w:r>
      <w:proofErr w:type="spellStart"/>
      <w:r>
        <w:t>mainbeam</w:t>
      </w:r>
      <w:proofErr w:type="spellEnd"/>
      <w:r>
        <w:t xml:space="preserve"> coupling may facilitate sharing with the terrestrial services,</w:t>
      </w:r>
    </w:p>
    <w:p w14:paraId="4FD57CAD" w14:textId="5335847A" w:rsidR="00A02744" w:rsidRDefault="00A02744" w:rsidP="003379C2">
      <w:pPr>
        <w:pStyle w:val="Call"/>
        <w:jc w:val="both"/>
      </w:pPr>
      <w:r>
        <w:t>decides</w:t>
      </w:r>
      <w:r>
        <w:rPr>
          <w:i w:val="0"/>
          <w:iCs/>
        </w:rPr>
        <w:t xml:space="preserve"> that the following Question</w:t>
      </w:r>
      <w:r w:rsidR="003379C2">
        <w:rPr>
          <w:i w:val="0"/>
          <w:iCs/>
        </w:rPr>
        <w:t>s</w:t>
      </w:r>
      <w:r>
        <w:rPr>
          <w:i w:val="0"/>
          <w:iCs/>
        </w:rPr>
        <w:t xml:space="preserve"> should be studied</w:t>
      </w:r>
    </w:p>
    <w:p w14:paraId="4C1CE87E" w14:textId="77777777" w:rsidR="00A02744" w:rsidRDefault="00A02744" w:rsidP="003379C2">
      <w:pPr>
        <w:jc w:val="both"/>
      </w:pPr>
      <w:r w:rsidRPr="003379C2">
        <w:rPr>
          <w:bCs/>
        </w:rPr>
        <w:t>1</w:t>
      </w:r>
      <w:r>
        <w:tab/>
        <w:t>What are the services with which, and under what conditions, is the sharing of frequency bands practicable for data relay satellite systems?</w:t>
      </w:r>
    </w:p>
    <w:p w14:paraId="0C0FF5FB" w14:textId="77777777" w:rsidR="00A02744" w:rsidRDefault="00A02744" w:rsidP="003379C2">
      <w:pPr>
        <w:jc w:val="both"/>
      </w:pPr>
      <w:r w:rsidRPr="003379C2">
        <w:rPr>
          <w:bCs/>
        </w:rPr>
        <w:t>2</w:t>
      </w:r>
      <w:r>
        <w:tab/>
        <w:t>What are the limits of power flux-density from data relay satellite emissions needed to protect other services sharing frequencies between 2 and 30 GHz?</w:t>
      </w:r>
    </w:p>
    <w:p w14:paraId="5B5C473E" w14:textId="77777777" w:rsidR="00A02744" w:rsidRDefault="00A02744" w:rsidP="003379C2">
      <w:pPr>
        <w:jc w:val="both"/>
      </w:pPr>
      <w:r w:rsidRPr="003379C2">
        <w:rPr>
          <w:bCs/>
        </w:rPr>
        <w:t>3</w:t>
      </w:r>
      <w:r>
        <w:tab/>
        <w:t>What are the e.i.r.p. density limitations to be applied to terrestrial service stations to facilitate sharing with data relay satellite networks?</w:t>
      </w:r>
    </w:p>
    <w:p w14:paraId="7E26040A" w14:textId="77777777" w:rsidR="00A02744" w:rsidRDefault="00A02744" w:rsidP="003379C2">
      <w:pPr>
        <w:jc w:val="both"/>
        <w:rPr>
          <w:b/>
        </w:rPr>
      </w:pPr>
      <w:r w:rsidRPr="003379C2">
        <w:rPr>
          <w:bCs/>
        </w:rPr>
        <w:t>4</w:t>
      </w:r>
      <w:r>
        <w:tab/>
        <w:t>What are the implications of interference to stations in a data relay satellite network from the emissions of fixed terrestrial stations in contrast to interference from the emissions of non</w:t>
      </w:r>
      <w:r>
        <w:noBreakHyphen/>
        <w:t>stationary, randomly located terrestrial stations?</w:t>
      </w:r>
    </w:p>
    <w:p w14:paraId="1375F0C4" w14:textId="77777777" w:rsidR="00A02744" w:rsidRDefault="00A02744" w:rsidP="003379C2">
      <w:pPr>
        <w:jc w:val="both"/>
      </w:pPr>
      <w:r w:rsidRPr="003379C2">
        <w:rPr>
          <w:bCs/>
        </w:rPr>
        <w:t>5</w:t>
      </w:r>
      <w:r>
        <w:tab/>
        <w:t>What are the preferred interference mitigation techniques for use by data relay satellite networks operating above 20 GHz?</w:t>
      </w:r>
    </w:p>
    <w:p w14:paraId="65038C65" w14:textId="77777777" w:rsidR="003379C2" w:rsidRDefault="003379C2" w:rsidP="003379C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i/>
        </w:rPr>
      </w:pPr>
      <w:r>
        <w:br w:type="page"/>
      </w:r>
    </w:p>
    <w:p w14:paraId="2EA24FDE" w14:textId="4D62DEA0" w:rsidR="00A02744" w:rsidRDefault="00A02744" w:rsidP="003379C2">
      <w:pPr>
        <w:pStyle w:val="Call"/>
        <w:jc w:val="both"/>
      </w:pPr>
      <w:r>
        <w:lastRenderedPageBreak/>
        <w:t xml:space="preserve">further decides </w:t>
      </w:r>
    </w:p>
    <w:p w14:paraId="23DEC820" w14:textId="77777777" w:rsidR="00A02744" w:rsidRDefault="00A02744" w:rsidP="003379C2">
      <w:pPr>
        <w:jc w:val="both"/>
      </w:pPr>
      <w:r w:rsidRPr="003379C2">
        <w:rPr>
          <w:bCs/>
        </w:rPr>
        <w:t>1</w:t>
      </w:r>
      <w:r>
        <w:tab/>
        <w:t>that the results of the above studies should be included in (a) Recommendation(s);</w:t>
      </w:r>
    </w:p>
    <w:p w14:paraId="34B02A40" w14:textId="638B1030" w:rsidR="00A02744" w:rsidRDefault="00A02744" w:rsidP="003379C2">
      <w:pPr>
        <w:jc w:val="both"/>
      </w:pPr>
      <w:r w:rsidRPr="003379C2">
        <w:t>2</w:t>
      </w:r>
      <w:r>
        <w:tab/>
        <w:t xml:space="preserve">that the above studies should be completed by </w:t>
      </w:r>
      <w:r w:rsidR="00952AA8">
        <w:t>202</w:t>
      </w:r>
      <w:r w:rsidR="003379C2">
        <w:t>7</w:t>
      </w:r>
      <w:r>
        <w:t>.</w:t>
      </w:r>
    </w:p>
    <w:p w14:paraId="06F4D1B3" w14:textId="77777777" w:rsidR="00CA5B49" w:rsidRDefault="00CA5B49" w:rsidP="003379C2">
      <w:pPr>
        <w:spacing w:before="360"/>
      </w:pPr>
      <w:r>
        <w:t xml:space="preserve">Category: </w:t>
      </w:r>
      <w:proofErr w:type="spellStart"/>
      <w:r>
        <w:t>S2</w:t>
      </w:r>
      <w:proofErr w:type="spellEnd"/>
    </w:p>
    <w:sectPr w:rsidR="00CA5B49" w:rsidSect="00636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6E8" w14:textId="77777777" w:rsidR="003942F7" w:rsidRDefault="003942F7">
      <w:r>
        <w:separator/>
      </w:r>
    </w:p>
  </w:endnote>
  <w:endnote w:type="continuationSeparator" w:id="0">
    <w:p w14:paraId="1C08FE18" w14:textId="77777777" w:rsidR="003942F7" w:rsidRDefault="003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31A" w14:textId="77777777" w:rsidR="003942F7" w:rsidRPr="002C353C" w:rsidRDefault="003942F7">
    <w:pPr>
      <w:rPr>
        <w:lang w:val="en-US"/>
      </w:rPr>
    </w:pPr>
    <w:r>
      <w:fldChar w:fldCharType="begin"/>
    </w:r>
    <w:r w:rsidRPr="002C353C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L:\RA-12\Recs_Questions with detailed breakdown\SG7\editorial changes to Questions of SG 7.docx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79C2">
      <w:rPr>
        <w:noProof/>
      </w:rPr>
      <w:t>15.01.20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20.10.11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BBFA" w14:textId="77777777" w:rsidR="003942F7" w:rsidRPr="00E97678" w:rsidRDefault="003942F7" w:rsidP="00E97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7B69" w14:textId="77777777" w:rsidR="003942F7" w:rsidRPr="00E97678" w:rsidRDefault="003942F7" w:rsidP="00E9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6038" w14:textId="77777777" w:rsidR="003942F7" w:rsidRDefault="003942F7">
      <w:r>
        <w:rPr>
          <w:b/>
        </w:rPr>
        <w:t>_______________</w:t>
      </w:r>
    </w:p>
  </w:footnote>
  <w:footnote w:type="continuationSeparator" w:id="0">
    <w:p w14:paraId="60ABB960" w14:textId="77777777" w:rsidR="003942F7" w:rsidRDefault="0039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5A1" w14:textId="77777777" w:rsidR="00E97678" w:rsidRDefault="00E9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DF5B" w14:textId="77777777" w:rsidR="003942F7" w:rsidRDefault="003942F7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97678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0C35" w14:textId="77777777" w:rsidR="00E97678" w:rsidRDefault="00E97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877688">
    <w:abstractNumId w:val="0"/>
  </w:num>
  <w:num w:numId="2" w16cid:durableId="47299089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25923071">
    <w:abstractNumId w:val="4"/>
  </w:num>
  <w:num w:numId="4" w16cid:durableId="1982686577">
    <w:abstractNumId w:val="3"/>
  </w:num>
  <w:num w:numId="5" w16cid:durableId="35785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E4"/>
    <w:rsid w:val="00007FDA"/>
    <w:rsid w:val="00020EF4"/>
    <w:rsid w:val="00033B1B"/>
    <w:rsid w:val="000B2DA9"/>
    <w:rsid w:val="000C6D7D"/>
    <w:rsid w:val="000D38F2"/>
    <w:rsid w:val="000E33FF"/>
    <w:rsid w:val="000F215E"/>
    <w:rsid w:val="000F61DE"/>
    <w:rsid w:val="00133164"/>
    <w:rsid w:val="001552FD"/>
    <w:rsid w:val="0017316F"/>
    <w:rsid w:val="00183303"/>
    <w:rsid w:val="0019336B"/>
    <w:rsid w:val="0019665D"/>
    <w:rsid w:val="001A253E"/>
    <w:rsid w:val="001B225D"/>
    <w:rsid w:val="00206408"/>
    <w:rsid w:val="00235E81"/>
    <w:rsid w:val="00240A3D"/>
    <w:rsid w:val="00255BC2"/>
    <w:rsid w:val="002664E4"/>
    <w:rsid w:val="002A464A"/>
    <w:rsid w:val="002C353C"/>
    <w:rsid w:val="003379C2"/>
    <w:rsid w:val="0036490F"/>
    <w:rsid w:val="00366457"/>
    <w:rsid w:val="00366B3E"/>
    <w:rsid w:val="003942F7"/>
    <w:rsid w:val="003B1062"/>
    <w:rsid w:val="00424763"/>
    <w:rsid w:val="00463968"/>
    <w:rsid w:val="004771D2"/>
    <w:rsid w:val="004844C1"/>
    <w:rsid w:val="00492155"/>
    <w:rsid w:val="004D52C2"/>
    <w:rsid w:val="004D6FFE"/>
    <w:rsid w:val="004E314D"/>
    <w:rsid w:val="004E4F03"/>
    <w:rsid w:val="004F2AE9"/>
    <w:rsid w:val="00502509"/>
    <w:rsid w:val="005261A1"/>
    <w:rsid w:val="00535A77"/>
    <w:rsid w:val="005A6B48"/>
    <w:rsid w:val="005E1D27"/>
    <w:rsid w:val="00610BEA"/>
    <w:rsid w:val="00620F66"/>
    <w:rsid w:val="00622B3C"/>
    <w:rsid w:val="00636331"/>
    <w:rsid w:val="00695C08"/>
    <w:rsid w:val="006C1790"/>
    <w:rsid w:val="006C1849"/>
    <w:rsid w:val="006C58E1"/>
    <w:rsid w:val="0071246B"/>
    <w:rsid w:val="00732413"/>
    <w:rsid w:val="007460FC"/>
    <w:rsid w:val="00756B1C"/>
    <w:rsid w:val="0078549E"/>
    <w:rsid w:val="007B4666"/>
    <w:rsid w:val="007B6C6E"/>
    <w:rsid w:val="007C3667"/>
    <w:rsid w:val="007D75BD"/>
    <w:rsid w:val="00813A9C"/>
    <w:rsid w:val="008140A1"/>
    <w:rsid w:val="00892D8C"/>
    <w:rsid w:val="00894F8C"/>
    <w:rsid w:val="008D7759"/>
    <w:rsid w:val="008F48FD"/>
    <w:rsid w:val="00912563"/>
    <w:rsid w:val="00925ADD"/>
    <w:rsid w:val="00935574"/>
    <w:rsid w:val="00941FC0"/>
    <w:rsid w:val="009447A3"/>
    <w:rsid w:val="00952AA8"/>
    <w:rsid w:val="009A5A59"/>
    <w:rsid w:val="009B755B"/>
    <w:rsid w:val="009D4C83"/>
    <w:rsid w:val="00A02744"/>
    <w:rsid w:val="00A05CE9"/>
    <w:rsid w:val="00A066D4"/>
    <w:rsid w:val="00A4610D"/>
    <w:rsid w:val="00A74095"/>
    <w:rsid w:val="00A75920"/>
    <w:rsid w:val="00A920E8"/>
    <w:rsid w:val="00A967D2"/>
    <w:rsid w:val="00AA0CD3"/>
    <w:rsid w:val="00AB2D01"/>
    <w:rsid w:val="00AB34C4"/>
    <w:rsid w:val="00B12BEA"/>
    <w:rsid w:val="00B13474"/>
    <w:rsid w:val="00B80D7E"/>
    <w:rsid w:val="00B91633"/>
    <w:rsid w:val="00BA42F0"/>
    <w:rsid w:val="00BC046E"/>
    <w:rsid w:val="00BE5003"/>
    <w:rsid w:val="00BE68A7"/>
    <w:rsid w:val="00BF7A86"/>
    <w:rsid w:val="00C01737"/>
    <w:rsid w:val="00C23908"/>
    <w:rsid w:val="00C248E6"/>
    <w:rsid w:val="00C320E9"/>
    <w:rsid w:val="00C42B1B"/>
    <w:rsid w:val="00C50514"/>
    <w:rsid w:val="00C66EC9"/>
    <w:rsid w:val="00C779EC"/>
    <w:rsid w:val="00C965AE"/>
    <w:rsid w:val="00CA5B49"/>
    <w:rsid w:val="00CB27ED"/>
    <w:rsid w:val="00CD5DAF"/>
    <w:rsid w:val="00CE1A0E"/>
    <w:rsid w:val="00D06CE9"/>
    <w:rsid w:val="00D471A9"/>
    <w:rsid w:val="00D53437"/>
    <w:rsid w:val="00D64297"/>
    <w:rsid w:val="00D828B7"/>
    <w:rsid w:val="00DF4F01"/>
    <w:rsid w:val="00E05229"/>
    <w:rsid w:val="00E1692D"/>
    <w:rsid w:val="00E31DEA"/>
    <w:rsid w:val="00E4547C"/>
    <w:rsid w:val="00E51A58"/>
    <w:rsid w:val="00E61BEE"/>
    <w:rsid w:val="00E85B82"/>
    <w:rsid w:val="00E97678"/>
    <w:rsid w:val="00EA3088"/>
    <w:rsid w:val="00EB4C24"/>
    <w:rsid w:val="00EC1B07"/>
    <w:rsid w:val="00EC72C6"/>
    <w:rsid w:val="00EE1889"/>
    <w:rsid w:val="00EE1A06"/>
    <w:rsid w:val="00EE4BE8"/>
    <w:rsid w:val="00EF5945"/>
    <w:rsid w:val="00F006FE"/>
    <w:rsid w:val="00F00DC6"/>
    <w:rsid w:val="00F05173"/>
    <w:rsid w:val="00F12A30"/>
    <w:rsid w:val="00F265DD"/>
    <w:rsid w:val="00F329B0"/>
    <w:rsid w:val="00F8764A"/>
    <w:rsid w:val="00F929E5"/>
    <w:rsid w:val="00FA4BC7"/>
    <w:rsid w:val="00FF37DE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2968C20"/>
  <w15:docId w15:val="{9DCD3A59-7BCC-4DD9-9837-BE8E5D1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EE1A06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HeadingSum">
    <w:name w:val="Heading_Sum"/>
    <w:basedOn w:val="Heading1"/>
    <w:next w:val="Summary"/>
    <w:rsid w:val="00EE1A06"/>
    <w:rPr>
      <w:sz w:val="22"/>
    </w:rPr>
  </w:style>
  <w:style w:type="paragraph" w:customStyle="1" w:styleId="Summary">
    <w:name w:val="Summary"/>
    <w:basedOn w:val="Normal"/>
    <w:next w:val="Normal"/>
    <w:rsid w:val="00EE1A06"/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Figurewithouttitle"/>
    <w:pPr>
      <w:keepNext w:val="0"/>
      <w:spacing w:after="480"/>
    </w:pPr>
  </w:style>
  <w:style w:type="paragraph" w:customStyle="1" w:styleId="Formal">
    <w:name w:val="Formal"/>
    <w:basedOn w:val="ASN1"/>
    <w:rPr>
      <w:b w:val="0"/>
    </w:rPr>
  </w:style>
  <w:style w:type="paragraph" w:customStyle="1" w:styleId="Note">
    <w:name w:val="Note"/>
    <w:basedOn w:val="Normal"/>
    <w:rsid w:val="00EE1A06"/>
    <w:pPr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9447A3"/>
    <w:pPr>
      <w:spacing w:before="280"/>
    </w:pPr>
  </w:style>
  <w:style w:type="paragraph" w:customStyle="1" w:styleId="Annexref">
    <w:name w:val="Annex_ref"/>
    <w:basedOn w:val="Normal"/>
    <w:next w:val="Normal"/>
    <w:rsid w:val="002664E4"/>
    <w:pPr>
      <w:keepNext/>
      <w:keepLines/>
      <w:spacing w:after="280"/>
      <w:jc w:val="center"/>
    </w:pPr>
  </w:style>
  <w:style w:type="paragraph" w:customStyle="1" w:styleId="TableText0">
    <w:name w:val="Table_Text"/>
    <w:basedOn w:val="Normal"/>
    <w:rsid w:val="002664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2664E4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2664E4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8F48FD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paragraph" w:styleId="NormalWeb">
    <w:name w:val="Normal (Web)"/>
    <w:basedOn w:val="Normal"/>
    <w:rsid w:val="008F48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qFormat/>
    <w:rsid w:val="008F48FD"/>
    <w:rPr>
      <w:b/>
      <w:bCs/>
    </w:rPr>
  </w:style>
  <w:style w:type="table" w:styleId="TableGrid">
    <w:name w:val="Table Grid"/>
    <w:basedOn w:val="TableNormal"/>
    <w:rsid w:val="00F006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 Title"/>
    <w:basedOn w:val="Normal"/>
    <w:next w:val="Heading1"/>
    <w:rsid w:val="004771D2"/>
    <w:pPr>
      <w:spacing w:before="240"/>
      <w:jc w:val="center"/>
    </w:pPr>
    <w:rPr>
      <w:b/>
      <w:caps/>
    </w:rPr>
  </w:style>
  <w:style w:type="paragraph" w:customStyle="1" w:styleId="RecTitle1">
    <w:name w:val="Rec_Title"/>
    <w:basedOn w:val="Normal"/>
    <w:next w:val="Heading1"/>
    <w:rsid w:val="00BF7A8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QuestionNoBR">
    <w:name w:val="Question_No_BR"/>
    <w:basedOn w:val="Normal"/>
    <w:next w:val="Questiontitle"/>
    <w:rsid w:val="00A02744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A0274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AnnexNo">
    <w:name w:val="Annex_No"/>
    <w:basedOn w:val="Normal"/>
    <w:next w:val="Normal"/>
    <w:rsid w:val="00A02744"/>
    <w:pPr>
      <w:keepNext/>
      <w:keepLines/>
      <w:spacing w:before="480" w:after="80"/>
      <w:jc w:val="center"/>
    </w:pPr>
    <w:rPr>
      <w:caps/>
      <w:sz w:val="28"/>
    </w:rPr>
  </w:style>
  <w:style w:type="paragraph" w:styleId="BalloonText">
    <w:name w:val="Balloon Text"/>
    <w:basedOn w:val="Normal"/>
    <w:semiHidden/>
    <w:rsid w:val="00D06CE9"/>
    <w:rPr>
      <w:rFonts w:ascii="Tahoma" w:hAnsi="Tahoma" w:cs="Tahoma"/>
      <w:sz w:val="16"/>
      <w:szCs w:val="16"/>
    </w:rPr>
  </w:style>
  <w:style w:type="character" w:customStyle="1" w:styleId="CallChar">
    <w:name w:val="Call Char"/>
    <w:basedOn w:val="DefaultParagraphFont"/>
    <w:link w:val="Call"/>
    <w:locked/>
    <w:rsid w:val="00B91633"/>
    <w:rPr>
      <w:i/>
      <w:sz w:val="24"/>
      <w:lang w:val="en-GB" w:eastAsia="en-US" w:bidi="ar-SA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91633"/>
    <w:rPr>
      <w:sz w:val="24"/>
      <w:lang w:val="en-GB" w:eastAsia="en-US" w:bidi="ar-SA"/>
    </w:rPr>
  </w:style>
  <w:style w:type="character" w:customStyle="1" w:styleId="enumlev10">
    <w:name w:val="enumlev1 Знак"/>
    <w:basedOn w:val="DefaultParagraphFont"/>
    <w:link w:val="enumlev1"/>
    <w:locked/>
    <w:rsid w:val="00B91633"/>
    <w:rPr>
      <w:sz w:val="24"/>
      <w:lang w:val="en-GB" w:eastAsia="en-US" w:bidi="ar-SA"/>
    </w:rPr>
  </w:style>
  <w:style w:type="paragraph" w:customStyle="1" w:styleId="TableTitle0">
    <w:name w:val="Table_Title"/>
    <w:basedOn w:val="Normal"/>
    <w:next w:val="TableText0"/>
    <w:rsid w:val="00B91633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QuestionTitleDate">
    <w:name w:val="Question_Title/Date"/>
    <w:basedOn w:val="Normal"/>
    <w:next w:val="Normal"/>
    <w:rsid w:val="00B9163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4DE4-35B6-4B94-82D2-F8D40066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ASSIGNED TO RADIOCOMMUNICATION STUDY GROUP 7: SCIENCE SERVICES</vt:lpstr>
      <vt:lpstr>QUESTIONS ASSIGNED TO RADIOCOMMUNICATION STUDY GROUP 7: SCIENCE SERVICES</vt:lpstr>
    </vt:vector>
  </TitlesOfParts>
  <Manager>General Secretariat - Pool</Manager>
  <Company>International Telecommunication Union (ITU)</Company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ASSIGNED TO RADIOCOMMUNICATION STUDY GROUP 7: SCIENCE SERVICES</dc:title>
  <dc:subject>Radiocommunication Assembly - 2003</dc:subject>
  <dc:creator>Radiocommunication Study Group 7</dc:creator>
  <cp:keywords>RA03, RA-2003</cp:keywords>
  <dc:description>Document 7/1003-E  For: _x000d_Document date: 19 July 2007_x000d_Saved by IC-45271 at 15:01:40 on 19.07.2007</dc:description>
  <cp:lastModifiedBy>Author1</cp:lastModifiedBy>
  <cp:revision>7</cp:revision>
  <cp:lastPrinted>2011-10-20T14:57:00Z</cp:lastPrinted>
  <dcterms:created xsi:type="dcterms:W3CDTF">2012-02-02T13:32:00Z</dcterms:created>
  <dcterms:modified xsi:type="dcterms:W3CDTF">2024-02-01T15:47:00Z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7/1003-E</vt:lpwstr>
  </property>
  <property fmtid="{D5CDD505-2E9C-101B-9397-08002B2CF9AE}" pid="4" name="Docdate">
    <vt:lpwstr>19 July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Radiocommunication Study Group 7</vt:lpwstr>
  </property>
</Properties>
</file>