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F78A" w14:textId="3A137AA1" w:rsidR="005036CE" w:rsidRPr="00E4450A" w:rsidRDefault="005036CE" w:rsidP="005036CE">
      <w:pPr>
        <w:pStyle w:val="QuestionNo"/>
        <w:rPr>
          <w:rtl/>
        </w:rPr>
      </w:pPr>
      <w:r>
        <w:rPr>
          <w:rtl/>
        </w:rPr>
        <w:t>المسـألة</w:t>
      </w:r>
      <w:r>
        <w:rPr>
          <w:rFonts w:hint="cs"/>
          <w:rtl/>
        </w:rPr>
        <w:t xml:space="preserve"> </w:t>
      </w:r>
      <w:r w:rsidR="00AA4F3F" w:rsidRPr="00AA4F3F">
        <w:rPr>
          <w:rStyle w:val="FootnoteReference"/>
          <w:rtl/>
        </w:rPr>
        <w:footnoteReference w:customMarkFollows="1" w:id="1"/>
        <w:sym w:font="Symbol" w:char="F02A"/>
      </w:r>
      <w:r w:rsidR="00AA4F3F">
        <w:rPr>
          <w:lang w:val="fr-FR"/>
        </w:rPr>
        <w:t>I</w:t>
      </w:r>
      <w:r>
        <w:rPr>
          <w:lang w:val="fr-FR"/>
        </w:rPr>
        <w:t>TU-R 146-2/7</w:t>
      </w:r>
    </w:p>
    <w:p w14:paraId="2D7F5BD9" w14:textId="77777777" w:rsidR="005036CE" w:rsidRDefault="005036CE" w:rsidP="005036CE">
      <w:pPr>
        <w:pStyle w:val="Questiontitle"/>
        <w:spacing w:before="240"/>
        <w:rPr>
          <w:rtl/>
          <w:lang w:bidi="ar-EG"/>
        </w:rPr>
      </w:pPr>
      <w:r w:rsidRPr="004840C2">
        <w:rPr>
          <w:color w:val="000000"/>
          <w:rtl/>
          <w:lang w:bidi="ar-EG"/>
        </w:rPr>
        <w:t xml:space="preserve">معايير لتقييم التداخل إلى </w:t>
      </w:r>
      <w:r>
        <w:rPr>
          <w:rFonts w:hint="cs"/>
          <w:color w:val="000000"/>
          <w:rtl/>
          <w:lang w:bidi="ar-EG"/>
        </w:rPr>
        <w:t xml:space="preserve">علم </w:t>
      </w:r>
      <w:r w:rsidRPr="004840C2">
        <w:rPr>
          <w:color w:val="000000"/>
          <w:rtl/>
          <w:lang w:bidi="ar-EG"/>
        </w:rPr>
        <w:t>الفلك الراديوي</w:t>
      </w:r>
    </w:p>
    <w:p w14:paraId="09F37132" w14:textId="77777777" w:rsidR="005036CE" w:rsidRPr="00461CA9" w:rsidRDefault="005036CE" w:rsidP="005036CE">
      <w:pPr>
        <w:jc w:val="right"/>
        <w:rPr>
          <w:lang w:bidi="ar-EG"/>
        </w:rPr>
      </w:pPr>
      <w:r>
        <w:rPr>
          <w:lang w:val="fr-FR" w:bidi="ar-EG"/>
        </w:rPr>
        <w:t>(2000-1993-1990)</w:t>
      </w:r>
    </w:p>
    <w:p w14:paraId="5B4A4B14" w14:textId="77777777" w:rsidR="005036CE" w:rsidRDefault="005036CE" w:rsidP="005036CE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4C2F15C8" w14:textId="77777777" w:rsidR="005036CE" w:rsidRDefault="005036CE" w:rsidP="005036CE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4563797D" w14:textId="77777777" w:rsidR="005036CE" w:rsidRDefault="005036CE" w:rsidP="005036C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نطاقات التردد وُزِّعت للفلك الراديوي، بموجب لوائح الراديو، من أجل عمليات المراقبة الخطية والمتصلة؛</w:t>
      </w:r>
    </w:p>
    <w:p w14:paraId="14389677" w14:textId="77777777" w:rsidR="005036CE" w:rsidRDefault="005036CE" w:rsidP="005036CE">
      <w:pPr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الإشارات غير المطلوبة ذات القدرة المتدنية قد تسبب التداخل الضار لمراقبة الفلك الراديوي؛</w:t>
      </w:r>
    </w:p>
    <w:p w14:paraId="59F115D7" w14:textId="77777777" w:rsidR="005036CE" w:rsidRDefault="005036CE" w:rsidP="005036CE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خدمات أخرى تعمل في نطاقات كثيرة يوجد فيها توزيعات الفلك الراديوي، أو تستخدم مرسلات ذات قدرة عالية في نطاقات قريبة من، أو متناغمة مع، النطاقات التي يستخدمها علم الفلك الراديوي؛</w:t>
      </w:r>
    </w:p>
    <w:p w14:paraId="10DFC54E" w14:textId="77777777" w:rsidR="005036CE" w:rsidRDefault="005036CE" w:rsidP="005036CE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العدد المتزايد للإرسالات من المركبات الفضائية قد يسبب مشكلات تداخل لعلم الفلك الراديوي، وهي مشكلات 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يمكن تجنبها باختيار موقع لمرصد أو من خلال الحماية المحلية؛</w:t>
      </w:r>
    </w:p>
    <w:p w14:paraId="73A0FFE6" w14:textId="77777777" w:rsidR="005036CE" w:rsidRDefault="005036CE" w:rsidP="005036CE">
      <w:pPr>
        <w:rPr>
          <w:rtl/>
          <w:lang w:bidi="ar-EG"/>
        </w:rPr>
      </w:pPr>
      <w:proofErr w:type="gramStart"/>
      <w:r w:rsidRPr="00237491">
        <w:rPr>
          <w:rtl/>
          <w:lang w:bidi="ar-EG"/>
        </w:rPr>
        <w:t>ﻫ</w:t>
      </w:r>
      <w:r>
        <w:rPr>
          <w:rFonts w:hint="cs"/>
          <w:rtl/>
          <w:lang w:bidi="ar-EG"/>
        </w:rPr>
        <w:t xml:space="preserve"> )</w:t>
      </w:r>
      <w:proofErr w:type="gramEnd"/>
      <w:r>
        <w:rPr>
          <w:rFonts w:hint="cs"/>
          <w:rtl/>
          <w:lang w:bidi="ar-EG"/>
        </w:rPr>
        <w:tab/>
        <w:t xml:space="preserve">أن استعمال الهوائيات المدارية في علم الفلك الراديوي، سواء كعناصر من </w:t>
      </w:r>
      <w:proofErr w:type="spellStart"/>
      <w:r>
        <w:rPr>
          <w:rFonts w:hint="cs"/>
          <w:rtl/>
          <w:lang w:bidi="ar-EG"/>
        </w:rPr>
        <w:t>صفيفة</w:t>
      </w:r>
      <w:proofErr w:type="spellEnd"/>
      <w:r>
        <w:rPr>
          <w:rFonts w:hint="cs"/>
          <w:rtl/>
          <w:lang w:bidi="ar-EG"/>
        </w:rPr>
        <w:t xml:space="preserve"> أو باعتبارها تلسكوبات راديوية مستقلة، يتيح مزايا لا تتوافر للهوائيات الأرضية بالنسبة إلى عمليات مراقبة معينة؛</w:t>
      </w:r>
    </w:p>
    <w:p w14:paraId="02860E19" w14:textId="77777777" w:rsidR="005036CE" w:rsidRDefault="005036CE" w:rsidP="005036CE">
      <w:pPr>
        <w:rPr>
          <w:rtl/>
          <w:lang w:val="fr-FR" w:bidi="ar-EG"/>
        </w:rPr>
      </w:pPr>
      <w:proofErr w:type="gramStart"/>
      <w:r>
        <w:rPr>
          <w:rFonts w:hint="cs"/>
          <w:rtl/>
          <w:lang w:bidi="ar-EG"/>
        </w:rPr>
        <w:t>و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المؤتمر </w:t>
      </w:r>
      <w:r>
        <w:rPr>
          <w:lang w:bidi="ar-EG"/>
        </w:rPr>
        <w:t>WARC-79</w:t>
      </w:r>
      <w:r>
        <w:rPr>
          <w:rFonts w:hint="cs"/>
          <w:rtl/>
          <w:lang w:bidi="ar-EG"/>
        </w:rPr>
        <w:t xml:space="preserve"> طلب في التوصية </w:t>
      </w:r>
      <w:r>
        <w:rPr>
          <w:lang w:bidi="ar-EG"/>
        </w:rPr>
        <w:t>61</w:t>
      </w:r>
      <w:r>
        <w:rPr>
          <w:rStyle w:val="FootnoteReference"/>
          <w:rtl/>
          <w:lang w:val="fr-FR" w:bidi="ar-EG"/>
        </w:rPr>
        <w:footnoteReference w:customMarkFollows="1" w:id="2"/>
        <w:t>*</w:t>
      </w:r>
      <w:r>
        <w:rPr>
          <w:rFonts w:hint="cs"/>
          <w:rtl/>
          <w:lang w:val="fr-FR" w:bidi="ar-EG"/>
        </w:rPr>
        <w:t xml:space="preserve"> معلومات تتعلق بقواعد التداخل الضار لعلم الفلك الراديوي؛</w:t>
      </w:r>
    </w:p>
    <w:p w14:paraId="6BD78C27" w14:textId="77777777" w:rsidR="005036CE" w:rsidRPr="00237491" w:rsidRDefault="005036CE" w:rsidP="005036CE">
      <w:pPr>
        <w:rPr>
          <w:rtl/>
          <w:lang w:bidi="ar-EG"/>
        </w:rPr>
      </w:pPr>
      <w:proofErr w:type="gramStart"/>
      <w:r>
        <w:rPr>
          <w:rFonts w:hint="cs"/>
          <w:rtl/>
          <w:lang w:val="fr-FR" w:bidi="ar-EG"/>
        </w:rPr>
        <w:t>ز )</w:t>
      </w:r>
      <w:proofErr w:type="gramEnd"/>
      <w:r>
        <w:rPr>
          <w:rtl/>
          <w:lang w:val="fr-FR" w:bidi="ar-EG"/>
        </w:rPr>
        <w:tab/>
      </w:r>
      <w:r>
        <w:rPr>
          <w:rFonts w:hint="cs"/>
          <w:rtl/>
          <w:lang w:val="fr-FR" w:bidi="ar-EG"/>
        </w:rPr>
        <w:t xml:space="preserve">أن </w:t>
      </w:r>
      <w:r>
        <w:rPr>
          <w:rFonts w:hint="cs"/>
          <w:rtl/>
          <w:lang w:bidi="ar-EG"/>
        </w:rPr>
        <w:t xml:space="preserve">القرار </w:t>
      </w:r>
      <w:r>
        <w:rPr>
          <w:lang w:bidi="ar-EG"/>
        </w:rPr>
        <w:t>63 (Rev.WRC</w:t>
      </w:r>
      <w:r>
        <w:rPr>
          <w:lang w:bidi="ar-EG"/>
        </w:rPr>
        <w:noBreakHyphen/>
        <w:t>97)</w:t>
      </w:r>
      <w:r>
        <w:rPr>
          <w:rFonts w:hint="cs"/>
          <w:rtl/>
          <w:lang w:bidi="ar-EG"/>
        </w:rPr>
        <w:t xml:space="preserve"> يدعو قطاع الاتصالات الراديوية إلى مواصلة الدراسات المتعلقة بالمعدات الصناعية والعلمية والطبية </w:t>
      </w:r>
      <w:r>
        <w:rPr>
          <w:lang w:bidi="ar-EG"/>
        </w:rPr>
        <w:t>(ISM)</w:t>
      </w:r>
      <w:r>
        <w:rPr>
          <w:rFonts w:hint="cs"/>
          <w:rtl/>
          <w:lang w:bidi="ar-EG"/>
        </w:rPr>
        <w:t xml:space="preserve"> لتأمين الحماية الكافية لخدمات الاتصالات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الراديوية،</w:t>
      </w:r>
    </w:p>
    <w:p w14:paraId="4728A16A" w14:textId="77777777" w:rsidR="005036CE" w:rsidRPr="005036CE" w:rsidRDefault="005036CE" w:rsidP="005036CE">
      <w:pPr>
        <w:pStyle w:val="Call"/>
        <w:rPr>
          <w:i w:val="0"/>
          <w:iCs w:val="0"/>
          <w:rtl/>
          <w:lang w:bidi="ar-EG"/>
        </w:rPr>
      </w:pPr>
      <w:r w:rsidRPr="005036CE">
        <w:rPr>
          <w:rtl/>
          <w:lang w:bidi="ar-EG"/>
        </w:rPr>
        <w:t xml:space="preserve">تقرر </w:t>
      </w:r>
      <w:r w:rsidRPr="005036CE">
        <w:rPr>
          <w:i w:val="0"/>
          <w:iCs w:val="0"/>
          <w:rtl/>
          <w:lang w:bidi="ar-EG"/>
        </w:rPr>
        <w:t xml:space="preserve">أن </w:t>
      </w:r>
      <w:r w:rsidRPr="005036CE">
        <w:rPr>
          <w:rFonts w:hint="cs"/>
          <w:i w:val="0"/>
          <w:iCs w:val="0"/>
          <w:rtl/>
          <w:lang w:bidi="ar-EG"/>
        </w:rPr>
        <w:t>المسائل</w:t>
      </w:r>
      <w:r w:rsidRPr="005036CE">
        <w:rPr>
          <w:i w:val="0"/>
          <w:iCs w:val="0"/>
          <w:rtl/>
          <w:lang w:bidi="ar-EG"/>
        </w:rPr>
        <w:t xml:space="preserve"> التالية ينبغي دراستها</w:t>
      </w:r>
    </w:p>
    <w:p w14:paraId="7CC549FA" w14:textId="77777777" w:rsidR="005036CE" w:rsidRPr="005036CE" w:rsidRDefault="005036CE" w:rsidP="005036CE">
      <w:pPr>
        <w:rPr>
          <w:spacing w:val="-6"/>
          <w:rtl/>
          <w:lang w:bidi="ar-EG"/>
        </w:rPr>
      </w:pPr>
      <w:r w:rsidRPr="005036CE">
        <w:rPr>
          <w:spacing w:val="-6"/>
          <w:lang w:bidi="ar-EG"/>
        </w:rPr>
        <w:t>1</w:t>
      </w:r>
      <w:r w:rsidRPr="005036CE">
        <w:rPr>
          <w:rFonts w:hint="cs"/>
          <w:spacing w:val="-6"/>
          <w:rtl/>
          <w:lang w:bidi="ar-EG"/>
        </w:rPr>
        <w:tab/>
        <w:t xml:space="preserve">ما هو التفسير العملي للتداخل الضار كما عرّف في الرقم </w:t>
      </w:r>
      <w:r w:rsidRPr="005036CE">
        <w:rPr>
          <w:spacing w:val="-6"/>
          <w:lang w:bidi="ar-EG"/>
        </w:rPr>
        <w:t>169.1</w:t>
      </w:r>
      <w:r w:rsidRPr="005036CE">
        <w:rPr>
          <w:rFonts w:hint="cs"/>
          <w:spacing w:val="-6"/>
          <w:rtl/>
          <w:lang w:bidi="ar-EG"/>
        </w:rPr>
        <w:t xml:space="preserve"> من لوائح الراديو، بالنسبة إلى خدمة علم الفلك الراديوي؟</w:t>
      </w:r>
    </w:p>
    <w:p w14:paraId="37B4004B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2</w:t>
      </w:r>
      <w:r w:rsidRPr="005036CE">
        <w:rPr>
          <w:rtl/>
          <w:lang w:bidi="ar-EG"/>
        </w:rPr>
        <w:tab/>
      </w:r>
      <w:r w:rsidRPr="005036CE">
        <w:rPr>
          <w:rFonts w:hint="cs"/>
          <w:rtl/>
          <w:lang w:bidi="ar-EG"/>
        </w:rPr>
        <w:t>ما هي سويات العتبة للإشارات غير المطلوبة، والتي إذا تم تجاوزها بنسب مئوية محددة من الوقت، ستسبب التداخل الضار، وإلى حد تتوقف هذه العتبات على طبيعة وطرائق مراقبة علم الفلك الراديوي؟</w:t>
      </w:r>
    </w:p>
    <w:p w14:paraId="0F7C1C7C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3</w:t>
      </w:r>
      <w:r w:rsidRPr="005036CE">
        <w:rPr>
          <w:rtl/>
          <w:lang w:bidi="ar-EG"/>
        </w:rPr>
        <w:tab/>
      </w:r>
      <w:r w:rsidRPr="005036CE">
        <w:rPr>
          <w:rFonts w:hint="cs"/>
          <w:rtl/>
          <w:lang w:bidi="ar-EG"/>
        </w:rPr>
        <w:t>ما هي سويات التداخل التي يمكن أن تحدث في مواقع مراقبة نمطية</w:t>
      </w:r>
      <w:r w:rsidRPr="005036CE">
        <w:rPr>
          <w:rStyle w:val="FootnoteReference"/>
          <w:rtl/>
          <w:lang w:bidi="ar-EG"/>
        </w:rPr>
        <w:footnoteReference w:customMarkFollows="1" w:id="3"/>
        <w:t>**</w:t>
      </w:r>
      <w:r w:rsidRPr="005036CE">
        <w:rPr>
          <w:rFonts w:hint="cs"/>
          <w:rtl/>
          <w:lang w:bidi="ar-EG"/>
        </w:rPr>
        <w:t>، بالنظر إلى مصادر متنوعة تشمل:</w:t>
      </w:r>
    </w:p>
    <w:p w14:paraId="275D6F5B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1.3</w:t>
      </w:r>
      <w:r w:rsidRPr="005036CE">
        <w:rPr>
          <w:rFonts w:hint="cs"/>
          <w:rtl/>
          <w:lang w:bidi="ar-EG"/>
        </w:rPr>
        <w:tab/>
        <w:t xml:space="preserve">إرسالات خدمات أخرى تعمل في النطاقات التي تستخدم لمراقبة علم الفلك </w:t>
      </w:r>
      <w:proofErr w:type="gramStart"/>
      <w:r w:rsidRPr="005036CE">
        <w:rPr>
          <w:rFonts w:hint="cs"/>
          <w:rtl/>
          <w:lang w:bidi="ar-EG"/>
        </w:rPr>
        <w:t>الراديوي؛</w:t>
      </w:r>
      <w:proofErr w:type="gramEnd"/>
    </w:p>
    <w:p w14:paraId="4685B346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2.3</w:t>
      </w:r>
      <w:r w:rsidRPr="005036CE">
        <w:rPr>
          <w:rtl/>
          <w:lang w:bidi="ar-EG"/>
        </w:rPr>
        <w:tab/>
      </w:r>
      <w:r w:rsidRPr="005036CE">
        <w:rPr>
          <w:rFonts w:hint="cs"/>
          <w:rtl/>
          <w:lang w:bidi="ar-EG"/>
        </w:rPr>
        <w:t xml:space="preserve">التوافقيات، ونواتج التشكيل المشترك، والنطاقات الجانبية من مرسلات في نطاقات تردد </w:t>
      </w:r>
      <w:proofErr w:type="gramStart"/>
      <w:r w:rsidRPr="005036CE">
        <w:rPr>
          <w:rFonts w:hint="cs"/>
          <w:rtl/>
          <w:lang w:bidi="ar-EG"/>
        </w:rPr>
        <w:t>أخرى؛</w:t>
      </w:r>
      <w:proofErr w:type="gramEnd"/>
    </w:p>
    <w:p w14:paraId="123B6DA2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3.3</w:t>
      </w:r>
      <w:r w:rsidRPr="005036CE">
        <w:rPr>
          <w:rFonts w:hint="cs"/>
          <w:rtl/>
          <w:lang w:bidi="ar-EG"/>
        </w:rPr>
        <w:tab/>
        <w:t>مصادر أخرى للتداخل الكهربائي تشمل المعدات الصناعية والعلمية والطبية؟</w:t>
      </w:r>
    </w:p>
    <w:p w14:paraId="0CE9943B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4</w:t>
      </w:r>
      <w:r w:rsidRPr="005036CE">
        <w:rPr>
          <w:rtl/>
          <w:lang w:bidi="ar-EG"/>
        </w:rPr>
        <w:tab/>
      </w:r>
      <w:r w:rsidRPr="005036CE">
        <w:rPr>
          <w:rFonts w:hint="cs"/>
          <w:rtl/>
          <w:lang w:bidi="ar-EG"/>
        </w:rPr>
        <w:t xml:space="preserve">ما هو تأثير الانعكاسات من الطائرات </w:t>
      </w:r>
      <w:proofErr w:type="spellStart"/>
      <w:r w:rsidRPr="005036CE">
        <w:rPr>
          <w:rFonts w:hint="cs"/>
          <w:rtl/>
          <w:lang w:bidi="ar-EG"/>
        </w:rPr>
        <w:t>والسواتل</w:t>
      </w:r>
      <w:proofErr w:type="spellEnd"/>
      <w:r w:rsidRPr="005036CE">
        <w:rPr>
          <w:rFonts w:hint="cs"/>
          <w:rtl/>
          <w:lang w:bidi="ar-EG"/>
        </w:rPr>
        <w:t xml:space="preserve"> الأرضية في زيادة مخاطر التداخل؟</w:t>
      </w:r>
    </w:p>
    <w:p w14:paraId="77E84DA2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5</w:t>
      </w:r>
      <w:r w:rsidRPr="005036CE">
        <w:rPr>
          <w:rtl/>
          <w:lang w:bidi="ar-EG"/>
        </w:rPr>
        <w:tab/>
      </w:r>
      <w:r w:rsidRPr="005036CE">
        <w:rPr>
          <w:rFonts w:hint="cs"/>
          <w:rtl/>
          <w:lang w:bidi="ar-EG"/>
        </w:rPr>
        <w:t>ما هي استجابة المستقبِلات النمطية لعلم الفلك الراديوي في نطاقات تردد قريبة من النطاق الاسمي لقبول المستقبِل؟</w:t>
      </w:r>
    </w:p>
    <w:p w14:paraId="25F73484" w14:textId="77777777" w:rsidR="005036CE" w:rsidRPr="005036CE" w:rsidRDefault="005036CE" w:rsidP="005036CE">
      <w:pPr>
        <w:keepNext/>
        <w:rPr>
          <w:spacing w:val="-2"/>
          <w:rtl/>
          <w:lang w:bidi="ar-EG"/>
        </w:rPr>
      </w:pPr>
      <w:r w:rsidRPr="005036CE">
        <w:rPr>
          <w:lang w:bidi="ar-EG"/>
        </w:rPr>
        <w:lastRenderedPageBreak/>
        <w:t>6</w:t>
      </w:r>
      <w:r w:rsidRPr="005036CE">
        <w:rPr>
          <w:rFonts w:hint="cs"/>
          <w:rtl/>
          <w:lang w:bidi="ar-EG"/>
        </w:rPr>
        <w:tab/>
      </w:r>
      <w:r w:rsidRPr="005036CE">
        <w:rPr>
          <w:rFonts w:hint="cs"/>
          <w:spacing w:val="-2"/>
          <w:rtl/>
          <w:lang w:bidi="ar-EG"/>
        </w:rPr>
        <w:t xml:space="preserve">ما هي الاحتياطات الخاصة التي قد تكون ضرورية </w:t>
      </w:r>
      <w:proofErr w:type="spellStart"/>
      <w:r w:rsidRPr="005036CE">
        <w:rPr>
          <w:rFonts w:hint="cs"/>
          <w:spacing w:val="-2"/>
          <w:rtl/>
          <w:lang w:bidi="ar-EG"/>
        </w:rPr>
        <w:t>لاختصاصيي</w:t>
      </w:r>
      <w:proofErr w:type="spellEnd"/>
      <w:r w:rsidRPr="005036CE">
        <w:rPr>
          <w:rFonts w:hint="cs"/>
          <w:spacing w:val="-2"/>
          <w:rtl/>
          <w:lang w:bidi="ar-EG"/>
        </w:rPr>
        <w:t xml:space="preserve"> علم الفلك الراديوي، ومشغِّلي الخدمات الأخرى، عندما يوجد مرسِل قد يكون مصدراً للتداخل على متن مركبة فضائية أو طائرة داخل مجال الرؤية لمرصد تابع للفلك الراديوي؟</w:t>
      </w:r>
    </w:p>
    <w:p w14:paraId="17A67EC0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7</w:t>
      </w:r>
      <w:r w:rsidRPr="005036CE">
        <w:rPr>
          <w:rtl/>
          <w:lang w:bidi="ar-EG"/>
        </w:rPr>
        <w:tab/>
      </w:r>
      <w:r w:rsidRPr="005036CE">
        <w:rPr>
          <w:rFonts w:hint="cs"/>
          <w:rtl/>
          <w:lang w:bidi="ar-EG"/>
        </w:rPr>
        <w:t>ما هي الشروط المطلوبة لتجنب التداخل الضار في عمليات مراقبة تشارك فيها هوائيات علم الفلك الراديوي؟</w:t>
      </w:r>
    </w:p>
    <w:p w14:paraId="69595A93" w14:textId="77777777" w:rsidR="005036CE" w:rsidRPr="005036CE" w:rsidRDefault="005036CE" w:rsidP="005036CE">
      <w:pPr>
        <w:pStyle w:val="Call"/>
        <w:rPr>
          <w:rtl/>
          <w:lang w:bidi="ar-EG"/>
        </w:rPr>
      </w:pPr>
      <w:r w:rsidRPr="005036CE">
        <w:rPr>
          <w:rtl/>
          <w:lang w:bidi="ar-EG"/>
        </w:rPr>
        <w:t>تقرر كذلك</w:t>
      </w:r>
    </w:p>
    <w:p w14:paraId="23F4968A" w14:textId="77777777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1</w:t>
      </w:r>
      <w:r w:rsidRPr="005036CE">
        <w:rPr>
          <w:rtl/>
          <w:lang w:bidi="ar-EG"/>
        </w:rPr>
        <w:tab/>
        <w:t>أن نتائج الدراسات المشار إليها أعلاه ينبغي أن تدرج في توصية (توصيات</w:t>
      </w:r>
      <w:proofErr w:type="gramStart"/>
      <w:r w:rsidRPr="005036CE">
        <w:rPr>
          <w:rtl/>
          <w:lang w:bidi="ar-EG"/>
        </w:rPr>
        <w:t>)؛</w:t>
      </w:r>
      <w:proofErr w:type="gramEnd"/>
    </w:p>
    <w:p w14:paraId="793FFD80" w14:textId="64BE0871" w:rsidR="005036CE" w:rsidRPr="005036CE" w:rsidRDefault="005036CE" w:rsidP="005036CE">
      <w:pPr>
        <w:rPr>
          <w:rtl/>
          <w:lang w:bidi="ar-EG"/>
        </w:rPr>
      </w:pPr>
      <w:r w:rsidRPr="005036CE">
        <w:rPr>
          <w:lang w:bidi="ar-EG"/>
        </w:rPr>
        <w:t>2</w:t>
      </w:r>
      <w:r w:rsidRPr="005036CE">
        <w:rPr>
          <w:rtl/>
          <w:lang w:bidi="ar-EG"/>
        </w:rPr>
        <w:tab/>
        <w:t xml:space="preserve">أن الدراسات المشار إليها أعلاه ينبغي أن تستكمل بحلول عام </w:t>
      </w:r>
      <w:r w:rsidRPr="005036CE">
        <w:rPr>
          <w:lang w:bidi="ar-EG"/>
        </w:rPr>
        <w:t>2027</w:t>
      </w:r>
      <w:r w:rsidRPr="005036CE">
        <w:rPr>
          <w:rtl/>
          <w:lang w:bidi="ar-EG"/>
        </w:rPr>
        <w:t>.</w:t>
      </w:r>
    </w:p>
    <w:p w14:paraId="67195573" w14:textId="6956C438" w:rsidR="00F925E0" w:rsidRPr="00D84A3F" w:rsidRDefault="005036CE" w:rsidP="005036CE">
      <w:pPr>
        <w:spacing w:before="360"/>
        <w:rPr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7388B4DD" w14:textId="77777777" w:rsidR="00AA4F3F" w:rsidRPr="005036CE" w:rsidRDefault="00AA4F3F" w:rsidP="00AA4F3F">
      <w:pPr>
        <w:pStyle w:val="FootnoteText"/>
        <w:rPr>
          <w:sz w:val="22"/>
          <w:szCs w:val="22"/>
          <w:rtl/>
          <w:lang w:bidi="ar-EG"/>
        </w:rPr>
      </w:pPr>
      <w:r w:rsidRPr="00AA4F3F">
        <w:rPr>
          <w:rStyle w:val="FootnoteReference"/>
        </w:rPr>
        <w:sym w:font="Symbol" w:char="F02A"/>
      </w:r>
      <w:r>
        <w:t xml:space="preserve"> </w:t>
      </w:r>
      <w:r w:rsidRPr="005036CE">
        <w:rPr>
          <w:rFonts w:hint="cs"/>
          <w:sz w:val="22"/>
          <w:szCs w:val="22"/>
          <w:rtl/>
        </w:rPr>
        <w:tab/>
        <w:t xml:space="preserve">قامت لجنة الدراسات </w:t>
      </w:r>
      <w:r w:rsidRPr="005036CE">
        <w:rPr>
          <w:sz w:val="22"/>
          <w:szCs w:val="22"/>
        </w:rPr>
        <w:t>7</w:t>
      </w:r>
      <w:r w:rsidRPr="005036CE">
        <w:rPr>
          <w:rFonts w:hint="cs"/>
          <w:sz w:val="22"/>
          <w:szCs w:val="22"/>
          <w:rtl/>
          <w:lang w:bidi="ar-EG"/>
        </w:rPr>
        <w:t xml:space="preserve"> للاتصالات الراديوية في عام </w:t>
      </w:r>
      <w:r w:rsidRPr="005036CE">
        <w:rPr>
          <w:sz w:val="22"/>
          <w:szCs w:val="22"/>
          <w:lang w:bidi="ar-EG"/>
        </w:rPr>
        <w:t>2011</w:t>
      </w:r>
      <w:r w:rsidRPr="005036CE">
        <w:rPr>
          <w:rFonts w:hint="cs"/>
          <w:sz w:val="22"/>
          <w:szCs w:val="22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14:paraId="74E7B72D" w14:textId="77777777" w:rsidR="005036CE" w:rsidRPr="005036CE" w:rsidRDefault="005036CE" w:rsidP="005036CE">
      <w:pPr>
        <w:pStyle w:val="FootnoteText"/>
        <w:tabs>
          <w:tab w:val="clear" w:pos="794"/>
        </w:tabs>
        <w:ind w:left="284" w:hanging="284"/>
        <w:rPr>
          <w:sz w:val="22"/>
          <w:szCs w:val="22"/>
          <w:rtl/>
          <w:lang w:bidi="ar-EG"/>
        </w:rPr>
      </w:pPr>
      <w:r w:rsidRPr="005036CE">
        <w:rPr>
          <w:rStyle w:val="FootnoteReference"/>
          <w:sz w:val="22"/>
          <w:szCs w:val="22"/>
          <w:rtl/>
        </w:rPr>
        <w:t>*</w:t>
      </w:r>
      <w:r w:rsidRPr="005036CE">
        <w:rPr>
          <w:rFonts w:hint="cs"/>
          <w:sz w:val="22"/>
          <w:szCs w:val="22"/>
          <w:rtl/>
          <w:lang w:bidi="ar-EG"/>
        </w:rPr>
        <w:tab/>
        <w:t xml:space="preserve">ألغى المؤتمر </w:t>
      </w:r>
      <w:r w:rsidRPr="005036CE">
        <w:rPr>
          <w:sz w:val="22"/>
          <w:szCs w:val="22"/>
          <w:lang w:bidi="ar-EG"/>
        </w:rPr>
        <w:t>WRC</w:t>
      </w:r>
      <w:r w:rsidRPr="005036CE">
        <w:rPr>
          <w:sz w:val="22"/>
          <w:szCs w:val="22"/>
          <w:lang w:bidi="ar-EG"/>
        </w:rPr>
        <w:noBreakHyphen/>
        <w:t>2000</w:t>
      </w:r>
      <w:r w:rsidRPr="005036CE">
        <w:rPr>
          <w:rFonts w:hint="cs"/>
          <w:sz w:val="22"/>
          <w:szCs w:val="22"/>
          <w:rtl/>
          <w:lang w:bidi="ar-EG"/>
        </w:rPr>
        <w:t xml:space="preserve"> هذه التوصية.</w:t>
      </w:r>
    </w:p>
  </w:footnote>
  <w:footnote w:id="3">
    <w:p w14:paraId="786B204C" w14:textId="77777777" w:rsidR="005036CE" w:rsidRPr="005036CE" w:rsidRDefault="005036CE" w:rsidP="005036CE">
      <w:pPr>
        <w:pStyle w:val="FootnoteText"/>
        <w:tabs>
          <w:tab w:val="clear" w:pos="794"/>
        </w:tabs>
        <w:ind w:left="284" w:hanging="284"/>
        <w:rPr>
          <w:sz w:val="22"/>
          <w:szCs w:val="22"/>
          <w:rtl/>
          <w:lang w:bidi="ar-EG"/>
        </w:rPr>
      </w:pPr>
      <w:r w:rsidRPr="005036CE">
        <w:rPr>
          <w:rStyle w:val="FootnoteReference"/>
          <w:sz w:val="22"/>
          <w:szCs w:val="22"/>
          <w:rtl/>
        </w:rPr>
        <w:t>**</w:t>
      </w:r>
      <w:r w:rsidRPr="005036CE">
        <w:rPr>
          <w:rFonts w:hint="cs"/>
          <w:sz w:val="22"/>
          <w:szCs w:val="22"/>
          <w:rtl/>
        </w:rPr>
        <w:tab/>
      </w:r>
      <w:r w:rsidRPr="005036CE">
        <w:rPr>
          <w:rFonts w:hint="cs"/>
          <w:sz w:val="22"/>
          <w:szCs w:val="22"/>
          <w:rtl/>
          <w:lang w:bidi="ar-EG"/>
        </w:rPr>
        <w:t xml:space="preserve">ستطلب بيانات الانتشار لهذه الدراسة من لجنة الدراسات </w:t>
      </w:r>
      <w:r w:rsidRPr="005036CE">
        <w:rPr>
          <w:sz w:val="22"/>
          <w:szCs w:val="22"/>
          <w:lang w:bidi="ar-EG"/>
        </w:rPr>
        <w:t>3</w:t>
      </w:r>
      <w:r w:rsidRPr="005036CE">
        <w:rPr>
          <w:rFonts w:hint="cs"/>
          <w:sz w:val="22"/>
          <w:szCs w:val="22"/>
          <w:rtl/>
          <w:lang w:bidi="ar-EG"/>
        </w:rPr>
        <w:t xml:space="preserve"> للاتصالات الراديوية.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036CE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4F3F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5</cp:revision>
  <dcterms:created xsi:type="dcterms:W3CDTF">2024-01-26T10:56:00Z</dcterms:created>
  <dcterms:modified xsi:type="dcterms:W3CDTF">2024-02-05T10:22:00Z</dcterms:modified>
</cp:coreProperties>
</file>