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7B" w:rsidRDefault="00C8677B" w:rsidP="006150B5">
      <w:pPr>
        <w:pStyle w:val="QuestionNoBR"/>
        <w:rPr>
          <w:rtl/>
          <w:lang w:val="en-GB"/>
        </w:rPr>
      </w:pPr>
      <w:r>
        <w:rPr>
          <w:rFonts w:hint="cs"/>
          <w:rtl/>
        </w:rPr>
        <w:t xml:space="preserve">المسألة </w:t>
      </w:r>
      <w:r>
        <w:t>ITU-R </w:t>
      </w:r>
      <w:r w:rsidR="00577A64">
        <w:t>253</w:t>
      </w:r>
      <w:r>
        <w:t>/7</w:t>
      </w:r>
    </w:p>
    <w:p w:rsidR="00C8677B" w:rsidRDefault="00C8677B" w:rsidP="00C8677B">
      <w:pPr>
        <w:pStyle w:val="Questiontitle"/>
        <w:keepNext w:val="0"/>
        <w:keepLines w:val="0"/>
        <w:spacing w:before="360"/>
        <w:rPr>
          <w:rtl/>
          <w:lang w:val="en-US" w:bidi="ar-EG"/>
        </w:rPr>
      </w:pPr>
      <w:r>
        <w:rPr>
          <w:rFonts w:hint="cs"/>
          <w:bCs w:val="0"/>
          <w:rtl/>
          <w:lang w:val="en-US" w:bidi="ar-EG"/>
        </w:rPr>
        <w:t>التأثيرات النسبية في نقل إشارات التوقيت والترددات على مقربة من سطح الأرض</w:t>
      </w:r>
      <w:r>
        <w:rPr>
          <w:rFonts w:hint="cs"/>
          <w:bCs w:val="0"/>
          <w:rtl/>
          <w:lang w:val="en-US" w:bidi="ar-EG"/>
        </w:rPr>
        <w:br/>
        <w:t>وفي النظام الشمسي</w:t>
      </w:r>
    </w:p>
    <w:p w:rsidR="00577A64" w:rsidRPr="00577A64" w:rsidRDefault="00577A64" w:rsidP="00577A64">
      <w:pPr>
        <w:jc w:val="right"/>
        <w:rPr>
          <w:lang w:val="en-US" w:bidi="ar-EG"/>
        </w:rPr>
      </w:pPr>
      <w:r>
        <w:rPr>
          <w:lang w:val="en-US" w:bidi="ar-EG"/>
        </w:rPr>
        <w:t>(2011)</w:t>
      </w:r>
    </w:p>
    <w:p w:rsidR="00C8677B" w:rsidRPr="008C4464" w:rsidRDefault="00C8677B" w:rsidP="00C8677B">
      <w:pPr>
        <w:spacing w:before="360"/>
        <w:rPr>
          <w:rtl/>
          <w:lang w:val="en-US"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C8677B" w:rsidRDefault="00C8677B" w:rsidP="00C8677B">
      <w:pPr>
        <w:pStyle w:val="Call"/>
        <w:rPr>
          <w:rtl/>
          <w:lang w:bidi="ar-SA"/>
        </w:rPr>
      </w:pPr>
      <w:r>
        <w:rPr>
          <w:rFonts w:hint="cs"/>
          <w:rtl/>
        </w:rPr>
        <w:t>إذ تضع في اعتبارها</w:t>
      </w:r>
    </w:p>
    <w:p w:rsidR="00C8677B" w:rsidRDefault="00C8677B" w:rsidP="00C8677B">
      <w:pPr>
        <w:rPr>
          <w:rtl/>
          <w:lang w:val="en-US" w:bidi="ar-EG"/>
        </w:rPr>
      </w:pPr>
      <w:r>
        <w:rPr>
          <w:rFonts w:hint="cs"/>
          <w:rtl/>
          <w:lang w:bidi="ar-EG"/>
        </w:rPr>
        <w:t xml:space="preserve"> أ )</w:t>
      </w:r>
      <w:r>
        <w:rPr>
          <w:rFonts w:hint="cs"/>
          <w:i/>
          <w:iCs/>
          <w:rtl/>
          <w:lang w:bidi="ar-EG"/>
        </w:rPr>
        <w:tab/>
      </w:r>
      <w:r>
        <w:rPr>
          <w:rFonts w:hint="cs"/>
          <w:rtl/>
          <w:lang w:val="en-US" w:bidi="ar-EG"/>
        </w:rPr>
        <w:t>أنه يستحسن الحفاظ على تنسيق إشارات التوقيت والترددات المعيارية على منصات تعمل على مقربة من سطح الأرض وفي النظام الشمسي؛</w:t>
      </w:r>
    </w:p>
    <w:p w:rsidR="00C8677B" w:rsidRDefault="00C8677B" w:rsidP="00C8677B">
      <w:pPr>
        <w:rPr>
          <w:rtl/>
          <w:lang w:val="en-US" w:bidi="ar-EG"/>
        </w:rPr>
      </w:pPr>
      <w:r>
        <w:rPr>
          <w:rFonts w:hint="cs"/>
          <w:rtl/>
          <w:lang w:bidi="ar-EG"/>
        </w:rPr>
        <w:t>ب)</w:t>
      </w:r>
      <w:r>
        <w:rPr>
          <w:rFonts w:hint="cs"/>
          <w:i/>
          <w:iCs/>
          <w:rtl/>
          <w:lang w:bidi="ar-EG"/>
        </w:rPr>
        <w:tab/>
      </w:r>
      <w:r>
        <w:rPr>
          <w:rFonts w:hint="cs"/>
          <w:rtl/>
          <w:lang w:bidi="ar-EG"/>
        </w:rPr>
        <w:t>أن هناك حاجة إلى وسائل دقيقة لنقل إشارات التوقيت والترددات من أجل</w:t>
      </w:r>
      <w:r>
        <w:rPr>
          <w:rFonts w:hint="cs"/>
          <w:rtl/>
          <w:lang w:val="en-US" w:bidi="ar-EG"/>
        </w:rPr>
        <w:t xml:space="preserve"> تلبية احتياجات الاتصالات والملاحة والعلوم في المستقبل على مقربة من سطح الأرض وفي النظام الشمسي؛</w:t>
      </w:r>
    </w:p>
    <w:p w:rsidR="00C8677B" w:rsidRDefault="00C8677B" w:rsidP="00C8677B">
      <w:pPr>
        <w:rPr>
          <w:rtl/>
          <w:lang w:bidi="ar-EG"/>
        </w:rPr>
      </w:pPr>
      <w:r>
        <w:rPr>
          <w:rFonts w:hint="cs"/>
          <w:rtl/>
          <w:lang w:bidi="ar-EG"/>
        </w:rPr>
        <w:t>ج)</w:t>
      </w:r>
      <w:r>
        <w:rPr>
          <w:rFonts w:hint="cs"/>
          <w:i/>
          <w:iCs/>
          <w:rtl/>
          <w:lang w:bidi="ar-EG"/>
        </w:rPr>
        <w:tab/>
      </w:r>
      <w:r>
        <w:rPr>
          <w:rFonts w:hint="cs"/>
          <w:rtl/>
          <w:lang w:bidi="ar-EG"/>
        </w:rPr>
        <w:t>أن الميقاتيات الذرية تخضع لتغيرات التوقيت والترددات تبعاً للمسير بسبب حركتها وظروف كمون الثقالة التي تعمل فيها؛</w:t>
      </w:r>
    </w:p>
    <w:p w:rsidR="00C8677B" w:rsidRDefault="00C8677B" w:rsidP="00C8677B">
      <w:pPr>
        <w:rPr>
          <w:rtl/>
          <w:lang w:bidi="ar-EG"/>
        </w:rPr>
      </w:pPr>
      <w:r>
        <w:rPr>
          <w:rFonts w:hint="cs"/>
          <w:rtl/>
          <w:lang w:bidi="ar-EG"/>
        </w:rPr>
        <w:t>د )</w:t>
      </w:r>
      <w:r>
        <w:rPr>
          <w:rFonts w:hint="cs"/>
          <w:i/>
          <w:iCs/>
          <w:rtl/>
          <w:lang w:bidi="ar-EG"/>
        </w:rPr>
        <w:tab/>
      </w:r>
      <w:r>
        <w:rPr>
          <w:rFonts w:hint="cs"/>
          <w:rtl/>
          <w:lang w:bidi="ar-EG"/>
        </w:rPr>
        <w:t>أنه ينبغي أن يحدد بوضوح الأساس المفاهيمي لنقل إشارات التوقيت والترددات؛</w:t>
      </w:r>
    </w:p>
    <w:p w:rsidR="00C8677B" w:rsidRDefault="00C8677B" w:rsidP="00C8677B">
      <w:pPr>
        <w:rPr>
          <w:rtl/>
          <w:lang w:bidi="ar-EG"/>
        </w:rPr>
      </w:pPr>
      <w:r>
        <w:rPr>
          <w:rFonts w:hint="cs"/>
          <w:rtl/>
          <w:lang w:bidi="ar-EG"/>
        </w:rPr>
        <w:t>ﻫ )</w:t>
      </w:r>
      <w:r>
        <w:rPr>
          <w:rFonts w:hint="cs"/>
          <w:i/>
          <w:iCs/>
          <w:rtl/>
          <w:lang w:bidi="ar-EG"/>
        </w:rPr>
        <w:tab/>
      </w:r>
      <w:r>
        <w:rPr>
          <w:rFonts w:hint="cs"/>
          <w:rtl/>
          <w:lang w:bidi="ar-EG"/>
        </w:rPr>
        <w:t>أن الإجراءات اللازمة لنقل إشارات التوقيت والترددات على مقربة من سطح الأرض وعبر الأجسام السماوية والمركبات الفضائية في النظام الشمسي تقتضي استعمال الخوارزميات الرياضية التي تراعي التأثيرات النسبية،</w:t>
      </w:r>
    </w:p>
    <w:p w:rsidR="00C8677B" w:rsidRDefault="00C8677B" w:rsidP="00C8677B">
      <w:pPr>
        <w:pStyle w:val="Call"/>
        <w:rPr>
          <w:rtl/>
        </w:rPr>
      </w:pPr>
      <w:r>
        <w:rPr>
          <w:rFonts w:hint="cs"/>
          <w:rtl/>
        </w:rPr>
        <w:t>تقرر أن المسألة التالية ينبغي دراستها</w:t>
      </w:r>
    </w:p>
    <w:p w:rsidR="00C8677B" w:rsidRDefault="00C8677B" w:rsidP="00C8677B">
      <w:pPr>
        <w:tabs>
          <w:tab w:val="left" w:pos="737"/>
          <w:tab w:val="left" w:pos="1429"/>
        </w:tabs>
        <w:rPr>
          <w:rtl/>
          <w:lang w:val="en-US" w:bidi="ar-EG"/>
        </w:rPr>
      </w:pPr>
      <w:r>
        <w:rPr>
          <w:b/>
          <w:bCs/>
          <w:lang w:val="en-US" w:bidi="ar-EG"/>
        </w:rPr>
        <w:t>1</w:t>
      </w:r>
      <w:r>
        <w:rPr>
          <w:rFonts w:hint="cs"/>
          <w:b/>
          <w:bCs/>
          <w:rtl/>
          <w:lang w:val="en-US" w:bidi="ar-EG"/>
        </w:rPr>
        <w:tab/>
      </w:r>
      <w:r>
        <w:rPr>
          <w:rFonts w:hint="cs"/>
          <w:rtl/>
          <w:lang w:val="en-US" w:bidi="ar-EG"/>
        </w:rPr>
        <w:t xml:space="preserve">ما هي الأسس المفاهيمية والخوارزميات المناسبة التي تراعي التأثيرات </w:t>
      </w:r>
      <w:r>
        <w:rPr>
          <w:rFonts w:hint="cs"/>
          <w:rtl/>
          <w:lang w:bidi="ar-EG"/>
        </w:rPr>
        <w:t>النسبية</w:t>
      </w:r>
      <w:r>
        <w:rPr>
          <w:rFonts w:hint="cs"/>
          <w:rtl/>
          <w:lang w:val="en-US" w:bidi="ar-EG"/>
        </w:rPr>
        <w:t xml:space="preserve"> في 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2</w:t>
      </w:r>
      <w:r>
        <w:rPr>
          <w:rFonts w:hint="cs"/>
          <w:b/>
          <w:bCs/>
          <w:rtl/>
          <w:lang w:val="en-US" w:bidi="ar-EG"/>
        </w:rPr>
        <w:tab/>
      </w:r>
      <w:r>
        <w:rPr>
          <w:rFonts w:hint="cs"/>
          <w:rtl/>
          <w:lang w:val="en-US" w:bidi="ar-EG"/>
        </w:rPr>
        <w:t>ما هي مستويات الدقة والإحكام المطلوبة لنقل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3</w:t>
      </w:r>
      <w:r>
        <w:rPr>
          <w:rFonts w:hint="cs"/>
          <w:b/>
          <w:bCs/>
          <w:rtl/>
          <w:lang w:val="en-US" w:bidi="ar-EG"/>
        </w:rPr>
        <w:tab/>
      </w:r>
      <w:r>
        <w:rPr>
          <w:rFonts w:hint="cs"/>
          <w:rtl/>
          <w:lang w:val="en-US" w:bidi="ar-EG"/>
        </w:rPr>
        <w:t>ما هي الإجراءات المعيارية التي ينبغي اعتمادها لضمان تحقيق مستويات الدقة والإحكام؟</w:t>
      </w:r>
    </w:p>
    <w:p w:rsidR="00C8677B" w:rsidRDefault="00C8677B" w:rsidP="00C8677B">
      <w:pPr>
        <w:pStyle w:val="Call"/>
        <w:rPr>
          <w:rtl/>
          <w:lang w:val="en-GB"/>
        </w:rPr>
      </w:pPr>
      <w:r>
        <w:rPr>
          <w:rFonts w:hint="cs"/>
          <w:rtl/>
        </w:rPr>
        <w:t>وتقـرر كذلك</w:t>
      </w:r>
    </w:p>
    <w:p w:rsidR="00C8677B" w:rsidRDefault="00C8677B" w:rsidP="00C8677B">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(تقاير)</w:t>
      </w:r>
      <w:r>
        <w:rPr>
          <w:rFonts w:hint="cs"/>
          <w:rtl/>
          <w:lang w:val="en-US" w:bidi="ar-EG"/>
        </w:rPr>
        <w:t xml:space="preserve"> فيما يتعلق بنقل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2</w:t>
      </w:r>
      <w:r>
        <w:rPr>
          <w:rFonts w:hint="cs"/>
          <w:rtl/>
          <w:lang w:val="en-US" w:bidi="ar-EG"/>
        </w:rPr>
        <w:tab/>
        <w:t xml:space="preserve">أن تستكمل الدراسات المشار إليها أعلاه بحلول عام </w:t>
      </w:r>
      <w:r w:rsidR="0064539B">
        <w:rPr>
          <w:lang w:val="en-US" w:bidi="ar-EG"/>
        </w:rPr>
        <w:t>2023</w:t>
      </w:r>
      <w:bookmarkStart w:id="0" w:name="_GoBack"/>
      <w:bookmarkEnd w:id="0"/>
      <w:r>
        <w:rPr>
          <w:rFonts w:hint="cs"/>
          <w:rtl/>
          <w:lang w:val="en-US" w:bidi="ar-EG"/>
        </w:rPr>
        <w:t>.</w:t>
      </w:r>
    </w:p>
    <w:p w:rsidR="00C8677B" w:rsidRDefault="00C8677B" w:rsidP="00C8677B">
      <w:pPr>
        <w:spacing w:before="360"/>
        <w:rPr>
          <w:rtl/>
          <w:lang w:bidi="ar-EG"/>
        </w:rPr>
      </w:pPr>
      <w:r>
        <w:rPr>
          <w:rFonts w:hint="cs"/>
          <w:rtl/>
          <w:lang w:bidi="ar-EG"/>
        </w:rPr>
        <w:t xml:space="preserve">الفئة: </w:t>
      </w:r>
      <w:r>
        <w:rPr>
          <w:lang w:val="en-US" w:bidi="ar-EG"/>
        </w:rPr>
        <w:t>S2</w:t>
      </w:r>
    </w:p>
    <w:sectPr w:rsidR="00C8677B" w:rsidSect="00852363">
      <w:headerReference w:type="default" r:id="rId8"/>
      <w:footerReference w:type="default" r:id="rId9"/>
      <w:footerReference w:type="first" r:id="rId10"/>
      <w:footnotePr>
        <w:numRestart w:val="eachSect"/>
      </w:footnotePr>
      <w:pgSz w:w="11907" w:h="16834" w:code="9"/>
      <w:pgMar w:top="1418" w:right="1134" w:bottom="1134" w:left="1134" w:header="720" w:footer="567"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A2" w:rsidRDefault="00D524A2" w:rsidP="00787C90">
      <w:pPr>
        <w:spacing w:before="0" w:line="240" w:lineRule="auto"/>
      </w:pPr>
      <w:r>
        <w:separator/>
      </w:r>
    </w:p>
  </w:endnote>
  <w:endnote w:type="continuationSeparator" w:id="0">
    <w:p w:rsidR="00D524A2" w:rsidRDefault="00D524A2"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auto"/>
    <w:pitch w:val="variable"/>
    <w:sig w:usb0="00002000"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A2" w:rsidRPr="002D0274" w:rsidRDefault="00D524A2" w:rsidP="0025400F">
    <w:pPr>
      <w:pStyle w:val="Footer"/>
      <w:tabs>
        <w:tab w:val="clear" w:pos="5954"/>
        <w:tab w:val="left" w:pos="5670"/>
      </w:tabs>
      <w:bidi w:val="0"/>
      <w:spacing w:before="60"/>
      <w:rPr>
        <w:caps w:val="0"/>
        <w:lang w:val="es-ES"/>
      </w:rPr>
    </w:pPr>
    <w:r>
      <w:fldChar w:fldCharType="begin"/>
    </w:r>
    <w:r w:rsidRPr="009C6563">
      <w:rPr>
        <w:lang w:val="es-ES"/>
      </w:rPr>
      <w:instrText xml:space="preserve"> FILENAME \p  \* MERGEFORMAT </w:instrText>
    </w:r>
    <w:r>
      <w:fldChar w:fldCharType="separate"/>
    </w:r>
    <w:r w:rsidR="009002E3" w:rsidRPr="009002E3">
      <w:rPr>
        <w:caps w:val="0"/>
        <w:lang w:val="es-ES"/>
      </w:rPr>
      <w:t>Y</w:t>
    </w:r>
    <w:r w:rsidR="009002E3">
      <w:rPr>
        <w:lang w:val="es-ES"/>
      </w:rPr>
      <w:t>:\APP\BR\CIRCS_DMS\CACE\500\527\527a.DOCX</w:t>
    </w:r>
    <w:r>
      <w:fldChar w:fldCharType="end"/>
    </w:r>
    <w:r w:rsidRPr="002D0274">
      <w:rPr>
        <w:caps w:val="0"/>
        <w:lang w:val="es-ES"/>
      </w:rPr>
      <w:t xml:space="preserve">  (</w:t>
    </w:r>
    <w:r>
      <w:rPr>
        <w:caps w:val="0"/>
        <w:lang w:val="es-ES"/>
      </w:rPr>
      <w:t>302215</w:t>
    </w:r>
    <w:r w:rsidRPr="002D0274">
      <w:rPr>
        <w:caps w:val="0"/>
        <w:lang w:val="es-ES"/>
      </w:rPr>
      <w:t>)</w:t>
    </w:r>
    <w:r w:rsidRPr="002D0274">
      <w:rPr>
        <w:caps w:val="0"/>
        <w:lang w:val="es-ES"/>
      </w:rPr>
      <w:tab/>
    </w:r>
    <w:r w:rsidRPr="00852D26">
      <w:rPr>
        <w:caps w:val="0"/>
      </w:rPr>
      <w:fldChar w:fldCharType="begin"/>
    </w:r>
    <w:r w:rsidRPr="00852D26">
      <w:rPr>
        <w:caps w:val="0"/>
      </w:rPr>
      <w:instrText xml:space="preserve"> SAVEDATE \@ DD.MM.YY </w:instrText>
    </w:r>
    <w:r w:rsidRPr="00852D26">
      <w:rPr>
        <w:caps w:val="0"/>
      </w:rPr>
      <w:fldChar w:fldCharType="separate"/>
    </w:r>
    <w:r w:rsidR="0064539B">
      <w:rPr>
        <w:caps w:val="0"/>
      </w:rPr>
      <w:t>01.03.11</w:t>
    </w:r>
    <w:r w:rsidRPr="00852D26">
      <w:rPr>
        <w:caps w:val="0"/>
      </w:rPr>
      <w:fldChar w:fldCharType="end"/>
    </w:r>
    <w:r w:rsidRPr="002D0274">
      <w:rPr>
        <w:caps w:val="0"/>
        <w:lang w:val="es-ES"/>
      </w:rPr>
      <w:tab/>
    </w:r>
    <w:r w:rsidRPr="00852D26">
      <w:rPr>
        <w:caps w:val="0"/>
      </w:rPr>
      <w:fldChar w:fldCharType="begin"/>
    </w:r>
    <w:r w:rsidRPr="00852D26">
      <w:rPr>
        <w:caps w:val="0"/>
      </w:rPr>
      <w:instrText xml:space="preserve"> PRINTDATE \@ DD.MM.YY </w:instrText>
    </w:r>
    <w:r w:rsidRPr="00852D26">
      <w:rPr>
        <w:caps w:val="0"/>
      </w:rPr>
      <w:fldChar w:fldCharType="separate"/>
    </w:r>
    <w:r w:rsidR="009002E3">
      <w:rPr>
        <w:caps w:val="0"/>
      </w:rPr>
      <w:t>14.02.11</w:t>
    </w:r>
    <w:r w:rsidRPr="00852D26">
      <w:rP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A2" w:rsidRPr="002862B3" w:rsidRDefault="00D524A2" w:rsidP="0025400F">
    <w:pPr>
      <w:pStyle w:val="Footer"/>
      <w:tabs>
        <w:tab w:val="center" w:pos="5812"/>
      </w:tabs>
      <w:bidi w:val="0"/>
      <w:jc w:val="lef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A2" w:rsidRDefault="00D524A2" w:rsidP="00787C90">
      <w:pPr>
        <w:spacing w:before="0" w:line="240" w:lineRule="auto"/>
      </w:pPr>
      <w:r>
        <w:separator/>
      </w:r>
    </w:p>
  </w:footnote>
  <w:footnote w:type="continuationSeparator" w:id="0">
    <w:p w:rsidR="00D524A2" w:rsidRDefault="00D524A2" w:rsidP="00787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D524A2" w:rsidRDefault="00D524A2" w:rsidP="006F18E1">
        <w:pPr>
          <w:pStyle w:val="Header"/>
        </w:pPr>
        <w:r>
          <w:t xml:space="preserve">- </w:t>
        </w:r>
        <w:r w:rsidRPr="00CF011C">
          <w:rPr>
            <w:bCs/>
            <w:sz w:val="24"/>
            <w:szCs w:val="24"/>
          </w:rPr>
          <w:fldChar w:fldCharType="begin"/>
        </w:r>
        <w:r w:rsidRPr="00CF011C">
          <w:rPr>
            <w:bCs/>
          </w:rPr>
          <w:instrText xml:space="preserve"> PAGE </w:instrText>
        </w:r>
        <w:r w:rsidRPr="00CF011C">
          <w:rPr>
            <w:bCs/>
            <w:sz w:val="24"/>
            <w:szCs w:val="24"/>
          </w:rPr>
          <w:fldChar w:fldCharType="separate"/>
        </w:r>
        <w:r w:rsidR="00AE4FBD">
          <w:rPr>
            <w:bCs/>
            <w:noProof/>
          </w:rPr>
          <w:t>8</w:t>
        </w:r>
        <w:r w:rsidRPr="00CF011C">
          <w:rPr>
            <w:bCs/>
            <w:sz w:val="24"/>
            <w:szCs w:val="24"/>
          </w:rPr>
          <w:fldChar w:fldCharType="end"/>
        </w:r>
        <w:r>
          <w:rPr>
            <w:b/>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63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6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AA1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1E70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48D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4505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E3"/>
    <w:rsid w:val="000022BB"/>
    <w:rsid w:val="00002D04"/>
    <w:rsid w:val="00011350"/>
    <w:rsid w:val="0002035D"/>
    <w:rsid w:val="00025CD3"/>
    <w:rsid w:val="00031EA4"/>
    <w:rsid w:val="00033E44"/>
    <w:rsid w:val="0003599C"/>
    <w:rsid w:val="000617BF"/>
    <w:rsid w:val="00090E16"/>
    <w:rsid w:val="00096F3A"/>
    <w:rsid w:val="000A3F6A"/>
    <w:rsid w:val="000B5EC5"/>
    <w:rsid w:val="000B724C"/>
    <w:rsid w:val="000C1475"/>
    <w:rsid w:val="000F1861"/>
    <w:rsid w:val="00110BD3"/>
    <w:rsid w:val="001566ED"/>
    <w:rsid w:val="00191401"/>
    <w:rsid w:val="001A2066"/>
    <w:rsid w:val="001C08F0"/>
    <w:rsid w:val="001C4A59"/>
    <w:rsid w:val="001E1A45"/>
    <w:rsid w:val="001E257C"/>
    <w:rsid w:val="001F0112"/>
    <w:rsid w:val="001F70FD"/>
    <w:rsid w:val="00237807"/>
    <w:rsid w:val="0025400F"/>
    <w:rsid w:val="00273B29"/>
    <w:rsid w:val="002862B3"/>
    <w:rsid w:val="00295E07"/>
    <w:rsid w:val="00297006"/>
    <w:rsid w:val="002A12EE"/>
    <w:rsid w:val="002A691F"/>
    <w:rsid w:val="002C1C3A"/>
    <w:rsid w:val="002D0274"/>
    <w:rsid w:val="002D2116"/>
    <w:rsid w:val="002E2C62"/>
    <w:rsid w:val="003153B7"/>
    <w:rsid w:val="00336541"/>
    <w:rsid w:val="0034546A"/>
    <w:rsid w:val="00370A49"/>
    <w:rsid w:val="0038020D"/>
    <w:rsid w:val="0039453F"/>
    <w:rsid w:val="003C63C5"/>
    <w:rsid w:val="003F550B"/>
    <w:rsid w:val="00400441"/>
    <w:rsid w:val="00421E7C"/>
    <w:rsid w:val="0043323A"/>
    <w:rsid w:val="004446C4"/>
    <w:rsid w:val="004544CC"/>
    <w:rsid w:val="004663EB"/>
    <w:rsid w:val="0048156F"/>
    <w:rsid w:val="00494532"/>
    <w:rsid w:val="004A7568"/>
    <w:rsid w:val="004A7F99"/>
    <w:rsid w:val="004C1EDF"/>
    <w:rsid w:val="00515A49"/>
    <w:rsid w:val="005247B8"/>
    <w:rsid w:val="005339EF"/>
    <w:rsid w:val="00533C4B"/>
    <w:rsid w:val="00546784"/>
    <w:rsid w:val="00556995"/>
    <w:rsid w:val="00565182"/>
    <w:rsid w:val="00577A64"/>
    <w:rsid w:val="005C59F0"/>
    <w:rsid w:val="005E4495"/>
    <w:rsid w:val="006150B5"/>
    <w:rsid w:val="00641CED"/>
    <w:rsid w:val="0064539B"/>
    <w:rsid w:val="006559AF"/>
    <w:rsid w:val="00696311"/>
    <w:rsid w:val="006A365E"/>
    <w:rsid w:val="006A7938"/>
    <w:rsid w:val="006D0E48"/>
    <w:rsid w:val="006F08D7"/>
    <w:rsid w:val="006F18E1"/>
    <w:rsid w:val="0070005A"/>
    <w:rsid w:val="0071489F"/>
    <w:rsid w:val="00714C0C"/>
    <w:rsid w:val="007420AB"/>
    <w:rsid w:val="007676C3"/>
    <w:rsid w:val="007873E9"/>
    <w:rsid w:val="00787BBD"/>
    <w:rsid w:val="00787C90"/>
    <w:rsid w:val="00794703"/>
    <w:rsid w:val="007B2967"/>
    <w:rsid w:val="007E4298"/>
    <w:rsid w:val="00842A48"/>
    <w:rsid w:val="00852363"/>
    <w:rsid w:val="00852D26"/>
    <w:rsid w:val="008640E8"/>
    <w:rsid w:val="00873910"/>
    <w:rsid w:val="008769CE"/>
    <w:rsid w:val="008B7B2D"/>
    <w:rsid w:val="008C4464"/>
    <w:rsid w:val="008D21CF"/>
    <w:rsid w:val="008E7F70"/>
    <w:rsid w:val="009002E3"/>
    <w:rsid w:val="00904B75"/>
    <w:rsid w:val="009143C1"/>
    <w:rsid w:val="00931738"/>
    <w:rsid w:val="009403B7"/>
    <w:rsid w:val="00940D42"/>
    <w:rsid w:val="009824C3"/>
    <w:rsid w:val="009861EF"/>
    <w:rsid w:val="009C6563"/>
    <w:rsid w:val="009D1C97"/>
    <w:rsid w:val="009D282C"/>
    <w:rsid w:val="009F140A"/>
    <w:rsid w:val="009F78AC"/>
    <w:rsid w:val="00A20A68"/>
    <w:rsid w:val="00A779E1"/>
    <w:rsid w:val="00A9176F"/>
    <w:rsid w:val="00AB7906"/>
    <w:rsid w:val="00AC79B5"/>
    <w:rsid w:val="00AD556B"/>
    <w:rsid w:val="00AE4FBD"/>
    <w:rsid w:val="00B11DE3"/>
    <w:rsid w:val="00B32808"/>
    <w:rsid w:val="00B373E3"/>
    <w:rsid w:val="00B45CBE"/>
    <w:rsid w:val="00B56371"/>
    <w:rsid w:val="00B6192C"/>
    <w:rsid w:val="00B74EF9"/>
    <w:rsid w:val="00B95724"/>
    <w:rsid w:val="00BA08BF"/>
    <w:rsid w:val="00BA3BEC"/>
    <w:rsid w:val="00BC1EBC"/>
    <w:rsid w:val="00BD111F"/>
    <w:rsid w:val="00BF114E"/>
    <w:rsid w:val="00BF4809"/>
    <w:rsid w:val="00C2185F"/>
    <w:rsid w:val="00C2597D"/>
    <w:rsid w:val="00C8677B"/>
    <w:rsid w:val="00C941F9"/>
    <w:rsid w:val="00C95C0E"/>
    <w:rsid w:val="00CC5BB4"/>
    <w:rsid w:val="00CC5F13"/>
    <w:rsid w:val="00CD2F57"/>
    <w:rsid w:val="00CE0FB2"/>
    <w:rsid w:val="00CF011C"/>
    <w:rsid w:val="00D1578F"/>
    <w:rsid w:val="00D43948"/>
    <w:rsid w:val="00D524A2"/>
    <w:rsid w:val="00D774AA"/>
    <w:rsid w:val="00D80383"/>
    <w:rsid w:val="00DD717F"/>
    <w:rsid w:val="00DE684D"/>
    <w:rsid w:val="00E042F3"/>
    <w:rsid w:val="00E15DFD"/>
    <w:rsid w:val="00E30E18"/>
    <w:rsid w:val="00E45934"/>
    <w:rsid w:val="00E50BFB"/>
    <w:rsid w:val="00E54843"/>
    <w:rsid w:val="00E62C87"/>
    <w:rsid w:val="00E749E9"/>
    <w:rsid w:val="00EB04A1"/>
    <w:rsid w:val="00ED42E2"/>
    <w:rsid w:val="00F144C0"/>
    <w:rsid w:val="00F44DA2"/>
    <w:rsid w:val="00F52596"/>
    <w:rsid w:val="00F53D9A"/>
    <w:rsid w:val="00F7741B"/>
    <w:rsid w:val="00F7757C"/>
    <w:rsid w:val="00FA0748"/>
    <w:rsid w:val="00FE33B5"/>
    <w:rsid w:val="00FF013A"/>
    <w:rsid w:val="00FF642A"/>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0810B27-AABD-4CBC-A3E2-542380BC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Footnote symbol"/>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qFormat/>
    <w:rsid w:val="004663EB"/>
    <w:pPr>
      <w:spacing w:before="40" w:after="40" w:line="280" w:lineRule="exact"/>
    </w:pPr>
    <w:rPr>
      <w:sz w:val="20"/>
    </w:r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 w:type="paragraph" w:customStyle="1" w:styleId="Annextitle">
    <w:name w:val="Annex_title"/>
    <w:basedOn w:val="Normal"/>
    <w:next w:val="Normal"/>
    <w:rsid w:val="002E2C62"/>
    <w:pPr>
      <w:keepNext/>
      <w:keepLines/>
      <w:tabs>
        <w:tab w:val="clear" w:pos="794"/>
        <w:tab w:val="clear" w:pos="1191"/>
        <w:tab w:val="clear" w:pos="1588"/>
        <w:tab w:val="clear" w:pos="1985"/>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2E2C62"/>
    <w:pPr>
      <w:keepNext/>
      <w:keepLines/>
      <w:tabs>
        <w:tab w:val="clear" w:pos="794"/>
        <w:tab w:val="clear" w:pos="1191"/>
        <w:tab w:val="clear" w:pos="1588"/>
        <w:tab w:val="clear" w:pos="1985"/>
      </w:tabs>
      <w:spacing w:before="480" w:after="80"/>
      <w:jc w:val="center"/>
      <w:textAlignment w:val="auto"/>
    </w:pPr>
    <w:rPr>
      <w:cap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3764">
      <w:bodyDiv w:val="1"/>
      <w:marLeft w:val="0"/>
      <w:marRight w:val="0"/>
      <w:marTop w:val="0"/>
      <w:marBottom w:val="0"/>
      <w:divBdr>
        <w:top w:val="none" w:sz="0" w:space="0" w:color="auto"/>
        <w:left w:val="none" w:sz="0" w:space="0" w:color="auto"/>
        <w:bottom w:val="none" w:sz="0" w:space="0" w:color="auto"/>
        <w:right w:val="none" w:sz="0" w:space="0" w:color="auto"/>
      </w:divBdr>
    </w:div>
    <w:div w:id="905804167">
      <w:bodyDiv w:val="1"/>
      <w:marLeft w:val="0"/>
      <w:marRight w:val="0"/>
      <w:marTop w:val="0"/>
      <w:marBottom w:val="0"/>
      <w:divBdr>
        <w:top w:val="none" w:sz="0" w:space="0" w:color="auto"/>
        <w:left w:val="none" w:sz="0" w:space="0" w:color="auto"/>
        <w:bottom w:val="none" w:sz="0" w:space="0" w:color="auto"/>
        <w:right w:val="none" w:sz="0" w:space="0" w:color="auto"/>
      </w:divBdr>
    </w:div>
    <w:div w:id="1705864662">
      <w:bodyDiv w:val="1"/>
      <w:marLeft w:val="0"/>
      <w:marRight w:val="0"/>
      <w:marTop w:val="0"/>
      <w:marBottom w:val="0"/>
      <w:divBdr>
        <w:top w:val="none" w:sz="0" w:space="0" w:color="auto"/>
        <w:left w:val="none" w:sz="0" w:space="0" w:color="auto"/>
        <w:bottom w:val="none" w:sz="0" w:space="0" w:color="auto"/>
        <w:right w:val="none" w:sz="0" w:space="0" w:color="auto"/>
      </w:divBdr>
    </w:div>
    <w:div w:id="1734352653">
      <w:bodyDiv w:val="1"/>
      <w:marLeft w:val="0"/>
      <w:marRight w:val="0"/>
      <w:marTop w:val="0"/>
      <w:marBottom w:val="0"/>
      <w:divBdr>
        <w:top w:val="none" w:sz="0" w:space="0" w:color="auto"/>
        <w:left w:val="none" w:sz="0" w:space="0" w:color="auto"/>
        <w:bottom w:val="none" w:sz="0" w:space="0" w:color="auto"/>
        <w:right w:val="none" w:sz="0" w:space="0" w:color="auto"/>
      </w:divBdr>
    </w:div>
    <w:div w:id="2078899742">
      <w:bodyDiv w:val="1"/>
      <w:marLeft w:val="0"/>
      <w:marRight w:val="0"/>
      <w:marTop w:val="0"/>
      <w:marBottom w:val="0"/>
      <w:divBdr>
        <w:top w:val="none" w:sz="0" w:space="0" w:color="auto"/>
        <w:left w:val="none" w:sz="0" w:space="0" w:color="auto"/>
        <w:bottom w:val="none" w:sz="0" w:space="0" w:color="auto"/>
        <w:right w:val="none" w:sz="0" w:space="0" w:color="auto"/>
      </w:divBdr>
    </w:div>
    <w:div w:id="21253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4AB6-BECA-46CC-B16A-6C8625FC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PA_POOL</vt:lpstr>
    </vt:vector>
  </TitlesOfParts>
  <Company>ITU</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Sir Bosson, Ana</cp:lastModifiedBy>
  <cp:revision>7</cp:revision>
  <cp:lastPrinted>2011-02-14T10:12:00Z</cp:lastPrinted>
  <dcterms:created xsi:type="dcterms:W3CDTF">2011-02-14T10:07:00Z</dcterms:created>
  <dcterms:modified xsi:type="dcterms:W3CDTF">2019-09-20T13:03:00Z</dcterms:modified>
</cp:coreProperties>
</file>