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76C9" w14:textId="77777777" w:rsidR="00E07784" w:rsidRPr="00856461" w:rsidRDefault="00E07784" w:rsidP="00254BA0">
      <w:pPr>
        <w:pStyle w:val="QuestionNoBR"/>
        <w:rPr>
          <w:b/>
          <w:lang w:eastAsia="zh-CN"/>
        </w:rPr>
      </w:pPr>
      <w:bookmarkStart w:id="0" w:name="drec"/>
      <w:r w:rsidRPr="00856461">
        <w:t>CUESTIÓN UIT-R 256</w:t>
      </w:r>
      <w:r>
        <w:t>-1</w:t>
      </w:r>
      <w:r w:rsidRPr="00856461">
        <w:t>/7</w:t>
      </w:r>
      <w:r w:rsidRPr="00856461">
        <w:rPr>
          <w:rStyle w:val="FootnoteReference"/>
          <w:bCs/>
          <w:szCs w:val="28"/>
        </w:rPr>
        <w:footnoteReference w:customMarkFollows="1" w:id="1"/>
        <w:sym w:font="Symbol" w:char="F02A"/>
      </w:r>
    </w:p>
    <w:p w14:paraId="1AD8F2A9" w14:textId="77777777" w:rsidR="00E07784" w:rsidRPr="00856461" w:rsidRDefault="00E07784" w:rsidP="00254BA0">
      <w:pPr>
        <w:pStyle w:val="Questiontitle"/>
        <w:rPr>
          <w:lang w:eastAsia="zh-CN"/>
        </w:rPr>
      </w:pPr>
      <w:bookmarkStart w:id="1" w:name="dtitle1"/>
      <w:bookmarkEnd w:id="0"/>
      <w:r w:rsidRPr="00856461">
        <w:t>Observaciones de la meteorología espacial</w:t>
      </w:r>
    </w:p>
    <w:p w14:paraId="0FE1F79E" w14:textId="77777777" w:rsidR="00E07784" w:rsidRPr="00856461" w:rsidRDefault="00E07784" w:rsidP="00254BA0">
      <w:pPr>
        <w:pStyle w:val="Questiondate"/>
        <w:rPr>
          <w:i/>
          <w:iCs/>
        </w:rPr>
      </w:pPr>
      <w:bookmarkStart w:id="2" w:name="dbreak"/>
      <w:bookmarkEnd w:id="1"/>
      <w:bookmarkEnd w:id="2"/>
      <w:r w:rsidRPr="00856461">
        <w:rPr>
          <w:iCs/>
        </w:rPr>
        <w:t>(2015-2023)</w:t>
      </w:r>
    </w:p>
    <w:p w14:paraId="6AE5210B" w14:textId="77777777" w:rsidR="00E07784" w:rsidRPr="00856461" w:rsidRDefault="00E07784" w:rsidP="00E07784">
      <w:pPr>
        <w:pStyle w:val="Normalaftertitle0"/>
        <w:spacing w:before="360"/>
        <w:jc w:val="both"/>
        <w:rPr>
          <w:szCs w:val="24"/>
          <w:lang w:val="es-ES_tradnl"/>
        </w:rPr>
      </w:pPr>
      <w:r w:rsidRPr="00856461">
        <w:rPr>
          <w:szCs w:val="24"/>
          <w:lang w:val="es-ES_tradnl"/>
        </w:rPr>
        <w:t>La Asamblea de Radiocomunicaciones de la UIT,</w:t>
      </w:r>
    </w:p>
    <w:p w14:paraId="7331891F" w14:textId="77777777" w:rsidR="00E07784" w:rsidRPr="00856461" w:rsidRDefault="00E07784" w:rsidP="00E07784">
      <w:pPr>
        <w:pStyle w:val="Call"/>
        <w:tabs>
          <w:tab w:val="clear" w:pos="794"/>
          <w:tab w:val="clear" w:pos="1191"/>
        </w:tabs>
        <w:ind w:left="1134"/>
        <w:jc w:val="both"/>
        <w:rPr>
          <w:szCs w:val="24"/>
        </w:rPr>
      </w:pPr>
      <w:r w:rsidRPr="00856461">
        <w:rPr>
          <w:szCs w:val="24"/>
        </w:rPr>
        <w:t>considerando</w:t>
      </w:r>
    </w:p>
    <w:p w14:paraId="4E665A47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szCs w:val="24"/>
        </w:rPr>
        <w:t>a)</w:t>
      </w:r>
      <w:r w:rsidRPr="00856461">
        <w:rPr>
          <w:szCs w:val="24"/>
        </w:rPr>
        <w:tab/>
        <w:t>que las observaciones de la meteorología espacial son cada vez más importantes para detectar eventos de actividad solar que podrían repercutir en servicios críticos para la economía, la protección y la seguridad de las administraciones;</w:t>
      </w:r>
    </w:p>
    <w:p w14:paraId="47A244E9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szCs w:val="24"/>
        </w:rPr>
        <w:t>b)</w:t>
      </w:r>
      <w:r w:rsidRPr="00856461">
        <w:rPr>
          <w:szCs w:val="24"/>
        </w:rPr>
        <w:tab/>
        <w:t>que estas observaciones se realizan desde plataformas que pueden estar en tierra, en aeronaves o en el espacio;</w:t>
      </w:r>
    </w:p>
    <w:p w14:paraId="373A86CC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szCs w:val="24"/>
        </w:rPr>
        <w:t>c)</w:t>
      </w:r>
      <w:r w:rsidRPr="00856461">
        <w:rPr>
          <w:szCs w:val="24"/>
        </w:rPr>
        <w:tab/>
        <w:t>que algunos de los sensores funcionan recibiendo emisiones naturales de bajo nivel procedentes del Sol o de la atmósfera de la Tierra y que, por tanto, pueden sufrir niveles de interferencias que podrían ser admisibles para otros sistemas de radiocomunicaciones,</w:t>
      </w:r>
    </w:p>
    <w:p w14:paraId="5B520604" w14:textId="77777777" w:rsidR="00E07784" w:rsidRPr="00856461" w:rsidRDefault="00E07784" w:rsidP="00E07784">
      <w:pPr>
        <w:pStyle w:val="Call"/>
        <w:tabs>
          <w:tab w:val="clear" w:pos="794"/>
          <w:tab w:val="clear" w:pos="1191"/>
        </w:tabs>
        <w:ind w:left="1134"/>
        <w:jc w:val="both"/>
        <w:rPr>
          <w:szCs w:val="24"/>
        </w:rPr>
      </w:pPr>
      <w:r w:rsidRPr="00856461">
        <w:rPr>
          <w:szCs w:val="24"/>
        </w:rPr>
        <w:t>observando</w:t>
      </w:r>
    </w:p>
    <w:p w14:paraId="74BDB359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iCs/>
          <w:szCs w:val="24"/>
        </w:rPr>
        <w:t>a)</w:t>
      </w:r>
      <w:r w:rsidRPr="00856461">
        <w:rPr>
          <w:szCs w:val="24"/>
        </w:rPr>
        <w:tab/>
        <w:t>que no existe actualmente una definición de «meteorología espacial» en la terminología de la UIT;</w:t>
      </w:r>
    </w:p>
    <w:p w14:paraId="2C964CC0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iCs/>
          <w:szCs w:val="24"/>
        </w:rPr>
        <w:t>b)</w:t>
      </w:r>
      <w:r w:rsidRPr="00856461">
        <w:rPr>
          <w:szCs w:val="24"/>
        </w:rPr>
        <w:tab/>
        <w:t>que la definición de «meteorología espacial» proporcionada por la Organización Meteorológica Mundial es la siguiente: «La meteorología espacial engloba las condiciones y los procesos que tienen lugar en el espacio, incluidos el Sol, la magnetosfera, la ionosfera y la termosfera, que tienen la capacidad de afectar al entorno cercano a la Tierra»;</w:t>
      </w:r>
    </w:p>
    <w:p w14:paraId="1D0B3F7D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iCs/>
          <w:szCs w:val="24"/>
        </w:rPr>
        <w:t>c)</w:t>
      </w:r>
      <w:r w:rsidRPr="00856461">
        <w:rPr>
          <w:szCs w:val="24"/>
        </w:rPr>
        <w:tab/>
        <w:t>que la definición de meteorología espacial preparada por el Grupo de Trabajo (GT) 7C, y acordada por el Comité de Coordinación de la Terminología de la UIT (CCT UIT) es la siguiente: «fenómenos naturales, principalmente generados por la actividad solar y que ocurren más allá de la mayor parte de la atmósfera terrestre, que influyen en el medio ambiente y la actividad humana en la Tierra»;</w:t>
      </w:r>
    </w:p>
    <w:p w14:paraId="538F5ACD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iCs/>
          <w:szCs w:val="24"/>
        </w:rPr>
        <w:t>d)</w:t>
      </w:r>
      <w:r w:rsidRPr="00856461">
        <w:rPr>
          <w:szCs w:val="24"/>
        </w:rPr>
        <w:tab/>
        <w:t>que el GT 7C estudió los eventuales servicios de radiocomunicaciones dentro de los que podrían realizarse observaciones de meteorología espacial y que, como resultado de ese examen, se consideró adecuado el servicio de ayudas a la meteorología;</w:t>
      </w:r>
    </w:p>
    <w:p w14:paraId="3D9B53BF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i/>
          <w:iCs/>
          <w:szCs w:val="24"/>
        </w:rPr>
        <w:t>e)</w:t>
      </w:r>
      <w:r w:rsidRPr="00856461">
        <w:rPr>
          <w:szCs w:val="24"/>
        </w:rPr>
        <w:tab/>
        <w:t>que el UIT-R realizó estudios técnicos y reglamentarios sobre la meteorología espacial en el Informe UIT-R RS.2456-1,</w:t>
      </w:r>
    </w:p>
    <w:p w14:paraId="0AE8A819" w14:textId="77777777" w:rsidR="00E07784" w:rsidRPr="00856461" w:rsidRDefault="00E07784" w:rsidP="00E07784">
      <w:pPr>
        <w:pStyle w:val="Call"/>
        <w:tabs>
          <w:tab w:val="clear" w:pos="794"/>
          <w:tab w:val="clear" w:pos="1191"/>
        </w:tabs>
        <w:ind w:left="1134"/>
        <w:jc w:val="both"/>
        <w:rPr>
          <w:szCs w:val="24"/>
        </w:rPr>
      </w:pPr>
      <w:r w:rsidRPr="00856461">
        <w:rPr>
          <w:szCs w:val="24"/>
        </w:rPr>
        <w:t xml:space="preserve">decide </w:t>
      </w:r>
      <w:r w:rsidRPr="00856461">
        <w:rPr>
          <w:i w:val="0"/>
          <w:iCs/>
          <w:szCs w:val="24"/>
        </w:rPr>
        <w:t>poner a estudio las siguientes Cuestiones</w:t>
      </w:r>
    </w:p>
    <w:p w14:paraId="1A85752A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t>1</w:t>
      </w:r>
      <w:r w:rsidRPr="00856461">
        <w:rPr>
          <w:szCs w:val="24"/>
        </w:rPr>
        <w:tab/>
        <w:t>¿Qué servicios de radiocomunicaciones podrían utilizarse para los sensores de meteorología espacial?</w:t>
      </w:r>
    </w:p>
    <w:p w14:paraId="0CEC9AF0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t>2</w:t>
      </w:r>
      <w:r w:rsidRPr="00856461">
        <w:rPr>
          <w:szCs w:val="24"/>
        </w:rPr>
        <w:tab/>
        <w:t xml:space="preserve">¿Qué partes de las actuales atribuciones de bandas de frecuencias del Artículo </w:t>
      </w:r>
      <w:r w:rsidRPr="00856461">
        <w:rPr>
          <w:b/>
          <w:bCs/>
          <w:szCs w:val="24"/>
        </w:rPr>
        <w:t>5</w:t>
      </w:r>
      <w:r w:rsidRPr="00856461">
        <w:rPr>
          <w:szCs w:val="24"/>
        </w:rPr>
        <w:t xml:space="preserve"> del RR pueden utilizarse para las observaciones de meteorología espacial?</w:t>
      </w:r>
    </w:p>
    <w:p w14:paraId="6C009205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lastRenderedPageBreak/>
        <w:t>3</w:t>
      </w:r>
      <w:r w:rsidRPr="00856461">
        <w:rPr>
          <w:szCs w:val="24"/>
        </w:rPr>
        <w:tab/>
        <w:t>¿Cuáles son las características técnicas y operativas típicas de los sensores de meteorología espacial?</w:t>
      </w:r>
    </w:p>
    <w:p w14:paraId="6CEEC9CB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t>4</w:t>
      </w:r>
      <w:r w:rsidRPr="00856461">
        <w:rPr>
          <w:szCs w:val="24"/>
        </w:rPr>
        <w:tab/>
        <w:t>¿Qué protección sería necesaria para el funcionamiento de estos sistemas?</w:t>
      </w:r>
    </w:p>
    <w:p w14:paraId="1FC053E1" w14:textId="77777777" w:rsidR="00E07784" w:rsidRPr="00856461" w:rsidRDefault="00E07784" w:rsidP="00E07784">
      <w:pPr>
        <w:pStyle w:val="Call"/>
        <w:tabs>
          <w:tab w:val="clear" w:pos="794"/>
          <w:tab w:val="clear" w:pos="1191"/>
        </w:tabs>
        <w:ind w:left="1134"/>
        <w:jc w:val="both"/>
        <w:rPr>
          <w:szCs w:val="24"/>
        </w:rPr>
      </w:pPr>
      <w:r w:rsidRPr="00856461">
        <w:rPr>
          <w:szCs w:val="24"/>
        </w:rPr>
        <w:t>decide también</w:t>
      </w:r>
    </w:p>
    <w:p w14:paraId="305E9E34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t>1</w:t>
      </w:r>
      <w:r w:rsidRPr="00856461">
        <w:rPr>
          <w:szCs w:val="24"/>
        </w:rPr>
        <w:tab/>
        <w:t>que los resultados de estos estudios se incluyan en una o más Recomendaciones y/o Informes del UIT-R, según el caso;</w:t>
      </w:r>
    </w:p>
    <w:p w14:paraId="38E804F6" w14:textId="77777777" w:rsidR="00E07784" w:rsidRPr="00856461" w:rsidRDefault="00E07784" w:rsidP="00E07784">
      <w:pPr>
        <w:tabs>
          <w:tab w:val="clear" w:pos="794"/>
          <w:tab w:val="clear" w:pos="1191"/>
          <w:tab w:val="left" w:pos="1134"/>
        </w:tabs>
        <w:jc w:val="both"/>
        <w:rPr>
          <w:szCs w:val="24"/>
        </w:rPr>
      </w:pPr>
      <w:r w:rsidRPr="00856461">
        <w:rPr>
          <w:szCs w:val="24"/>
        </w:rPr>
        <w:t>2</w:t>
      </w:r>
      <w:r w:rsidRPr="00856461">
        <w:rPr>
          <w:szCs w:val="24"/>
        </w:rPr>
        <w:tab/>
        <w:t>que estos estudios se terminen en</w:t>
      </w:r>
      <w:r>
        <w:rPr>
          <w:szCs w:val="24"/>
        </w:rPr>
        <w:t xml:space="preserve"> 2027</w:t>
      </w:r>
      <w:r w:rsidRPr="00856461">
        <w:rPr>
          <w:szCs w:val="24"/>
        </w:rPr>
        <w:t>.</w:t>
      </w:r>
    </w:p>
    <w:p w14:paraId="38132390" w14:textId="77777777" w:rsidR="00E07784" w:rsidRPr="00856461" w:rsidRDefault="00E07784" w:rsidP="00E07784">
      <w:pPr>
        <w:spacing w:before="360"/>
        <w:jc w:val="both"/>
        <w:rPr>
          <w:szCs w:val="24"/>
        </w:rPr>
      </w:pPr>
      <w:r w:rsidRPr="00856461">
        <w:rPr>
          <w:szCs w:val="24"/>
        </w:rPr>
        <w:t>Categoría: S2</w:t>
      </w:r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4AA49132" w14:textId="77777777" w:rsidR="00E07784" w:rsidRDefault="00E07784" w:rsidP="002D7025">
      <w:pPr>
        <w:pStyle w:val="FootnoteText"/>
      </w:pPr>
      <w:r>
        <w:rPr>
          <w:rStyle w:val="FootnoteReference"/>
        </w:rPr>
        <w:sym w:font="Symbol" w:char="F02A"/>
      </w:r>
      <w:r>
        <w:tab/>
      </w:r>
      <w:r>
        <w:rPr>
          <w:rFonts w:asciiTheme="majorBidi" w:hAnsiTheme="majorBidi" w:cstheme="majorBidi"/>
          <w:sz w:val="24"/>
          <w:szCs w:val="24"/>
        </w:rPr>
        <w:t>Esta Cuestión debe señalarse a la atención de la Organización Meteorológica Mundial (OMM)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326A5"/>
    <w:rsid w:val="00344C92"/>
    <w:rsid w:val="004649CF"/>
    <w:rsid w:val="004A11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07784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styleId="Hyperlink">
    <w:name w:val="Hyperlink"/>
    <w:basedOn w:val="DefaultParagraphFont"/>
    <w:rsid w:val="00E07784"/>
    <w:rPr>
      <w:color w:val="0000FF"/>
      <w:u w:val="single"/>
    </w:rPr>
  </w:style>
  <w:style w:type="paragraph" w:customStyle="1" w:styleId="AnnexNotitle">
    <w:name w:val="Annex_No &amp; title"/>
    <w:basedOn w:val="Normal"/>
    <w:next w:val="Normalaftertitle"/>
    <w:rsid w:val="00E07784"/>
    <w:pPr>
      <w:keepNext/>
      <w:keepLines/>
      <w:spacing w:before="48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E07784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E077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E07784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07784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link w:val="Tabletext"/>
    <w:locked/>
    <w:rsid w:val="00E07784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E07784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77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Style1">
    <w:name w:val="Style1"/>
    <w:basedOn w:val="DefaultParagraphFont"/>
    <w:uiPriority w:val="1"/>
    <w:rsid w:val="00E07784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E07784"/>
    <w:rPr>
      <w:rFonts w:ascii="Calibri" w:hAnsi="Calibri"/>
      <w:b/>
      <w:sz w:val="24"/>
    </w:rPr>
  </w:style>
  <w:style w:type="character" w:customStyle="1" w:styleId="FootnoteTextChar">
    <w:name w:val="Footnote Text Char"/>
    <w:basedOn w:val="DefaultParagraphFont"/>
    <w:link w:val="FootnoteText"/>
    <w:rsid w:val="00E07784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E07784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5</TotalTime>
  <Pages>2</Pages>
  <Words>409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2024-01-23T10:39:00Z</dcterms:created>
  <dcterms:modified xsi:type="dcterms:W3CDTF">2024-01-23T14:09:00Z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