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2C7AD8"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3pt" o:ole="">
                  <v:imagedata r:id="rId7" o:title=""/>
                </v:shape>
                <o:OLEObject Type="Embed" ProgID="Equation.3" ShapeID="_x0000_i1025" DrawAspect="Content" ObjectID="_1487674277" r:id="rId8"/>
              </w:object>
            </w:r>
          </w:p>
          <w:p w:rsidR="00FE79FE" w:rsidRPr="009A2427" w:rsidRDefault="00FE79FE" w:rsidP="002C7AD8">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2C7AD8">
              <w:rPr>
                <w:rFonts w:ascii="Tahoma" w:hAnsi="Tahoma" w:cs="Tahoma"/>
                <w:b/>
                <w:bCs/>
                <w:iCs/>
                <w:color w:val="509141"/>
                <w:sz w:val="36"/>
                <w:szCs w:val="36"/>
                <w:lang w:val="en-US"/>
              </w:rPr>
              <w:t>2340-0</w:t>
            </w:r>
          </w:p>
          <w:p w:rsidR="00FE79FE" w:rsidRPr="009A2427" w:rsidRDefault="00FE79FE" w:rsidP="002C7AD8">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2C7AD8">
              <w:rPr>
                <w:rFonts w:ascii="Tahoma" w:hAnsi="Tahoma" w:cs="Tahoma"/>
                <w:b/>
                <w:bCs/>
                <w:iCs/>
                <w:color w:val="509141"/>
                <w:szCs w:val="24"/>
                <w:lang w:val="en-US"/>
              </w:rPr>
              <w:t>12</w:t>
            </w:r>
            <w:r w:rsidRPr="009A2427">
              <w:rPr>
                <w:rFonts w:ascii="Tahoma" w:hAnsi="Tahoma" w:cs="Tahoma"/>
                <w:b/>
                <w:bCs/>
                <w:iCs/>
                <w:color w:val="509141"/>
                <w:szCs w:val="24"/>
                <w:lang w:val="en-US"/>
              </w:rPr>
              <w:t>/</w:t>
            </w:r>
            <w:r w:rsidR="002C7AD8">
              <w:rPr>
                <w:rFonts w:ascii="Tahoma" w:hAnsi="Tahoma" w:cs="Tahoma"/>
                <w:b/>
                <w:bCs/>
                <w:iCs/>
                <w:color w:val="509141"/>
                <w:szCs w:val="24"/>
                <w:lang w:val="en-US"/>
              </w:rPr>
              <w:t>2014</w:t>
            </w:r>
            <w:r w:rsidRPr="009A2427">
              <w:rPr>
                <w:rFonts w:ascii="Tahoma" w:hAnsi="Tahoma" w:cs="Tahoma"/>
                <w:b/>
                <w:bCs/>
                <w:iCs/>
                <w:color w:val="509141"/>
                <w:szCs w:val="24"/>
                <w:lang w:val="en-US"/>
              </w:rPr>
              <w:t>)</w:t>
            </w:r>
          </w:p>
        </w:tc>
      </w:tr>
      <w:tr w:rsidR="00FE79FE" w:rsidRPr="000C0F48"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2C7AD8" w:rsidP="002C7AD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Sharing between the mobile service and the bro</w:t>
            </w:r>
            <w:r w:rsidR="009B25D7">
              <w:rPr>
                <w:rFonts w:ascii="Tahoma" w:hAnsi="Tahoma" w:cs="Tahoma"/>
                <w:b/>
                <w:bCs/>
                <w:iCs/>
                <w:color w:val="509141"/>
                <w:sz w:val="44"/>
                <w:szCs w:val="44"/>
                <w:lang w:val="en-US"/>
              </w:rPr>
              <w:t>adcasting service in the 1 452-</w:t>
            </w:r>
            <w:r>
              <w:rPr>
                <w:rFonts w:ascii="Tahoma" w:hAnsi="Tahoma" w:cs="Tahoma"/>
                <w:b/>
                <w:bCs/>
                <w:iCs/>
                <w:color w:val="509141"/>
                <w:sz w:val="44"/>
                <w:szCs w:val="44"/>
                <w:lang w:val="en-US"/>
              </w:rPr>
              <w:t>1 492 MHz frequency band</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0C0F48"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C0F48">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0C0F48"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0C0F48">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C0F48"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2791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B90EC8">
        <w:rPr>
          <w:sz w:val="20"/>
          <w:lang w:val="en-US"/>
        </w:rPr>
        <w:t>5</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90499B">
        <w:rPr>
          <w:sz w:val="20"/>
          <w:lang w:val="en-US"/>
        </w:rPr>
        <w:t>1</w:t>
      </w:r>
      <w:r w:rsidR="00B90EC8">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9F2D6A" w:rsidRDefault="005E3779" w:rsidP="002C7AD8">
      <w:pPr>
        <w:pStyle w:val="RepNo"/>
        <w:spacing w:before="0"/>
        <w:rPr>
          <w:vertAlign w:val="superscript"/>
          <w:lang w:val="en-US"/>
        </w:rPr>
      </w:pPr>
      <w:bookmarkStart w:id="3" w:name="irecnoe"/>
      <w:bookmarkEnd w:id="3"/>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2C7AD8">
        <w:rPr>
          <w:rStyle w:val="href"/>
          <w:lang w:val="en-US"/>
        </w:rPr>
        <w:t>2340-0</w:t>
      </w:r>
      <w:r w:rsidR="009F2D6A">
        <w:rPr>
          <w:rFonts w:eastAsia="MS Mincho"/>
          <w:position w:val="6"/>
          <w:sz w:val="18"/>
          <w:szCs w:val="18"/>
        </w:rPr>
        <w:footnoteReference w:id="1"/>
      </w:r>
    </w:p>
    <w:p w:rsidR="002C7AD8" w:rsidRDefault="002C7AD8" w:rsidP="002C7AD8">
      <w:pPr>
        <w:pStyle w:val="Reptitle"/>
        <w:rPr>
          <w:lang w:val="en-US"/>
        </w:rPr>
      </w:pPr>
      <w:r>
        <w:rPr>
          <w:lang w:val="en-US"/>
        </w:rPr>
        <w:t>Sharing between the mobile service and the broadcasting service in the 1 452</w:t>
      </w:r>
      <w:r>
        <w:rPr>
          <w:lang w:val="en-US"/>
        </w:rPr>
        <w:noBreakHyphen/>
        <w:t>1 492 MHz frequency band</w:t>
      </w:r>
    </w:p>
    <w:p w:rsidR="00497090" w:rsidRDefault="00497090" w:rsidP="00497090">
      <w:pPr>
        <w:pStyle w:val="Recdate"/>
        <w:rPr>
          <w:lang w:val="en-US"/>
        </w:rPr>
      </w:pPr>
      <w:r>
        <w:rPr>
          <w:lang w:val="en-US"/>
        </w:rPr>
        <w:t>(2014)</w:t>
      </w:r>
    </w:p>
    <w:p w:rsidR="002C7AD8" w:rsidRPr="002C7AD8" w:rsidRDefault="002C7AD8" w:rsidP="002C7AD8">
      <w:pPr>
        <w:pStyle w:val="Heading1"/>
        <w:rPr>
          <w:lang w:val="en-US"/>
        </w:rPr>
      </w:pPr>
      <w:r w:rsidRPr="002C7AD8">
        <w:rPr>
          <w:lang w:val="en-US"/>
        </w:rPr>
        <w:t>1</w:t>
      </w:r>
      <w:r w:rsidRPr="002C7AD8">
        <w:rPr>
          <w:lang w:val="en-US"/>
        </w:rPr>
        <w:tab/>
        <w:t>Introduction</w:t>
      </w:r>
    </w:p>
    <w:p w:rsidR="002C7AD8" w:rsidRPr="002C7AD8" w:rsidRDefault="002C7AD8" w:rsidP="00FD66BC">
      <w:pPr>
        <w:rPr>
          <w:lang w:val="en-US"/>
        </w:rPr>
      </w:pPr>
      <w:r w:rsidRPr="002C7AD8">
        <w:rPr>
          <w:lang w:val="en-US"/>
        </w:rPr>
        <w:t xml:space="preserve">This </w:t>
      </w:r>
      <w:r w:rsidR="00FD66BC">
        <w:rPr>
          <w:lang w:val="en-US"/>
        </w:rPr>
        <w:t>Report</w:t>
      </w:r>
      <w:r w:rsidRPr="002C7AD8">
        <w:rPr>
          <w:lang w:val="en-US"/>
        </w:rPr>
        <w:t xml:space="preserve"> provides a sharing study between potential international mobile telecommunication (IMT) systems and the broadcasting service (BS) in the frequency band 1 452-1 492 MHz conducted as preparatory work for WRC-15 agenda item 1.1. This Report aims at analysing the feasibility of sharing between BS and the mobile service (MS) through comparison of sharing between digital audio broadcasting networks and IMT networks with the case of sharing between networks within broadcasting service. Only the case of IMT downlink is considered.</w:t>
      </w:r>
    </w:p>
    <w:p w:rsidR="002C7AD8" w:rsidRPr="002C7AD8" w:rsidRDefault="002C7AD8" w:rsidP="002C7AD8">
      <w:pPr>
        <w:pStyle w:val="Heading1"/>
        <w:rPr>
          <w:lang w:val="en-US"/>
        </w:rPr>
      </w:pPr>
      <w:r w:rsidRPr="002C7AD8">
        <w:rPr>
          <w:lang w:val="en-US"/>
        </w:rPr>
        <w:t>2</w:t>
      </w:r>
      <w:r w:rsidRPr="002C7AD8">
        <w:rPr>
          <w:lang w:val="en-US"/>
        </w:rPr>
        <w:tab/>
        <w:t>Background</w:t>
      </w:r>
    </w:p>
    <w:p w:rsidR="002C7AD8" w:rsidRPr="002C7AD8" w:rsidRDefault="002C7AD8" w:rsidP="002C7AD8">
      <w:pPr>
        <w:rPr>
          <w:lang w:val="en-US"/>
        </w:rPr>
      </w:pPr>
      <w:r w:rsidRPr="002C7AD8">
        <w:rPr>
          <w:lang w:val="en-US"/>
        </w:rPr>
        <w:t xml:space="preserve">The band 1 452-1 492 MHz is allocated to BS on a primary basis globally, subject to the provisions of Resolution </w:t>
      </w:r>
      <w:r w:rsidRPr="002C7AD8">
        <w:rPr>
          <w:b/>
          <w:lang w:val="en-US"/>
        </w:rPr>
        <w:t>528</w:t>
      </w:r>
      <w:r w:rsidRPr="002C7AD8">
        <w:rPr>
          <w:lang w:val="en-US"/>
        </w:rPr>
        <w:t xml:space="preserve"> </w:t>
      </w:r>
      <w:r w:rsidRPr="002C7AD8">
        <w:rPr>
          <w:b/>
          <w:lang w:val="en-US"/>
        </w:rPr>
        <w:t>(Rev.WRC-03)</w:t>
      </w:r>
      <w:r w:rsidRPr="002C7AD8">
        <w:rPr>
          <w:lang w:val="en-US"/>
        </w:rPr>
        <w:t>. The BS in this band has not been widely deployed, but digital audio broadcasting frequency planning had been performed for a large number of CEPT countries. The Maastricht, 2002, Special Arrangement, as revised in Constanţa, 2007 (MA02revCO07) governs the frequency band 1 452-1 479.5 MHz. It has been adopted by CEPT multilateral meeting on 04 July 2007 and has come into force on 01 September 2007. This Special Arrangement enables the implementation of Terrestrial-Digital Audio Broadcasting (T-DAB) stations in the frequency band 1 452-1 479.5 MHz under specified technical conditions such as interfering field strengths levels limits (in regard to any other administrations whose other radiocommunication services may be applied within the same band).</w:t>
      </w:r>
    </w:p>
    <w:p w:rsidR="002C7AD8" w:rsidRPr="002C7AD8" w:rsidRDefault="002C7AD8" w:rsidP="00A6273B">
      <w:pPr>
        <w:rPr>
          <w:lang w:val="en-US"/>
        </w:rPr>
      </w:pPr>
      <w:r w:rsidRPr="002C7AD8">
        <w:rPr>
          <w:lang w:val="en-US"/>
        </w:rPr>
        <w:t>The MA02revCO07 procedure for cross-border coordination assumes that sharing and compatibility criteria for the services involved are known. Annex II of MA02revCO07 provides such criteria for T</w:t>
      </w:r>
      <w:r w:rsidR="00A6273B">
        <w:rPr>
          <w:lang w:val="en-US"/>
        </w:rPr>
        <w:noBreakHyphen/>
      </w:r>
      <w:r w:rsidRPr="002C7AD8">
        <w:rPr>
          <w:lang w:val="en-US"/>
        </w:rPr>
        <w:t>DAB and a set of other services.</w:t>
      </w:r>
    </w:p>
    <w:p w:rsidR="002C7AD8" w:rsidRPr="002C7AD8" w:rsidRDefault="002C7AD8" w:rsidP="002C7AD8">
      <w:pPr>
        <w:pStyle w:val="Heading1"/>
        <w:rPr>
          <w:lang w:val="en-US"/>
        </w:rPr>
      </w:pPr>
      <w:r w:rsidRPr="002C7AD8">
        <w:rPr>
          <w:lang w:val="en-US"/>
        </w:rPr>
        <w:t>3</w:t>
      </w:r>
      <w:r w:rsidRPr="002C7AD8">
        <w:rPr>
          <w:lang w:val="en-US"/>
        </w:rPr>
        <w:tab/>
        <w:t>Sharing study between terrestrial digital audio broadcasting and the mobile service</w:t>
      </w:r>
    </w:p>
    <w:p w:rsidR="002C7AD8" w:rsidRPr="002C7AD8" w:rsidRDefault="002C7AD8" w:rsidP="002C7AD8">
      <w:pPr>
        <w:rPr>
          <w:lang w:val="en-US"/>
        </w:rPr>
      </w:pPr>
      <w:r w:rsidRPr="002C7AD8">
        <w:rPr>
          <w:lang w:val="en-US"/>
        </w:rPr>
        <w:t>Since there are no specific limits between T-DAB and mobile systems (IMT) within this band in MA02revCO07 procedure, a comparative analysis of interference criteria for the case of broadcasting networks sharing and for the case of sharing between a broadcasting network and an IMT network is performed, specifically for the situation of adjacent geographical area sharing. Specifically, maximum permissible interfering field strength levels for T-DAB and for IMT base stations are derived and compared to evaluate sharing possibilities.</w:t>
      </w:r>
    </w:p>
    <w:p w:rsidR="002C7AD8" w:rsidRPr="002C7AD8" w:rsidRDefault="002C7AD8" w:rsidP="002C7AD8">
      <w:pPr>
        <w:pStyle w:val="Heading2"/>
        <w:rPr>
          <w:lang w:val="en-US"/>
        </w:rPr>
      </w:pPr>
      <w:r w:rsidRPr="002C7AD8">
        <w:rPr>
          <w:lang w:val="en-US"/>
        </w:rPr>
        <w:t>3.1</w:t>
      </w:r>
      <w:r w:rsidRPr="002C7AD8">
        <w:rPr>
          <w:lang w:val="en-US"/>
        </w:rPr>
        <w:tab/>
        <w:t>Calculation of the required allowable interfering field strength limits</w:t>
      </w:r>
    </w:p>
    <w:p w:rsidR="002C7AD8" w:rsidRPr="002C7AD8" w:rsidRDefault="002C7AD8" w:rsidP="00A6273B">
      <w:pPr>
        <w:rPr>
          <w:lang w:val="en-US"/>
        </w:rPr>
      </w:pPr>
      <w:r w:rsidRPr="002C7AD8">
        <w:rPr>
          <w:lang w:val="en-US"/>
        </w:rPr>
        <w:t xml:space="preserve">As referred in </w:t>
      </w:r>
      <w:r w:rsidR="00A6273B">
        <w:rPr>
          <w:lang w:val="en-US"/>
        </w:rPr>
        <w:t xml:space="preserve">§ </w:t>
      </w:r>
      <w:r w:rsidRPr="002C7AD8">
        <w:rPr>
          <w:lang w:val="en-US"/>
        </w:rPr>
        <w:t>3.1 from the Maastricht Special Arrangement MA02revCO07, the minimum equivalent field strength is given for a 1 470 MHz frequency emission.</w:t>
      </w:r>
    </w:p>
    <w:p w:rsidR="002C7AD8" w:rsidRPr="00CF0302" w:rsidRDefault="002C7AD8" w:rsidP="002C7AD8">
      <w:pPr>
        <w:pStyle w:val="Headingb"/>
        <w:rPr>
          <w:lang w:val="en-US"/>
        </w:rPr>
      </w:pPr>
      <w:r w:rsidRPr="00CF0302">
        <w:rPr>
          <w:lang w:val="en-US"/>
        </w:rPr>
        <w:lastRenderedPageBreak/>
        <w:t>a)</w:t>
      </w:r>
      <w:r w:rsidRPr="00CF0302">
        <w:rPr>
          <w:lang w:val="en-US"/>
        </w:rPr>
        <w:tab/>
        <w:t>System parameters</w:t>
      </w:r>
    </w:p>
    <w:p w:rsidR="002C7AD8" w:rsidRPr="002C7AD8" w:rsidRDefault="002C7AD8" w:rsidP="00806F62">
      <w:pPr>
        <w:rPr>
          <w:lang w:val="en-US"/>
        </w:rPr>
      </w:pPr>
      <w:r w:rsidRPr="002C7AD8">
        <w:rPr>
          <w:lang w:val="en-US"/>
        </w:rPr>
        <w:t xml:space="preserve">When deriving appropriate maximum allowable field strength limits, receiver features for each equipment intended to be protected are given in the following table. Technical characteristics and the protection criterion for T-DAB systems are extracted from the Maastricht Special Arrangement MA02revCO07. </w:t>
      </w:r>
      <w:r w:rsidRPr="002C7AD8">
        <w:rPr>
          <w:szCs w:val="24"/>
          <w:lang w:val="en-US"/>
        </w:rPr>
        <w:t xml:space="preserve">Technical characteristics and protection criteria for IMT system receivers are extracted from Report ITU-R </w:t>
      </w:r>
      <w:r w:rsidRPr="00740FB1">
        <w:rPr>
          <w:szCs w:val="24"/>
          <w:lang w:val="en-US"/>
        </w:rPr>
        <w:t>M.2292</w:t>
      </w:r>
      <w:r w:rsidRPr="002C7AD8">
        <w:rPr>
          <w:szCs w:val="24"/>
          <w:lang w:val="en-US"/>
        </w:rPr>
        <w:t xml:space="preserve"> on IMT-Advanced systems for receiver antenna gain as well as feeder loss. The choice of the protection criterion is set for two different values </w:t>
      </w:r>
      <w:r w:rsidRPr="002C7AD8">
        <w:rPr>
          <w:i/>
          <w:iCs/>
          <w:szCs w:val="24"/>
          <w:lang w:val="en-US"/>
        </w:rPr>
        <w:t>I/N</w:t>
      </w:r>
      <w:r w:rsidRPr="002C7AD8">
        <w:rPr>
          <w:szCs w:val="24"/>
          <w:lang w:val="en-US"/>
        </w:rPr>
        <w:t xml:space="preserve"> = –6 dB and </w:t>
      </w:r>
      <w:r w:rsidRPr="002C7AD8">
        <w:rPr>
          <w:i/>
          <w:iCs/>
          <w:szCs w:val="24"/>
          <w:lang w:val="en-US"/>
        </w:rPr>
        <w:t>I/N </w:t>
      </w:r>
      <w:r w:rsidRPr="002C7AD8">
        <w:rPr>
          <w:szCs w:val="24"/>
          <w:lang w:val="en-US"/>
        </w:rPr>
        <w:t>= 0 dB.</w:t>
      </w:r>
    </w:p>
    <w:p w:rsidR="002C7AD8" w:rsidRPr="002C7AD8" w:rsidRDefault="002C7AD8" w:rsidP="002C7AD8">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1"/>
        <w:gridCol w:w="1701"/>
        <w:gridCol w:w="2835"/>
      </w:tblGrid>
      <w:tr w:rsidR="002C7AD8" w:rsidRPr="000F6262" w:rsidTr="004A4A40">
        <w:trPr>
          <w:jc w:val="center"/>
        </w:trPr>
        <w:tc>
          <w:tcPr>
            <w:tcW w:w="4001" w:type="dxa"/>
          </w:tcPr>
          <w:p w:rsidR="002C7AD8" w:rsidRPr="000F6262" w:rsidRDefault="002C7AD8" w:rsidP="004A4A40">
            <w:pPr>
              <w:pStyle w:val="Tablehead"/>
            </w:pPr>
            <w:r w:rsidRPr="00B5219D">
              <w:t>Victim application/Service</w:t>
            </w:r>
          </w:p>
        </w:tc>
        <w:tc>
          <w:tcPr>
            <w:tcW w:w="1701" w:type="dxa"/>
          </w:tcPr>
          <w:p w:rsidR="002C7AD8" w:rsidRPr="000F6262" w:rsidRDefault="002C7AD8" w:rsidP="004A4A40">
            <w:pPr>
              <w:pStyle w:val="Tablehead"/>
            </w:pPr>
            <w:r w:rsidRPr="00B5219D">
              <w:t>T-DAB System</w:t>
            </w:r>
          </w:p>
        </w:tc>
        <w:tc>
          <w:tcPr>
            <w:tcW w:w="2835" w:type="dxa"/>
          </w:tcPr>
          <w:p w:rsidR="002C7AD8" w:rsidRPr="000F6262" w:rsidRDefault="002C7AD8" w:rsidP="004A4A40">
            <w:pPr>
              <w:pStyle w:val="Tablehead"/>
            </w:pPr>
            <w:r w:rsidRPr="00B5219D">
              <w:t>IMT Base Station system</w:t>
            </w:r>
          </w:p>
        </w:tc>
      </w:tr>
      <w:tr w:rsidR="002C7AD8" w:rsidRPr="000F6262" w:rsidTr="004A4A40">
        <w:trPr>
          <w:jc w:val="center"/>
        </w:trPr>
        <w:tc>
          <w:tcPr>
            <w:tcW w:w="4001" w:type="dxa"/>
          </w:tcPr>
          <w:p w:rsidR="002C7AD8" w:rsidRPr="000F6262" w:rsidRDefault="002C7AD8" w:rsidP="004A4A40">
            <w:pPr>
              <w:pStyle w:val="Tabletext"/>
            </w:pPr>
            <w:r w:rsidRPr="00B5219D">
              <w:t>Interference criterion</w:t>
            </w:r>
          </w:p>
        </w:tc>
        <w:tc>
          <w:tcPr>
            <w:tcW w:w="1701" w:type="dxa"/>
          </w:tcPr>
          <w:p w:rsidR="002C7AD8" w:rsidRPr="000F6262" w:rsidRDefault="002C7AD8" w:rsidP="004A4A40">
            <w:pPr>
              <w:pStyle w:val="Tabletext"/>
              <w:jc w:val="center"/>
            </w:pPr>
            <w:r w:rsidRPr="00B5219D">
              <w:t>C/I = 10 dB</w:t>
            </w:r>
          </w:p>
        </w:tc>
        <w:tc>
          <w:tcPr>
            <w:tcW w:w="2835" w:type="dxa"/>
          </w:tcPr>
          <w:p w:rsidR="002C7AD8" w:rsidRPr="000F6262" w:rsidRDefault="002C7AD8" w:rsidP="004A4A40">
            <w:pPr>
              <w:pStyle w:val="Tabletext"/>
              <w:jc w:val="center"/>
            </w:pPr>
            <w:r w:rsidRPr="00B34B30">
              <w:rPr>
                <w:i/>
                <w:iCs/>
              </w:rPr>
              <w:t>I/N</w:t>
            </w:r>
            <w:r>
              <w:rPr>
                <w:i/>
                <w:iCs/>
              </w:rPr>
              <w:t> </w:t>
            </w:r>
            <w:r w:rsidRPr="00B5219D">
              <w:t>=</w:t>
            </w:r>
            <w:r>
              <w:t> </w:t>
            </w:r>
            <w:r w:rsidRPr="00B5219D">
              <w:t>0,</w:t>
            </w:r>
            <w:r w:rsidRPr="000F6262">
              <w:t xml:space="preserve"> </w:t>
            </w:r>
            <w:r w:rsidRPr="00B34B30">
              <w:rPr>
                <w:i/>
                <w:iCs/>
              </w:rPr>
              <w:t>I/N</w:t>
            </w:r>
            <w:r>
              <w:rPr>
                <w:i/>
                <w:iCs/>
              </w:rPr>
              <w:t> </w:t>
            </w:r>
            <w:r w:rsidRPr="000F6262">
              <w:t>=</w:t>
            </w:r>
            <w:r>
              <w:t> –</w:t>
            </w:r>
            <w:r w:rsidRPr="00B5219D">
              <w:t>6 dB</w:t>
            </w:r>
          </w:p>
        </w:tc>
      </w:tr>
      <w:tr w:rsidR="002C7AD8" w:rsidRPr="000F6262" w:rsidTr="004A4A40">
        <w:trPr>
          <w:jc w:val="center"/>
        </w:trPr>
        <w:tc>
          <w:tcPr>
            <w:tcW w:w="4001" w:type="dxa"/>
          </w:tcPr>
          <w:p w:rsidR="002C7AD8" w:rsidRPr="002C7AD8" w:rsidRDefault="002C7AD8" w:rsidP="004A4A40">
            <w:pPr>
              <w:pStyle w:val="Tabletext"/>
              <w:rPr>
                <w:lang w:val="en-US"/>
              </w:rPr>
            </w:pPr>
            <w:r w:rsidRPr="002C7AD8">
              <w:rPr>
                <w:lang w:val="en-US"/>
              </w:rPr>
              <w:t>Additional information related to the interference criterion</w:t>
            </w:r>
          </w:p>
        </w:tc>
        <w:tc>
          <w:tcPr>
            <w:tcW w:w="1701" w:type="dxa"/>
          </w:tcPr>
          <w:p w:rsidR="002C7AD8" w:rsidRPr="000F6262" w:rsidRDefault="002C7AD8" w:rsidP="004A4A40">
            <w:pPr>
              <w:pStyle w:val="Tabletext"/>
              <w:jc w:val="center"/>
            </w:pPr>
            <w:r w:rsidRPr="00B5219D">
              <w:t>C = –95.1 dBm</w:t>
            </w:r>
          </w:p>
        </w:tc>
        <w:tc>
          <w:tcPr>
            <w:tcW w:w="2835" w:type="dxa"/>
          </w:tcPr>
          <w:p w:rsidR="002C7AD8" w:rsidRPr="000F6262" w:rsidRDefault="002C7AD8" w:rsidP="004A4A40">
            <w:pPr>
              <w:pStyle w:val="Tabletext"/>
              <w:jc w:val="center"/>
            </w:pPr>
            <w:r w:rsidRPr="00B5219D">
              <w:t>Noise Figure NF = 9 dB</w:t>
            </w:r>
          </w:p>
        </w:tc>
      </w:tr>
      <w:tr w:rsidR="002C7AD8" w:rsidRPr="000F6262" w:rsidTr="004A4A40">
        <w:trPr>
          <w:jc w:val="center"/>
        </w:trPr>
        <w:tc>
          <w:tcPr>
            <w:tcW w:w="4001" w:type="dxa"/>
          </w:tcPr>
          <w:p w:rsidR="002C7AD8" w:rsidRPr="000F6262" w:rsidRDefault="002C7AD8" w:rsidP="004A4A40">
            <w:pPr>
              <w:pStyle w:val="Tabletext"/>
            </w:pPr>
            <w:r w:rsidRPr="00B5219D">
              <w:t>Receiver bandwidth (MHz)</w:t>
            </w:r>
          </w:p>
        </w:tc>
        <w:tc>
          <w:tcPr>
            <w:tcW w:w="1701" w:type="dxa"/>
          </w:tcPr>
          <w:p w:rsidR="002C7AD8" w:rsidRPr="000F6262" w:rsidRDefault="002C7AD8" w:rsidP="004A4A40">
            <w:pPr>
              <w:pStyle w:val="Tabletext"/>
              <w:jc w:val="center"/>
            </w:pPr>
            <w:r w:rsidRPr="00B5219D">
              <w:t>1.536</w:t>
            </w:r>
          </w:p>
        </w:tc>
        <w:tc>
          <w:tcPr>
            <w:tcW w:w="2835" w:type="dxa"/>
          </w:tcPr>
          <w:p w:rsidR="002C7AD8" w:rsidRPr="000F6262" w:rsidRDefault="002C7AD8" w:rsidP="004A4A40">
            <w:pPr>
              <w:pStyle w:val="Tabletext"/>
              <w:jc w:val="center"/>
            </w:pPr>
            <w:r w:rsidRPr="00B5219D">
              <w:t>5</w:t>
            </w:r>
          </w:p>
        </w:tc>
      </w:tr>
      <w:tr w:rsidR="002C7AD8" w:rsidRPr="000F6262" w:rsidTr="004A4A40">
        <w:trPr>
          <w:jc w:val="center"/>
        </w:trPr>
        <w:tc>
          <w:tcPr>
            <w:tcW w:w="4001" w:type="dxa"/>
          </w:tcPr>
          <w:p w:rsidR="002C7AD8" w:rsidRPr="002C7AD8" w:rsidRDefault="002C7AD8" w:rsidP="004A4A40">
            <w:pPr>
              <w:pStyle w:val="Tabletext"/>
              <w:rPr>
                <w:lang w:val="en-US"/>
              </w:rPr>
            </w:pPr>
            <w:r w:rsidRPr="002C7AD8">
              <w:rPr>
                <w:lang w:val="en-US"/>
              </w:rPr>
              <w:t>Antenna receiver gain G</w:t>
            </w:r>
            <w:r w:rsidRPr="002C7AD8">
              <w:rPr>
                <w:vertAlign w:val="subscript"/>
                <w:lang w:val="en-US"/>
              </w:rPr>
              <w:t>r</w:t>
            </w:r>
            <w:r w:rsidRPr="002C7AD8">
              <w:rPr>
                <w:lang w:val="en-US"/>
              </w:rPr>
              <w:t xml:space="preserve"> (dBi)</w:t>
            </w:r>
          </w:p>
        </w:tc>
        <w:tc>
          <w:tcPr>
            <w:tcW w:w="1701" w:type="dxa"/>
          </w:tcPr>
          <w:p w:rsidR="002C7AD8" w:rsidRPr="000F6262" w:rsidRDefault="002C7AD8" w:rsidP="004A4A40">
            <w:pPr>
              <w:pStyle w:val="Tabletext"/>
              <w:jc w:val="center"/>
            </w:pPr>
            <w:r w:rsidRPr="00B5219D">
              <w:t>–1</w:t>
            </w:r>
          </w:p>
        </w:tc>
        <w:tc>
          <w:tcPr>
            <w:tcW w:w="2835" w:type="dxa"/>
          </w:tcPr>
          <w:p w:rsidR="002C7AD8" w:rsidRPr="000F6262" w:rsidRDefault="002C7AD8" w:rsidP="004A4A40">
            <w:pPr>
              <w:pStyle w:val="Tabletext"/>
              <w:jc w:val="center"/>
            </w:pPr>
            <w:r w:rsidRPr="00B5219D">
              <w:t>–3</w:t>
            </w:r>
          </w:p>
        </w:tc>
      </w:tr>
      <w:tr w:rsidR="002C7AD8" w:rsidRPr="000F6262" w:rsidTr="004A4A40">
        <w:trPr>
          <w:jc w:val="center"/>
        </w:trPr>
        <w:tc>
          <w:tcPr>
            <w:tcW w:w="4001" w:type="dxa"/>
          </w:tcPr>
          <w:p w:rsidR="002C7AD8" w:rsidRPr="000F6262" w:rsidRDefault="002C7AD8" w:rsidP="004A4A40">
            <w:pPr>
              <w:pStyle w:val="Tabletext"/>
            </w:pPr>
            <w:r w:rsidRPr="00B5219D">
              <w:t>Receiver feeder loss (dB)</w:t>
            </w:r>
          </w:p>
        </w:tc>
        <w:tc>
          <w:tcPr>
            <w:tcW w:w="1701" w:type="dxa"/>
          </w:tcPr>
          <w:p w:rsidR="002C7AD8" w:rsidRPr="000F6262" w:rsidRDefault="002C7AD8" w:rsidP="004A4A40">
            <w:pPr>
              <w:pStyle w:val="Tabletext"/>
              <w:jc w:val="center"/>
            </w:pPr>
            <w:r w:rsidRPr="00B5219D">
              <w:t>0</w:t>
            </w:r>
          </w:p>
        </w:tc>
        <w:tc>
          <w:tcPr>
            <w:tcW w:w="2835" w:type="dxa"/>
          </w:tcPr>
          <w:p w:rsidR="002C7AD8" w:rsidRPr="000F6262" w:rsidRDefault="002C7AD8" w:rsidP="004A4A40">
            <w:pPr>
              <w:pStyle w:val="Tabletext"/>
              <w:jc w:val="center"/>
            </w:pPr>
            <w:r w:rsidRPr="00B5219D">
              <w:t>0</w:t>
            </w:r>
          </w:p>
        </w:tc>
      </w:tr>
    </w:tbl>
    <w:p w:rsidR="002C7AD8" w:rsidRPr="00CF0302" w:rsidRDefault="002C7AD8" w:rsidP="002C7AD8">
      <w:pPr>
        <w:pStyle w:val="Headingb"/>
        <w:rPr>
          <w:lang w:val="en-US"/>
        </w:rPr>
      </w:pPr>
      <w:r w:rsidRPr="00CF0302">
        <w:rPr>
          <w:lang w:val="en-US"/>
        </w:rPr>
        <w:t>b)</w:t>
      </w:r>
      <w:r w:rsidRPr="00CF0302">
        <w:rPr>
          <w:lang w:val="en-US"/>
        </w:rPr>
        <w:tab/>
        <w:t>Calculation of the minimum wanted field strength limit</w:t>
      </w:r>
    </w:p>
    <w:p w:rsidR="002C7AD8" w:rsidRPr="002C7AD8" w:rsidRDefault="002C7AD8" w:rsidP="002C7AD8">
      <w:pPr>
        <w:rPr>
          <w:lang w:val="en-US"/>
        </w:rPr>
      </w:pPr>
      <w:r w:rsidRPr="002C7AD8">
        <w:rPr>
          <w:lang w:val="en-US"/>
        </w:rPr>
        <w:t xml:space="preserve">From the previous parameters, the calculation of the field strength is performed with the following formula: </w:t>
      </w:r>
    </w:p>
    <w:p w:rsidR="002C7AD8" w:rsidRPr="002C7AD8" w:rsidRDefault="002C7AD8" w:rsidP="002C7AD8">
      <w:pPr>
        <w:pStyle w:val="Equation"/>
        <w:rPr>
          <w:lang w:val="en-US"/>
        </w:rPr>
      </w:pPr>
      <w:r w:rsidRPr="002C7AD8">
        <w:rPr>
          <w:lang w:val="en-US"/>
        </w:rPr>
        <w:tab/>
      </w:r>
      <w:r w:rsidRPr="002C7AD8">
        <w:rPr>
          <w:lang w:val="en-US"/>
        </w:rPr>
        <w:tab/>
      </w:r>
      <w:r w:rsidRPr="005E6D20">
        <w:rPr>
          <w:i/>
          <w:iCs/>
          <w:lang w:val="en-US"/>
        </w:rPr>
        <w:t>E</w:t>
      </w:r>
      <w:r w:rsidRPr="002C7AD8">
        <w:rPr>
          <w:lang w:val="en-US"/>
        </w:rPr>
        <w:t xml:space="preserve"> (dB(</w:t>
      </w:r>
      <w:r w:rsidRPr="00B5219D">
        <w:t>μ</w:t>
      </w:r>
      <w:r w:rsidRPr="002C7AD8">
        <w:rPr>
          <w:lang w:val="en-US"/>
        </w:rPr>
        <w:t xml:space="preserve">V/m)) = </w:t>
      </w:r>
      <w:r w:rsidRPr="005E6D20">
        <w:rPr>
          <w:i/>
          <w:iCs/>
          <w:lang w:val="en-US"/>
        </w:rPr>
        <w:t>C</w:t>
      </w:r>
      <w:r w:rsidRPr="002C7AD8">
        <w:rPr>
          <w:lang w:val="en-US"/>
        </w:rPr>
        <w:t xml:space="preserve">(dBm) </w:t>
      </w:r>
      <w:r w:rsidR="00E01421" w:rsidRPr="00E01421">
        <w:rPr>
          <w:lang w:val="en-US"/>
        </w:rPr>
        <w:t>–</w:t>
      </w:r>
      <w:r w:rsidRPr="002C7AD8">
        <w:rPr>
          <w:lang w:val="en-US"/>
        </w:rPr>
        <w:t xml:space="preserve"> </w:t>
      </w:r>
      <w:r w:rsidRPr="005E6D20">
        <w:rPr>
          <w:i/>
          <w:iCs/>
          <w:lang w:val="en-US"/>
        </w:rPr>
        <w:t>G</w:t>
      </w:r>
      <w:r w:rsidRPr="005E6D20">
        <w:rPr>
          <w:i/>
          <w:iCs/>
          <w:vertAlign w:val="subscript"/>
          <w:lang w:val="en-US"/>
        </w:rPr>
        <w:t>r</w:t>
      </w:r>
      <w:r w:rsidRPr="002C7AD8">
        <w:rPr>
          <w:lang w:val="en-US"/>
        </w:rPr>
        <w:t>(dBi) + </w:t>
      </w:r>
      <w:r w:rsidRPr="005E6D20">
        <w:rPr>
          <w:i/>
          <w:iCs/>
          <w:lang w:val="en-US"/>
        </w:rPr>
        <w:t>FeederLoss</w:t>
      </w:r>
      <w:r w:rsidRPr="002C7AD8">
        <w:rPr>
          <w:lang w:val="en-US"/>
        </w:rPr>
        <w:t>(dB) + 20log10(</w:t>
      </w:r>
      <w:r w:rsidRPr="005E6D20">
        <w:rPr>
          <w:i/>
          <w:iCs/>
          <w:lang w:val="en-US"/>
        </w:rPr>
        <w:t>f</w:t>
      </w:r>
      <w:r w:rsidRPr="005E6D20">
        <w:rPr>
          <w:i/>
          <w:iCs/>
          <w:vertAlign w:val="subscript"/>
          <w:lang w:val="en-US"/>
        </w:rPr>
        <w:t>Tx</w:t>
      </w:r>
      <w:r w:rsidRPr="002C7AD8">
        <w:rPr>
          <w:lang w:val="en-US"/>
        </w:rPr>
        <w:t xml:space="preserve"> MHz) + 77.2</w:t>
      </w:r>
    </w:p>
    <w:p w:rsidR="002C7AD8" w:rsidRPr="002C7AD8" w:rsidRDefault="002C7AD8" w:rsidP="002C7AD8">
      <w:pPr>
        <w:rPr>
          <w:lang w:val="en-US"/>
        </w:rPr>
      </w:pPr>
      <w:r w:rsidRPr="002C7AD8">
        <w:rPr>
          <w:lang w:val="en-US"/>
        </w:rPr>
        <w:t xml:space="preserve">leads to the following result: </w:t>
      </w:r>
      <w:r w:rsidRPr="005E6D20">
        <w:rPr>
          <w:i/>
          <w:iCs/>
          <w:lang w:val="en-US"/>
        </w:rPr>
        <w:t>E</w:t>
      </w:r>
      <w:r w:rsidRPr="005E6D20">
        <w:rPr>
          <w:i/>
          <w:iCs/>
          <w:vertAlign w:val="subscript"/>
          <w:lang w:val="en-US"/>
        </w:rPr>
        <w:t>min</w:t>
      </w:r>
      <w:r w:rsidRPr="002C7AD8">
        <w:rPr>
          <w:lang w:val="en-US"/>
        </w:rPr>
        <w:t>(T-</w:t>
      </w:r>
      <w:r w:rsidRPr="005E6D20">
        <w:rPr>
          <w:i/>
          <w:iCs/>
          <w:lang w:val="en-US"/>
        </w:rPr>
        <w:t>DAB</w:t>
      </w:r>
      <w:r w:rsidRPr="002C7AD8">
        <w:rPr>
          <w:lang w:val="en-US"/>
        </w:rPr>
        <w:t>) = </w:t>
      </w:r>
      <w:r w:rsidRPr="005E6D20">
        <w:rPr>
          <w:bCs/>
          <w:lang w:val="en-US"/>
        </w:rPr>
        <w:t>46.3 dB(</w:t>
      </w:r>
      <w:r w:rsidRPr="005E6D20">
        <w:rPr>
          <w:bCs/>
        </w:rPr>
        <w:t>μ</w:t>
      </w:r>
      <w:r w:rsidRPr="005E6D20">
        <w:rPr>
          <w:bCs/>
          <w:lang w:val="en-US"/>
        </w:rPr>
        <w:t>V/m).</w:t>
      </w:r>
    </w:p>
    <w:p w:rsidR="002C7AD8" w:rsidRPr="002C7AD8" w:rsidRDefault="002C7AD8" w:rsidP="002C7AD8">
      <w:pPr>
        <w:rPr>
          <w:lang w:val="en-US"/>
        </w:rPr>
      </w:pPr>
      <w:r w:rsidRPr="002C7AD8">
        <w:rPr>
          <w:lang w:val="en-US"/>
        </w:rPr>
        <w:t>Since the protection criterion for the protection of the SDL receiver does not involve any wanted signal C, it is not derived.</w:t>
      </w:r>
    </w:p>
    <w:p w:rsidR="002C7AD8" w:rsidRPr="00CF0302" w:rsidRDefault="002C7AD8" w:rsidP="002C7AD8">
      <w:pPr>
        <w:pStyle w:val="Headingb"/>
        <w:rPr>
          <w:lang w:val="en-US"/>
        </w:rPr>
      </w:pPr>
      <w:r w:rsidRPr="00CF0302">
        <w:rPr>
          <w:lang w:val="en-US"/>
        </w:rPr>
        <w:t>c)</w:t>
      </w:r>
      <w:r w:rsidRPr="00CF0302">
        <w:rPr>
          <w:lang w:val="en-US"/>
        </w:rPr>
        <w:tab/>
        <w:t>Derivation of the maximum permissible interfering field strength limit into BS</w:t>
      </w:r>
    </w:p>
    <w:p w:rsidR="002C7AD8" w:rsidRPr="002C7AD8" w:rsidRDefault="002C7AD8" w:rsidP="002C7AD8">
      <w:pPr>
        <w:rPr>
          <w:lang w:val="en-US"/>
        </w:rPr>
      </w:pPr>
      <w:r w:rsidRPr="002C7AD8">
        <w:rPr>
          <w:lang w:val="en-US"/>
        </w:rPr>
        <w:t>When T</w:t>
      </w:r>
      <w:r w:rsidRPr="002C7AD8">
        <w:rPr>
          <w:vertAlign w:val="subscript"/>
          <w:lang w:val="en-US"/>
        </w:rPr>
        <w:t>x</w:t>
      </w:r>
      <w:r w:rsidRPr="002C7AD8">
        <w:rPr>
          <w:lang w:val="en-US"/>
        </w:rPr>
        <w:t xml:space="preserve"> (IMT) interferes with R</w:t>
      </w:r>
      <w:r w:rsidRPr="002C7AD8">
        <w:rPr>
          <w:vertAlign w:val="subscript"/>
          <w:lang w:val="en-US"/>
        </w:rPr>
        <w:t>x</w:t>
      </w:r>
      <w:r w:rsidRPr="002C7AD8">
        <w:rPr>
          <w:lang w:val="en-US"/>
        </w:rPr>
        <w:t xml:space="preserve"> (T-DAB/) within the 1 452-1 492 MHz frequency band, the wanted signal, </w:t>
      </w:r>
      <w:r w:rsidRPr="002C7AD8">
        <w:rPr>
          <w:i/>
          <w:iCs/>
          <w:lang w:val="en-US"/>
        </w:rPr>
        <w:t>E</w:t>
      </w:r>
      <w:r w:rsidRPr="002C7AD8">
        <w:rPr>
          <w:lang w:val="en-US"/>
        </w:rPr>
        <w:t xml:space="preserve">, at a reception point must equal or exceed the interfering field strength </w:t>
      </w:r>
      <w:r w:rsidRPr="002C7AD8">
        <w:rPr>
          <w:i/>
          <w:iCs/>
          <w:lang w:val="en-US"/>
        </w:rPr>
        <w:t>I</w:t>
      </w:r>
      <w:r w:rsidRPr="002C7AD8">
        <w:rPr>
          <w:lang w:val="en-US"/>
        </w:rPr>
        <w:t xml:space="preserve"> by the relevant protection ratio, PR:</w:t>
      </w:r>
    </w:p>
    <w:p w:rsidR="002C7AD8" w:rsidRPr="002C7AD8" w:rsidRDefault="002C7AD8" w:rsidP="002C7AD8">
      <w:pPr>
        <w:pStyle w:val="Equation"/>
        <w:rPr>
          <w:lang w:val="en-US"/>
        </w:rPr>
      </w:pPr>
      <w:r w:rsidRPr="002C7AD8">
        <w:rPr>
          <w:lang w:val="en-US"/>
        </w:rPr>
        <w:tab/>
      </w:r>
      <w:r w:rsidRPr="002C7AD8">
        <w:rPr>
          <w:lang w:val="en-US"/>
        </w:rPr>
        <w:tab/>
      </w:r>
      <w:r w:rsidRPr="005E6D20">
        <w:rPr>
          <w:i/>
          <w:iCs/>
          <w:lang w:val="en-US"/>
        </w:rPr>
        <w:t>E</w:t>
      </w:r>
      <w:r w:rsidRPr="002C7AD8">
        <w:rPr>
          <w:lang w:val="en-US"/>
        </w:rPr>
        <w:t xml:space="preserve"> ≥ </w:t>
      </w:r>
      <w:r w:rsidRPr="005E6D20">
        <w:rPr>
          <w:i/>
          <w:iCs/>
          <w:lang w:val="en-US"/>
        </w:rPr>
        <w:t>I</w:t>
      </w:r>
      <w:r w:rsidRPr="002C7AD8">
        <w:rPr>
          <w:lang w:val="en-US"/>
        </w:rPr>
        <w:t xml:space="preserve"> + </w:t>
      </w:r>
      <w:r w:rsidRPr="005E6D20">
        <w:rPr>
          <w:i/>
          <w:iCs/>
          <w:lang w:val="en-US"/>
        </w:rPr>
        <w:t>PR</w:t>
      </w:r>
    </w:p>
    <w:p w:rsidR="002C7AD8" w:rsidRPr="002C7AD8" w:rsidRDefault="002C7AD8" w:rsidP="005E6D20">
      <w:pPr>
        <w:overflowPunct/>
        <w:autoSpaceDE/>
        <w:autoSpaceDN/>
        <w:adjustRightInd/>
        <w:textAlignment w:val="auto"/>
        <w:rPr>
          <w:lang w:val="en-US"/>
        </w:rPr>
      </w:pPr>
      <w:r w:rsidRPr="002C7AD8">
        <w:rPr>
          <w:lang w:val="en-US"/>
        </w:rPr>
        <w:t>From these assumptions (b., c.), the maximum is then derived (see An</w:t>
      </w:r>
      <w:r w:rsidR="005E6D20">
        <w:rPr>
          <w:lang w:val="en-US"/>
        </w:rPr>
        <w:t>ne</w:t>
      </w:r>
      <w:r w:rsidRPr="002C7AD8">
        <w:rPr>
          <w:lang w:val="en-US"/>
        </w:rPr>
        <w:t>x</w:t>
      </w:r>
      <w:r w:rsidR="005E6D20">
        <w:rPr>
          <w:lang w:val="en-US"/>
        </w:rPr>
        <w:t> 1</w:t>
      </w:r>
      <w:r w:rsidR="007D485B">
        <w:rPr>
          <w:lang w:val="en-US"/>
        </w:rPr>
        <w:t xml:space="preserve"> for details on the formula):</w:t>
      </w:r>
    </w:p>
    <w:p w:rsidR="002C7AD8" w:rsidRPr="000C0F48" w:rsidRDefault="002C7AD8" w:rsidP="005E6D20">
      <w:pPr>
        <w:pStyle w:val="Equation"/>
        <w:rPr>
          <w:lang w:val="fr-CH"/>
        </w:rPr>
      </w:pPr>
      <w:r w:rsidRPr="002C7AD8">
        <w:rPr>
          <w:lang w:val="en-US"/>
        </w:rPr>
        <w:tab/>
      </w:r>
      <w:r w:rsidRPr="002C7AD8">
        <w:rPr>
          <w:lang w:val="en-US"/>
        </w:rPr>
        <w:tab/>
      </w:r>
      <w:r w:rsidRPr="000C0F48">
        <w:rPr>
          <w:i/>
          <w:iCs/>
          <w:lang w:val="fr-CH"/>
        </w:rPr>
        <w:t>I</w:t>
      </w:r>
      <w:r w:rsidRPr="000C0F48">
        <w:rPr>
          <w:i/>
          <w:iCs/>
          <w:vertAlign w:val="subscript"/>
          <w:lang w:val="fr-CH"/>
        </w:rPr>
        <w:t xml:space="preserve">med </w:t>
      </w:r>
      <w:r w:rsidRPr="000C0F48">
        <w:rPr>
          <w:vertAlign w:val="subscript"/>
          <w:lang w:val="fr-CH"/>
        </w:rPr>
        <w:t>max</w:t>
      </w:r>
      <w:r w:rsidRPr="000C0F48">
        <w:rPr>
          <w:lang w:val="fr-CH"/>
        </w:rPr>
        <w:t xml:space="preserve"> = </w:t>
      </w:r>
      <w:r w:rsidRPr="000C0F48">
        <w:rPr>
          <w:i/>
          <w:iCs/>
          <w:lang w:val="fr-CH"/>
        </w:rPr>
        <w:t>E</w:t>
      </w:r>
      <w:r w:rsidRPr="000C0F48">
        <w:rPr>
          <w:i/>
          <w:iCs/>
          <w:vertAlign w:val="subscript"/>
          <w:lang w:val="fr-CH"/>
        </w:rPr>
        <w:t>min</w:t>
      </w:r>
      <w:r w:rsidRPr="000C0F48">
        <w:rPr>
          <w:lang w:val="fr-CH"/>
        </w:rPr>
        <w:t xml:space="preserve"> + </w:t>
      </w:r>
      <w:r w:rsidR="00CC64A6" w:rsidRPr="000C0F48">
        <w:rPr>
          <w:lang w:val="fr-CH"/>
        </w:rPr>
        <w:t>µ</w:t>
      </w:r>
      <w:r w:rsidRPr="00B5219D">
        <w:fldChar w:fldCharType="begin"/>
      </w:r>
      <w:r w:rsidRPr="000C0F48">
        <w:rPr>
          <w:lang w:val="fr-CH"/>
        </w:rPr>
        <w:instrText xml:space="preserve"> QUOTE </w:instrText>
      </w:r>
      <w:r w:rsidRPr="00B5219D">
        <w:rPr>
          <w:noProof/>
          <w:lang w:val="en-US" w:eastAsia="zh-CN"/>
        </w:rPr>
        <w:drawing>
          <wp:inline distT="0" distB="0" distL="0" distR="0" wp14:anchorId="6A23DE41" wp14:editId="7D125DAB">
            <wp:extent cx="132715" cy="170180"/>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715" cy="170180"/>
                    </a:xfrm>
                    <a:prstGeom prst="rect">
                      <a:avLst/>
                    </a:prstGeom>
                    <a:noFill/>
                    <a:ln>
                      <a:noFill/>
                    </a:ln>
                  </pic:spPr>
                </pic:pic>
              </a:graphicData>
            </a:graphic>
          </wp:inline>
        </w:drawing>
      </w:r>
      <w:r w:rsidRPr="000C0F48">
        <w:rPr>
          <w:lang w:val="fr-CH"/>
        </w:rPr>
        <w:instrText xml:space="preserve"> </w:instrText>
      </w:r>
      <w:r w:rsidRPr="00B5219D">
        <w:fldChar w:fldCharType="separate"/>
      </w:r>
      <w:r w:rsidRPr="00B5219D">
        <w:fldChar w:fldCharType="end"/>
      </w:r>
      <w:r w:rsidRPr="000C0F48">
        <w:rPr>
          <w:lang w:val="fr-CH"/>
        </w:rPr>
        <w:t>(99%)</w:t>
      </w:r>
      <w:r w:rsidRPr="00B5219D">
        <w:t>σ</w:t>
      </w:r>
      <w:r w:rsidRPr="000C0F48">
        <w:rPr>
          <w:lang w:val="fr-CH"/>
        </w:rPr>
        <w:t xml:space="preserve">(1 – </w:t>
      </w:r>
      <w:r w:rsidRPr="00B5219D">
        <w:fldChar w:fldCharType="begin"/>
      </w:r>
      <w:r w:rsidRPr="000C0F48">
        <w:rPr>
          <w:lang w:val="fr-CH"/>
        </w:rPr>
        <w:instrText xml:space="preserve"> QUOTE </w:instrText>
      </w:r>
      <w:r w:rsidRPr="00B5219D">
        <w:rPr>
          <w:noProof/>
          <w:lang w:val="en-US" w:eastAsia="zh-CN"/>
        </w:rPr>
        <w:drawing>
          <wp:inline distT="0" distB="0" distL="0" distR="0" wp14:anchorId="2855C60F" wp14:editId="7D9BE711">
            <wp:extent cx="180975" cy="170180"/>
            <wp:effectExtent l="0" t="0" r="952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0C0F48">
        <w:rPr>
          <w:lang w:val="fr-CH"/>
        </w:rPr>
        <w:instrText xml:space="preserve"> </w:instrText>
      </w:r>
      <w:r w:rsidRPr="00B5219D">
        <w:fldChar w:fldCharType="separate"/>
      </w:r>
      <w:r w:rsidRPr="00B5219D">
        <w:rPr>
          <w:noProof/>
          <w:lang w:val="en-US" w:eastAsia="zh-CN"/>
        </w:rPr>
        <w:drawing>
          <wp:inline distT="0" distB="0" distL="0" distR="0" wp14:anchorId="60FC6B2A" wp14:editId="4EA80AFD">
            <wp:extent cx="180975" cy="170180"/>
            <wp:effectExtent l="0" t="0" r="952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B5219D">
        <w:fldChar w:fldCharType="end"/>
      </w:r>
      <w:r w:rsidRPr="000C0F48">
        <w:rPr>
          <w:lang w:val="fr-CH"/>
        </w:rPr>
        <w:t xml:space="preserve">) – </w:t>
      </w:r>
      <w:r w:rsidRPr="000C0F48">
        <w:rPr>
          <w:i/>
          <w:iCs/>
          <w:lang w:val="fr-CH"/>
        </w:rPr>
        <w:t>PR</w:t>
      </w:r>
    </w:p>
    <w:p w:rsidR="002C7AD8" w:rsidRPr="002C7AD8" w:rsidRDefault="007D485B" w:rsidP="002C7AD8">
      <w:pPr>
        <w:rPr>
          <w:lang w:val="en-US"/>
        </w:rPr>
      </w:pPr>
      <w:r>
        <w:rPr>
          <w:lang w:val="en-US"/>
        </w:rPr>
        <w:t>where:</w:t>
      </w:r>
    </w:p>
    <w:p w:rsidR="002C7AD8" w:rsidRPr="002C7AD8" w:rsidRDefault="002C7AD8" w:rsidP="002C7AD8">
      <w:pPr>
        <w:pStyle w:val="enumlev1"/>
        <w:rPr>
          <w:lang w:val="en-US"/>
        </w:rPr>
      </w:pPr>
      <w:r w:rsidRPr="002C7AD8">
        <w:rPr>
          <w:lang w:val="en-US"/>
        </w:rPr>
        <w:t>–</w:t>
      </w:r>
      <w:r w:rsidRPr="002C7AD8">
        <w:rPr>
          <w:lang w:val="en-US"/>
        </w:rPr>
        <w:tab/>
        <w:t>PR is the protection ratio for the wanted signal with respect to the interferer;</w:t>
      </w:r>
    </w:p>
    <w:p w:rsidR="002C7AD8" w:rsidRPr="002C7AD8" w:rsidRDefault="002C7AD8" w:rsidP="002C7AD8">
      <w:pPr>
        <w:pStyle w:val="enumlev1"/>
        <w:rPr>
          <w:lang w:val="en-US"/>
        </w:rPr>
      </w:pPr>
      <w:r w:rsidRPr="002C7AD8">
        <w:rPr>
          <w:lang w:val="en-US"/>
        </w:rPr>
        <w:t>–</w:t>
      </w:r>
      <w:r w:rsidRPr="002C7AD8">
        <w:rPr>
          <w:lang w:val="en-US"/>
        </w:rPr>
        <w:tab/>
      </w:r>
      <w:r w:rsidRPr="00B5219D">
        <w:t>μ</w:t>
      </w:r>
      <w:r w:rsidRPr="002C7AD8">
        <w:rPr>
          <w:lang w:val="en-US"/>
        </w:rPr>
        <w:t xml:space="preserve">(X%) depicts the statistical distribution factor (for X% of the locations); </w:t>
      </w:r>
      <w:r w:rsidRPr="00B5219D">
        <w:t>μ</w:t>
      </w:r>
      <w:r w:rsidRPr="002C7AD8">
        <w:rPr>
          <w:lang w:val="en-US"/>
        </w:rPr>
        <w:t>(99%) = 2.33;</w:t>
      </w:r>
    </w:p>
    <w:p w:rsidR="002C7AD8" w:rsidRPr="002C7AD8" w:rsidRDefault="002C7AD8" w:rsidP="002C7AD8">
      <w:pPr>
        <w:pStyle w:val="enumlev1"/>
        <w:rPr>
          <w:lang w:val="en-US"/>
        </w:rPr>
      </w:pPr>
      <w:r w:rsidRPr="002C7AD8">
        <w:rPr>
          <w:lang w:val="en-US"/>
        </w:rPr>
        <w:t>–</w:t>
      </w:r>
      <w:r w:rsidRPr="002C7AD8">
        <w:rPr>
          <w:lang w:val="en-US"/>
        </w:rPr>
        <w:tab/>
      </w:r>
      <w:r w:rsidRPr="00B5219D">
        <w:t>σ</w:t>
      </w:r>
      <w:r w:rsidRPr="002C7AD8">
        <w:rPr>
          <w:lang w:val="en-US"/>
        </w:rPr>
        <w:t> = 5.5 dB represents the standard deviation corresponding to the location variation of the wanted field strength.</w:t>
      </w:r>
    </w:p>
    <w:p w:rsidR="002C7AD8" w:rsidRPr="002C7AD8" w:rsidRDefault="002C7AD8" w:rsidP="002C7AD8">
      <w:pPr>
        <w:rPr>
          <w:lang w:val="en-US"/>
        </w:rPr>
      </w:pPr>
      <w:r w:rsidRPr="002C7AD8">
        <w:rPr>
          <w:lang w:val="en-US"/>
        </w:rPr>
        <w:t xml:space="preserve">Assuming </w:t>
      </w:r>
      <w:r w:rsidRPr="005E6D20">
        <w:rPr>
          <w:i/>
          <w:iCs/>
          <w:lang w:val="en-US"/>
        </w:rPr>
        <w:t>E</w:t>
      </w:r>
      <w:r w:rsidRPr="005E6D20">
        <w:rPr>
          <w:i/>
          <w:iCs/>
          <w:vertAlign w:val="subscript"/>
          <w:lang w:val="en-US"/>
        </w:rPr>
        <w:t>min</w:t>
      </w:r>
      <w:r w:rsidRPr="002C7AD8">
        <w:rPr>
          <w:lang w:val="en-US"/>
        </w:rPr>
        <w:t> = 46.3 dB(</w:t>
      </w:r>
      <w:r w:rsidRPr="00B5219D">
        <w:t>μ</w:t>
      </w:r>
      <w:r w:rsidRPr="002C7AD8">
        <w:rPr>
          <w:lang w:val="en-US"/>
        </w:rPr>
        <w:t xml:space="preserve">V/m), </w:t>
      </w:r>
      <w:r w:rsidRPr="005E6D20">
        <w:rPr>
          <w:i/>
          <w:iCs/>
          <w:lang w:val="en-US"/>
        </w:rPr>
        <w:t>PR</w:t>
      </w:r>
      <w:r w:rsidRPr="002C7AD8">
        <w:rPr>
          <w:lang w:val="en-US"/>
        </w:rPr>
        <w:t> = </w:t>
      </w:r>
      <w:r w:rsidRPr="005E6D20">
        <w:rPr>
          <w:i/>
          <w:iCs/>
          <w:lang w:val="en-US"/>
        </w:rPr>
        <w:t>C</w:t>
      </w:r>
      <w:r w:rsidRPr="002C7AD8">
        <w:rPr>
          <w:lang w:val="en-US"/>
        </w:rPr>
        <w:t>/</w:t>
      </w:r>
      <w:r w:rsidRPr="005E6D20">
        <w:rPr>
          <w:i/>
          <w:iCs/>
          <w:lang w:val="en-US"/>
        </w:rPr>
        <w:t>I</w:t>
      </w:r>
      <w:r w:rsidRPr="002C7AD8">
        <w:rPr>
          <w:lang w:val="en-US"/>
        </w:rPr>
        <w:t> =10 dB, this formula is applied and gives:</w:t>
      </w:r>
    </w:p>
    <w:p w:rsidR="002C7AD8" w:rsidRPr="002C7AD8" w:rsidRDefault="002C7AD8" w:rsidP="002C7AD8">
      <w:pPr>
        <w:pStyle w:val="Equation"/>
        <w:spacing w:before="240"/>
        <w:rPr>
          <w:rFonts w:ascii="Arial" w:hAnsi="Arial" w:cs="Arial"/>
          <w:lang w:val="en-US"/>
        </w:rPr>
      </w:pPr>
      <w:r w:rsidRPr="002C7AD8">
        <w:rPr>
          <w:lang w:val="en-US"/>
        </w:rPr>
        <w:tab/>
      </w:r>
      <w:r w:rsidRPr="002C7AD8">
        <w:rPr>
          <w:lang w:val="en-US"/>
        </w:rPr>
        <w:tab/>
      </w:r>
      <w:r w:rsidRPr="005E6D20">
        <w:rPr>
          <w:i/>
          <w:iCs/>
          <w:lang w:val="en-US"/>
        </w:rPr>
        <w:t>I</w:t>
      </w:r>
      <w:r w:rsidRPr="005E6D20">
        <w:rPr>
          <w:i/>
          <w:iCs/>
          <w:vertAlign w:val="subscript"/>
          <w:lang w:val="en-US"/>
        </w:rPr>
        <w:t xml:space="preserve">med </w:t>
      </w:r>
      <w:r w:rsidRPr="0091311D">
        <w:rPr>
          <w:vertAlign w:val="subscript"/>
          <w:lang w:val="en-US"/>
        </w:rPr>
        <w:t>max</w:t>
      </w:r>
      <w:r w:rsidRPr="002C7AD8">
        <w:rPr>
          <w:rFonts w:ascii="Arial" w:hAnsi="Arial" w:cs="Arial"/>
          <w:lang w:val="en-US"/>
        </w:rPr>
        <w:t xml:space="preserve"> </w:t>
      </w:r>
      <w:r w:rsidRPr="002C7AD8">
        <w:rPr>
          <w:lang w:val="en-US"/>
        </w:rPr>
        <w:t>= 31 dB(</w:t>
      </w:r>
      <w:r w:rsidRPr="00B5219D">
        <w:t>μ</w:t>
      </w:r>
      <w:r w:rsidR="0091311D">
        <w:rPr>
          <w:lang w:val="en-US"/>
        </w:rPr>
        <w:t>V/m) for h = 1.5 m</w:t>
      </w:r>
    </w:p>
    <w:p w:rsidR="002C7AD8" w:rsidRPr="002C7AD8" w:rsidRDefault="002C7AD8" w:rsidP="002C7AD8">
      <w:pPr>
        <w:pStyle w:val="Equation"/>
        <w:tabs>
          <w:tab w:val="clear" w:pos="4820"/>
          <w:tab w:val="left" w:pos="2977"/>
        </w:tabs>
        <w:spacing w:before="240"/>
        <w:rPr>
          <w:szCs w:val="24"/>
          <w:lang w:val="en-US"/>
        </w:rPr>
      </w:pPr>
      <w:r w:rsidRPr="002C7AD8">
        <w:rPr>
          <w:rFonts w:ascii="Arial" w:hAnsi="Arial" w:cs="Arial"/>
          <w:szCs w:val="24"/>
          <w:lang w:val="en-US"/>
        </w:rPr>
        <w:lastRenderedPageBreak/>
        <w:tab/>
      </w:r>
      <w:r w:rsidRPr="002C7AD8">
        <w:rPr>
          <w:rFonts w:ascii="Arial" w:hAnsi="Arial" w:cs="Arial"/>
          <w:szCs w:val="24"/>
          <w:lang w:val="en-US"/>
        </w:rPr>
        <w:tab/>
      </w:r>
      <w:r w:rsidRPr="002C7AD8">
        <w:rPr>
          <w:szCs w:val="24"/>
          <w:lang w:val="en-US"/>
        </w:rPr>
        <w:t>= 41 dB(</w:t>
      </w:r>
      <w:r w:rsidRPr="00015993">
        <w:rPr>
          <w:szCs w:val="24"/>
        </w:rPr>
        <w:t>μ</w:t>
      </w:r>
      <w:r w:rsidRPr="002C7AD8">
        <w:rPr>
          <w:szCs w:val="24"/>
          <w:lang w:val="en-US"/>
        </w:rPr>
        <w:t>V/m) for h = 10 m, (see footnote</w:t>
      </w:r>
      <w:r w:rsidRPr="0037078E">
        <w:rPr>
          <w:rStyle w:val="FootnoteReference"/>
          <w:szCs w:val="18"/>
        </w:rPr>
        <w:footnoteReference w:id="2"/>
      </w:r>
      <w:r w:rsidRPr="002C7AD8">
        <w:rPr>
          <w:szCs w:val="24"/>
          <w:lang w:val="en-US"/>
        </w:rPr>
        <w:t>)</w:t>
      </w:r>
    </w:p>
    <w:p w:rsidR="002C7AD8" w:rsidRPr="002C7AD8" w:rsidRDefault="002C7AD8" w:rsidP="002C7AD8">
      <w:pPr>
        <w:rPr>
          <w:lang w:val="en-US"/>
        </w:rPr>
      </w:pPr>
      <w:r w:rsidRPr="002C7AD8">
        <w:rPr>
          <w:lang w:val="en-US"/>
        </w:rPr>
        <w:t>This is the coordination threshold included in the Maastricht special Arrangement MA02revCO07.</w:t>
      </w:r>
    </w:p>
    <w:p w:rsidR="002C7AD8" w:rsidRPr="00CF0302" w:rsidRDefault="002C7AD8" w:rsidP="002C7AD8">
      <w:pPr>
        <w:pStyle w:val="Headingb"/>
        <w:rPr>
          <w:lang w:val="en-US"/>
        </w:rPr>
      </w:pPr>
      <w:r w:rsidRPr="00CF0302">
        <w:rPr>
          <w:lang w:val="en-US"/>
        </w:rPr>
        <w:t>d)</w:t>
      </w:r>
      <w:r w:rsidRPr="00CF0302">
        <w:rPr>
          <w:lang w:val="en-US"/>
        </w:rPr>
        <w:tab/>
        <w:t>Derivation of the maximum permissible interfering field strength limit into IMT</w:t>
      </w:r>
    </w:p>
    <w:p w:rsidR="002C7AD8" w:rsidRPr="002C7AD8" w:rsidRDefault="002C7AD8" w:rsidP="002C7AD8">
      <w:pPr>
        <w:rPr>
          <w:lang w:val="en-US"/>
        </w:rPr>
      </w:pPr>
      <w:r w:rsidRPr="002C7AD8">
        <w:rPr>
          <w:lang w:val="en-US"/>
        </w:rPr>
        <w:t xml:space="preserve">When T-DAB interferes with IMT user equipment (UE) within the 1 452-1 492 MHz frequency band, the unwanted signal, </w:t>
      </w:r>
      <w:r w:rsidRPr="002C7AD8">
        <w:rPr>
          <w:i/>
          <w:lang w:val="en-US"/>
        </w:rPr>
        <w:t>I</w:t>
      </w:r>
      <w:r w:rsidRPr="002C7AD8">
        <w:rPr>
          <w:lang w:val="en-US"/>
        </w:rPr>
        <w:t>, at a reception point must be equal or lower than the UE Rx noise power level subtracted by the rel</w:t>
      </w:r>
      <w:r w:rsidR="005E6D20">
        <w:rPr>
          <w:lang w:val="en-US"/>
        </w:rPr>
        <w:t xml:space="preserve">evant protection criteria, </w:t>
      </w:r>
      <w:r w:rsidR="005E6D20" w:rsidRPr="0091311D">
        <w:rPr>
          <w:i/>
          <w:iCs/>
          <w:lang w:val="en-US"/>
        </w:rPr>
        <w:t>I</w:t>
      </w:r>
      <w:r w:rsidR="005E6D20">
        <w:rPr>
          <w:lang w:val="en-US"/>
        </w:rPr>
        <w:t>/</w:t>
      </w:r>
      <w:r w:rsidR="005E6D20" w:rsidRPr="0091311D">
        <w:rPr>
          <w:i/>
          <w:iCs/>
          <w:lang w:val="en-US"/>
        </w:rPr>
        <w:t>N</w:t>
      </w:r>
      <w:r w:rsidR="005E6D20">
        <w:rPr>
          <w:lang w:val="en-US"/>
        </w:rPr>
        <w:t>:</w:t>
      </w:r>
    </w:p>
    <w:p w:rsidR="002C7AD8" w:rsidRPr="002C7AD8" w:rsidRDefault="002C7AD8" w:rsidP="005E6D20">
      <w:pPr>
        <w:pStyle w:val="Equation"/>
        <w:spacing w:before="240" w:after="120"/>
        <w:rPr>
          <w:lang w:val="en-US"/>
        </w:rPr>
      </w:pPr>
      <w:r w:rsidRPr="002C7AD8">
        <w:rPr>
          <w:lang w:val="en-US"/>
        </w:rPr>
        <w:tab/>
      </w:r>
      <w:r w:rsidRPr="002C7AD8">
        <w:rPr>
          <w:lang w:val="en-US"/>
        </w:rPr>
        <w:tab/>
      </w:r>
      <w:r w:rsidRPr="005E6D20">
        <w:rPr>
          <w:i/>
          <w:iCs/>
          <w:lang w:val="en-US"/>
        </w:rPr>
        <w:t>N</w:t>
      </w:r>
      <w:r w:rsidRPr="002C7AD8">
        <w:rPr>
          <w:lang w:val="en-US"/>
        </w:rPr>
        <w:t xml:space="preserve"> ≥ </w:t>
      </w:r>
      <w:r w:rsidRPr="005E6D20">
        <w:rPr>
          <w:i/>
          <w:iCs/>
          <w:lang w:val="en-US"/>
        </w:rPr>
        <w:t>I</w:t>
      </w:r>
      <w:r w:rsidRPr="002C7AD8">
        <w:rPr>
          <w:lang w:val="en-US"/>
        </w:rPr>
        <w:t xml:space="preserve"> – </w:t>
      </w:r>
      <w:r w:rsidRPr="005E6D20">
        <w:rPr>
          <w:i/>
          <w:iCs/>
          <w:lang w:val="en-US"/>
        </w:rPr>
        <w:t>I/N</w:t>
      </w:r>
    </w:p>
    <w:p w:rsidR="002C7AD8" w:rsidRPr="002C7AD8" w:rsidRDefault="002C7AD8" w:rsidP="002C7AD8">
      <w:pPr>
        <w:rPr>
          <w:lang w:val="en-US"/>
        </w:rPr>
      </w:pPr>
      <w:r w:rsidRPr="002C7AD8">
        <w:rPr>
          <w:lang w:val="en-US"/>
        </w:rPr>
        <w:t>From these assumptions (b., c.), the maximum is then derived (see Annex 1 for details on the formula):</w:t>
      </w:r>
    </w:p>
    <w:p w:rsidR="002C7AD8" w:rsidRPr="002C7AD8" w:rsidRDefault="002C7AD8" w:rsidP="00D42383">
      <w:pPr>
        <w:pStyle w:val="Equation"/>
        <w:spacing w:before="240"/>
        <w:rPr>
          <w:lang w:val="en-US"/>
        </w:rPr>
      </w:pPr>
      <w:r w:rsidRPr="002C7AD8">
        <w:rPr>
          <w:lang w:val="en-US"/>
        </w:rPr>
        <w:tab/>
      </w:r>
      <w:r w:rsidRPr="002C7AD8">
        <w:rPr>
          <w:lang w:val="en-US"/>
        </w:rPr>
        <w:tab/>
      </w:r>
      <w:r w:rsidRPr="005E6D20">
        <w:rPr>
          <w:i/>
          <w:iCs/>
          <w:lang w:val="en-US"/>
        </w:rPr>
        <w:t>I</w:t>
      </w:r>
      <w:r w:rsidRPr="005E6D20">
        <w:rPr>
          <w:i/>
          <w:iCs/>
          <w:vertAlign w:val="subscript"/>
          <w:lang w:val="en-US"/>
        </w:rPr>
        <w:t xml:space="preserve">med </w:t>
      </w:r>
      <w:r w:rsidRPr="00290C26">
        <w:rPr>
          <w:vertAlign w:val="subscript"/>
          <w:lang w:val="en-US"/>
        </w:rPr>
        <w:t>max</w:t>
      </w:r>
      <w:r w:rsidRPr="002C7AD8">
        <w:rPr>
          <w:lang w:val="en-US"/>
        </w:rPr>
        <w:t xml:space="preserve"> = </w:t>
      </w:r>
      <w:r w:rsidRPr="005E6D20">
        <w:rPr>
          <w:i/>
          <w:iCs/>
          <w:lang w:val="en-US"/>
        </w:rPr>
        <w:t>I</w:t>
      </w:r>
      <w:r w:rsidRPr="002C7AD8">
        <w:rPr>
          <w:lang w:val="en-US"/>
        </w:rPr>
        <w:t>/</w:t>
      </w:r>
      <w:r w:rsidRPr="005E6D20">
        <w:rPr>
          <w:i/>
          <w:iCs/>
          <w:lang w:val="en-US"/>
        </w:rPr>
        <w:t>N</w:t>
      </w:r>
      <w:r w:rsidRPr="002C7AD8">
        <w:rPr>
          <w:lang w:val="en-US"/>
        </w:rPr>
        <w:t xml:space="preserve"> +</w:t>
      </w:r>
      <w:r w:rsidRPr="005E6D20">
        <w:rPr>
          <w:i/>
          <w:iCs/>
          <w:lang w:val="en-US"/>
        </w:rPr>
        <w:t>N</w:t>
      </w:r>
      <w:r w:rsidR="000C0F48">
        <w:rPr>
          <w:lang w:val="en-US"/>
        </w:rPr>
        <w:t xml:space="preserve"> </w:t>
      </w:r>
      <w:r w:rsidR="000C0F48" w:rsidRPr="000C0F48">
        <w:rPr>
          <w:lang w:val="en-US"/>
        </w:rPr>
        <w:t>–</w:t>
      </w:r>
      <w:r w:rsidRPr="002C7AD8">
        <w:rPr>
          <w:lang w:val="en-US"/>
        </w:rPr>
        <w:t xml:space="preserve"> </w:t>
      </w:r>
      <w:r w:rsidR="00D42383" w:rsidRPr="00D11647">
        <w:rPr>
          <w:lang w:val="en-US"/>
        </w:rPr>
        <w:t>µ</w:t>
      </w:r>
      <w:r w:rsidRPr="002C7AD8">
        <w:rPr>
          <w:lang w:val="en-US"/>
        </w:rPr>
        <w:t>(99%)</w:t>
      </w:r>
      <w:r w:rsidRPr="00B5219D">
        <w:t>σ</w:t>
      </w:r>
    </w:p>
    <w:p w:rsidR="002C7AD8" w:rsidRPr="002C7AD8" w:rsidRDefault="002C7AD8" w:rsidP="002C7AD8">
      <w:pPr>
        <w:tabs>
          <w:tab w:val="left" w:pos="2977"/>
        </w:tabs>
        <w:spacing w:before="240"/>
        <w:rPr>
          <w:rFonts w:asciiTheme="majorBidi" w:hAnsiTheme="majorBidi" w:cstheme="majorBidi"/>
          <w:lang w:val="en-US"/>
        </w:rPr>
      </w:pPr>
      <w:r w:rsidRPr="002C7AD8">
        <w:rPr>
          <w:rFonts w:cs="Arial"/>
          <w:szCs w:val="22"/>
          <w:lang w:val="en-US"/>
        </w:rPr>
        <w:t xml:space="preserve">Assuming </w:t>
      </w:r>
      <w:r w:rsidRPr="005E6D20">
        <w:rPr>
          <w:rFonts w:cs="Arial"/>
          <w:bCs/>
          <w:i/>
          <w:iCs/>
          <w:szCs w:val="22"/>
          <w:lang w:val="en-US"/>
        </w:rPr>
        <w:t>I/N</w:t>
      </w:r>
      <w:r w:rsidRPr="005E6D20">
        <w:rPr>
          <w:rFonts w:cs="Arial"/>
          <w:bCs/>
          <w:szCs w:val="22"/>
          <w:lang w:val="en-US"/>
        </w:rPr>
        <w:t> = –6dB</w:t>
      </w:r>
      <w:r w:rsidRPr="002C7AD8">
        <w:rPr>
          <w:rFonts w:cs="Arial"/>
          <w:szCs w:val="22"/>
          <w:lang w:val="en-US"/>
        </w:rPr>
        <w:t>,</w:t>
      </w:r>
      <w:r w:rsidRPr="002C7AD8">
        <w:rPr>
          <w:rFonts w:asciiTheme="majorBidi" w:hAnsiTheme="majorBidi" w:cstheme="majorBidi"/>
          <w:lang w:val="en-US"/>
        </w:rPr>
        <w:t xml:space="preserve"> </w:t>
      </w:r>
      <w:r w:rsidRPr="005E6D20">
        <w:rPr>
          <w:rFonts w:asciiTheme="majorBidi" w:hAnsiTheme="majorBidi" w:cstheme="majorBidi"/>
          <w:i/>
          <w:iCs/>
          <w:lang w:val="en-US"/>
        </w:rPr>
        <w:t>I</w:t>
      </w:r>
      <w:r w:rsidRPr="005E6D20">
        <w:rPr>
          <w:rFonts w:asciiTheme="majorBidi" w:hAnsiTheme="majorBidi" w:cstheme="majorBidi"/>
          <w:i/>
          <w:iCs/>
          <w:vertAlign w:val="subscript"/>
          <w:lang w:val="en-US"/>
        </w:rPr>
        <w:t xml:space="preserve">med </w:t>
      </w:r>
      <w:r w:rsidRPr="00290C26">
        <w:rPr>
          <w:rFonts w:asciiTheme="majorBidi" w:hAnsiTheme="majorBidi" w:cstheme="majorBidi"/>
          <w:vertAlign w:val="subscript"/>
          <w:lang w:val="en-US"/>
        </w:rPr>
        <w:t>max</w:t>
      </w:r>
      <w:r w:rsidRPr="002C7AD8">
        <w:rPr>
          <w:rFonts w:asciiTheme="majorBidi" w:hAnsiTheme="majorBidi" w:cstheme="majorBidi"/>
          <w:lang w:val="en-US"/>
        </w:rPr>
        <w:t xml:space="preserve"> = 26.7 dB(</w:t>
      </w:r>
      <w:r w:rsidRPr="00B5219D">
        <w:rPr>
          <w:rFonts w:asciiTheme="majorBidi" w:hAnsiTheme="majorBidi" w:cstheme="majorBidi"/>
        </w:rPr>
        <w:t>μ</w:t>
      </w:r>
      <w:r w:rsidRPr="002C7AD8">
        <w:rPr>
          <w:rFonts w:asciiTheme="majorBidi" w:hAnsiTheme="majorBidi" w:cstheme="majorBidi"/>
          <w:lang w:val="en-US"/>
        </w:rPr>
        <w:t>V/m) for h = 1.5 m (antenna receiving height)</w:t>
      </w:r>
      <w:r w:rsidRPr="002C7AD8">
        <w:rPr>
          <w:rFonts w:asciiTheme="majorBidi" w:hAnsiTheme="majorBidi" w:cstheme="majorBidi"/>
          <w:lang w:val="en-US"/>
        </w:rPr>
        <w:br/>
      </w:r>
      <w:r w:rsidRPr="002C7AD8">
        <w:rPr>
          <w:lang w:val="en-US"/>
        </w:rPr>
        <w:tab/>
      </w:r>
      <w:r w:rsidRPr="002C7AD8">
        <w:rPr>
          <w:lang w:val="en-US"/>
        </w:rPr>
        <w:tab/>
      </w:r>
      <w:r w:rsidRPr="002C7AD8">
        <w:rPr>
          <w:lang w:val="en-US"/>
        </w:rPr>
        <w:tab/>
      </w:r>
      <w:r w:rsidRPr="002C7AD8">
        <w:rPr>
          <w:lang w:val="en-US"/>
        </w:rPr>
        <w:tab/>
        <w:t>= 36.7 dB(</w:t>
      </w:r>
      <w:r w:rsidRPr="00B5219D">
        <w:t>μ</w:t>
      </w:r>
      <w:r w:rsidRPr="002C7AD8">
        <w:rPr>
          <w:lang w:val="en-US"/>
        </w:rPr>
        <w:t>V/m) for h = 10 m (see footnote</w:t>
      </w:r>
      <w:r w:rsidRPr="002C7AD8">
        <w:rPr>
          <w:rStyle w:val="FootnoteReference"/>
          <w:rFonts w:asciiTheme="majorBidi" w:hAnsiTheme="majorBidi" w:cstheme="majorBidi"/>
          <w:lang w:val="en-US"/>
        </w:rPr>
        <w:footnoteReference w:customMarkFollows="1" w:id="3"/>
        <w:t>2</w:t>
      </w:r>
      <w:r w:rsidRPr="002C7AD8">
        <w:rPr>
          <w:lang w:val="en-US"/>
        </w:rPr>
        <w:t>)</w:t>
      </w:r>
      <w:r w:rsidRPr="002C7AD8">
        <w:rPr>
          <w:rFonts w:ascii="Arial" w:hAnsi="Arial" w:cs="Arial"/>
          <w:lang w:val="en-US"/>
        </w:rPr>
        <w:t>.</w:t>
      </w:r>
    </w:p>
    <w:p w:rsidR="002C7AD8" w:rsidRPr="002C7AD8" w:rsidRDefault="002C7AD8" w:rsidP="002C7AD8">
      <w:pPr>
        <w:tabs>
          <w:tab w:val="left" w:pos="2977"/>
        </w:tabs>
        <w:spacing w:before="240"/>
        <w:rPr>
          <w:rFonts w:cs="Arial"/>
          <w:szCs w:val="22"/>
          <w:lang w:val="en-US"/>
        </w:rPr>
      </w:pPr>
      <w:r w:rsidRPr="002C7AD8">
        <w:rPr>
          <w:rFonts w:cs="Arial"/>
          <w:szCs w:val="22"/>
          <w:lang w:val="en-US"/>
        </w:rPr>
        <w:t xml:space="preserve">Assuming </w:t>
      </w:r>
      <w:r w:rsidRPr="005E6D20">
        <w:rPr>
          <w:rFonts w:cs="Arial"/>
          <w:bCs/>
          <w:i/>
          <w:iCs/>
          <w:szCs w:val="22"/>
          <w:lang w:val="en-US"/>
        </w:rPr>
        <w:t>I/N</w:t>
      </w:r>
      <w:r w:rsidRPr="005E6D20">
        <w:rPr>
          <w:rFonts w:cs="Arial"/>
          <w:bCs/>
          <w:szCs w:val="22"/>
          <w:lang w:val="en-US"/>
        </w:rPr>
        <w:t> = 0 dB</w:t>
      </w:r>
      <w:r w:rsidRPr="002C7AD8">
        <w:rPr>
          <w:rFonts w:cs="Arial"/>
          <w:szCs w:val="22"/>
          <w:lang w:val="en-US"/>
        </w:rPr>
        <w:t xml:space="preserve">, </w:t>
      </w:r>
      <w:r w:rsidRPr="005E6D20">
        <w:rPr>
          <w:i/>
          <w:iCs/>
          <w:lang w:val="en-US"/>
        </w:rPr>
        <w:t>I</w:t>
      </w:r>
      <w:r w:rsidRPr="005E6D20">
        <w:rPr>
          <w:i/>
          <w:iCs/>
          <w:vertAlign w:val="subscript"/>
          <w:lang w:val="en-US"/>
        </w:rPr>
        <w:t xml:space="preserve">med </w:t>
      </w:r>
      <w:r w:rsidRPr="00290C26">
        <w:rPr>
          <w:vertAlign w:val="subscript"/>
          <w:lang w:val="en-US"/>
        </w:rPr>
        <w:t>max</w:t>
      </w:r>
      <w:r w:rsidRPr="002C7AD8">
        <w:rPr>
          <w:lang w:val="en-US"/>
        </w:rPr>
        <w:t xml:space="preserve"> = 32.7 dB(µV/m) for h = 1.5 m (antenna receiving height)</w:t>
      </w:r>
      <w:r w:rsidRPr="002C7AD8">
        <w:rPr>
          <w:lang w:val="en-US"/>
        </w:rPr>
        <w:br/>
      </w:r>
      <w:r w:rsidRPr="002C7AD8">
        <w:rPr>
          <w:lang w:val="en-US"/>
        </w:rPr>
        <w:tab/>
      </w:r>
      <w:r w:rsidRPr="002C7AD8">
        <w:rPr>
          <w:lang w:val="en-US"/>
        </w:rPr>
        <w:tab/>
      </w:r>
      <w:r w:rsidRPr="002C7AD8">
        <w:rPr>
          <w:lang w:val="en-US"/>
        </w:rPr>
        <w:tab/>
        <w:t>= 42.7 dB(µV/m) for h = 10 m (see footnote</w:t>
      </w:r>
      <w:r w:rsidRPr="002C7AD8">
        <w:rPr>
          <w:rStyle w:val="FootnoteReference"/>
          <w:rFonts w:asciiTheme="majorBidi" w:hAnsiTheme="majorBidi" w:cstheme="majorBidi"/>
          <w:lang w:val="en-US"/>
        </w:rPr>
        <w:footnoteReference w:customMarkFollows="1" w:id="4"/>
        <w:t>3</w:t>
      </w:r>
      <w:r w:rsidRPr="002C7AD8">
        <w:rPr>
          <w:lang w:val="en-US"/>
        </w:rPr>
        <w:t>).</w:t>
      </w:r>
    </w:p>
    <w:p w:rsidR="002C7AD8" w:rsidRPr="002C7AD8" w:rsidRDefault="002C7AD8" w:rsidP="002C7AD8">
      <w:pPr>
        <w:spacing w:before="240"/>
        <w:rPr>
          <w:lang w:val="en-US"/>
        </w:rPr>
      </w:pPr>
      <w:r w:rsidRPr="002C7AD8">
        <w:rPr>
          <w:lang w:val="en-US"/>
        </w:rPr>
        <w:t>It can be observed that the coordination threshold within 1 452-1 492 MHz in Maastricht Special Arrangement for T</w:t>
      </w:r>
      <w:r w:rsidRPr="002C7AD8">
        <w:rPr>
          <w:lang w:val="en-US"/>
        </w:rPr>
        <w:noBreakHyphen/>
        <w:t>DAB stations (41 dB(µV/m)</w:t>
      </w:r>
      <w:r w:rsidRPr="002C7AD8">
        <w:rPr>
          <w:rFonts w:asciiTheme="majorBidi" w:hAnsiTheme="majorBidi" w:cstheme="majorBidi"/>
          <w:lang w:val="en-US"/>
        </w:rPr>
        <w:t xml:space="preserve"> for h = 10 m) </w:t>
      </w:r>
      <w:r w:rsidRPr="002C7AD8">
        <w:rPr>
          <w:lang w:val="en-US"/>
        </w:rPr>
        <w:t xml:space="preserve">is close to the value which was derived for the protection of IMT UEs with the following parameters </w:t>
      </w:r>
      <w:r w:rsidRPr="00D318B3">
        <w:rPr>
          <w:bCs/>
          <w:i/>
          <w:iCs/>
          <w:lang w:val="en-US"/>
        </w:rPr>
        <w:t>I/N</w:t>
      </w:r>
      <w:r w:rsidRPr="00D318B3">
        <w:rPr>
          <w:bCs/>
          <w:lang w:val="en-US"/>
        </w:rPr>
        <w:t> = 0 dB</w:t>
      </w:r>
      <w:r w:rsidRPr="002C7AD8">
        <w:rPr>
          <w:lang w:val="en-US"/>
        </w:rPr>
        <w:t xml:space="preserve"> and </w:t>
      </w:r>
      <w:r w:rsidRPr="00D318B3">
        <w:rPr>
          <w:bCs/>
          <w:lang w:val="en-US"/>
        </w:rPr>
        <w:t>location probability</w:t>
      </w:r>
      <w:r w:rsidRPr="002C7AD8">
        <w:rPr>
          <w:b/>
          <w:lang w:val="en-US"/>
        </w:rPr>
        <w:t xml:space="preserve"> </w:t>
      </w:r>
      <w:r w:rsidRPr="00290C26">
        <w:rPr>
          <w:bCs/>
          <w:lang w:val="en-US"/>
        </w:rPr>
        <w:t>99%.</w:t>
      </w:r>
      <w:r w:rsidRPr="002C7AD8">
        <w:rPr>
          <w:lang w:val="en-US"/>
        </w:rPr>
        <w:t xml:space="preserve"> This is due to the similarities of the </w:t>
      </w:r>
      <w:r w:rsidR="00D318B3">
        <w:rPr>
          <w:lang w:val="en-US"/>
        </w:rPr>
        <w:t>devices for both T</w:t>
      </w:r>
      <w:r w:rsidR="00D318B3">
        <w:rPr>
          <w:lang w:val="en-US"/>
        </w:rPr>
        <w:noBreakHyphen/>
        <w:t>DAB and IMT.</w:t>
      </w:r>
    </w:p>
    <w:p w:rsidR="002C7AD8" w:rsidRPr="002C7AD8" w:rsidRDefault="002C7AD8" w:rsidP="00806F62">
      <w:pPr>
        <w:rPr>
          <w:rFonts w:cs="Arial"/>
          <w:lang w:val="en-US"/>
        </w:rPr>
      </w:pPr>
      <w:r w:rsidRPr="002C7AD8">
        <w:rPr>
          <w:lang w:val="en-US"/>
        </w:rPr>
        <w:t xml:space="preserve">However, cross border coordination of mobile systems is usually based on </w:t>
      </w:r>
      <w:r w:rsidRPr="00D318B3">
        <w:rPr>
          <w:bCs/>
          <w:lang w:val="en-US"/>
        </w:rPr>
        <w:t>50% location probability</w:t>
      </w:r>
      <w:r w:rsidRPr="002C7AD8">
        <w:rPr>
          <w:lang w:val="en-US"/>
        </w:rPr>
        <w:t xml:space="preserve">, and it is therefore not necessary to take into account the location probability factor when conducting bilateral coordination for the protection of UE receivers. Such assumption would lead to </w:t>
      </w:r>
      <w:r w:rsidRPr="002C7AD8">
        <w:rPr>
          <w:rFonts w:cs="Arial"/>
          <w:lang w:val="en-US"/>
        </w:rPr>
        <w:t>the following coordination value at 10 metres:</w:t>
      </w:r>
      <w:r w:rsidRPr="002C7AD8">
        <w:rPr>
          <w:lang w:val="en-US"/>
        </w:rPr>
        <w:t xml:space="preserve"> </w:t>
      </w:r>
      <w:r w:rsidRPr="00290C26">
        <w:rPr>
          <w:rFonts w:cs="Arial"/>
          <w:i/>
          <w:iCs/>
          <w:lang w:val="en-US"/>
        </w:rPr>
        <w:t>I</w:t>
      </w:r>
      <w:r w:rsidRPr="00290C26">
        <w:rPr>
          <w:rFonts w:cs="Arial"/>
          <w:i/>
          <w:iCs/>
          <w:vertAlign w:val="subscript"/>
          <w:lang w:val="en-US"/>
        </w:rPr>
        <w:t>med</w:t>
      </w:r>
      <w:r w:rsidRPr="002C7AD8">
        <w:rPr>
          <w:rFonts w:cs="Arial"/>
          <w:vertAlign w:val="subscript"/>
          <w:lang w:val="en-US"/>
        </w:rPr>
        <w:t xml:space="preserve"> max</w:t>
      </w:r>
      <w:r w:rsidRPr="002C7AD8">
        <w:rPr>
          <w:rFonts w:cs="Arial"/>
          <w:lang w:val="en-US"/>
        </w:rPr>
        <w:t> = 55.6 dB(µV/m).</w:t>
      </w:r>
    </w:p>
    <w:p w:rsidR="002C7AD8" w:rsidRPr="002C7AD8" w:rsidRDefault="002C7AD8" w:rsidP="00806F62">
      <w:pPr>
        <w:rPr>
          <w:lang w:val="en-US"/>
        </w:rPr>
      </w:pPr>
      <w:r w:rsidRPr="002C7AD8">
        <w:rPr>
          <w:lang w:val="en-US"/>
        </w:rPr>
        <w:t>As an example, such a result could be compared with the current coordination threshold</w:t>
      </w:r>
      <w:r w:rsidRPr="002C7AD8">
        <w:rPr>
          <w:rStyle w:val="FootnoteReference"/>
          <w:lang w:val="en-US"/>
        </w:rPr>
        <w:footnoteReference w:customMarkFollows="1" w:id="5"/>
        <w:t>4</w:t>
      </w:r>
      <w:r w:rsidRPr="002C7AD8">
        <w:rPr>
          <w:lang w:val="en-US"/>
        </w:rPr>
        <w:t xml:space="preserve"> used in CEPT countries for mobile networks: 75 dB(µV/m)</w:t>
      </w:r>
      <w:r w:rsidRPr="002C7AD8">
        <w:rPr>
          <w:rFonts w:cs="Arial"/>
          <w:lang w:val="en-US"/>
        </w:rPr>
        <w:t xml:space="preserve"> for h</w:t>
      </w:r>
      <w:r w:rsidR="00FF2FF8">
        <w:rPr>
          <w:rFonts w:cs="Arial"/>
          <w:lang w:val="en-US"/>
        </w:rPr>
        <w:t> </w:t>
      </w:r>
      <w:r w:rsidRPr="002C7AD8">
        <w:rPr>
          <w:rFonts w:cs="Arial"/>
          <w:lang w:val="en-US"/>
        </w:rPr>
        <w:t>=</w:t>
      </w:r>
      <w:r w:rsidR="00FF2FF8">
        <w:rPr>
          <w:rFonts w:cs="Arial"/>
          <w:lang w:val="en-US"/>
        </w:rPr>
        <w:t> </w:t>
      </w:r>
      <w:r w:rsidRPr="002C7AD8">
        <w:rPr>
          <w:rFonts w:cs="Arial"/>
          <w:lang w:val="en-US"/>
        </w:rPr>
        <w:t xml:space="preserve">10 metres, showing that the current protection of UE receivers is still more relaxed than </w:t>
      </w:r>
      <w:r w:rsidRPr="002C7AD8">
        <w:rPr>
          <w:rFonts w:cs="Arial"/>
          <w:i/>
          <w:iCs/>
          <w:lang w:val="en-US"/>
        </w:rPr>
        <w:t>I/N</w:t>
      </w:r>
      <w:r w:rsidRPr="002C7AD8">
        <w:rPr>
          <w:rFonts w:cs="Arial"/>
          <w:lang w:val="en-US"/>
        </w:rPr>
        <w:t> = 0 dB, favouring the overall system performance with respect to a dedicated cell.</w:t>
      </w:r>
    </w:p>
    <w:p w:rsidR="002C7AD8" w:rsidRPr="002C7AD8" w:rsidRDefault="002C7AD8" w:rsidP="002C7AD8">
      <w:pPr>
        <w:pStyle w:val="Heading2"/>
        <w:rPr>
          <w:lang w:val="en-US"/>
        </w:rPr>
      </w:pPr>
      <w:r w:rsidRPr="002C7AD8">
        <w:rPr>
          <w:lang w:val="en-US"/>
        </w:rPr>
        <w:t>3.2</w:t>
      </w:r>
      <w:r w:rsidRPr="002C7AD8">
        <w:rPr>
          <w:lang w:val="en-US"/>
        </w:rPr>
        <w:tab/>
        <w:t>Single-entry interfer</w:t>
      </w:r>
      <w:r w:rsidR="00FF2FF8">
        <w:rPr>
          <w:lang w:val="en-US"/>
        </w:rPr>
        <w:t>ence vs aggregated interference</w:t>
      </w:r>
    </w:p>
    <w:p w:rsidR="002C7AD8" w:rsidRPr="002C7AD8" w:rsidRDefault="002C7AD8" w:rsidP="002C7AD8">
      <w:pPr>
        <w:rPr>
          <w:lang w:val="en-US"/>
        </w:rPr>
      </w:pPr>
      <w:r w:rsidRPr="002C7AD8">
        <w:rPr>
          <w:lang w:val="en-US"/>
        </w:rPr>
        <w:t>The case of single interferer illustrates the similarity of sharing between MS and BS within the 1 452</w:t>
      </w:r>
      <w:r w:rsidRPr="002C7AD8">
        <w:rPr>
          <w:lang w:val="en-US"/>
        </w:rPr>
        <w:noBreakHyphen/>
        <w:t xml:space="preserve">1 492 MHz frequency band. The single entry protection criterion derived above could be used to coordinate broadcasting networks and IMT networks, if agreed by administrations, although it does not take into account cumulative interference. Such a situation exists for example in the </w:t>
      </w:r>
      <w:r w:rsidRPr="002C7AD8">
        <w:rPr>
          <w:lang w:val="en-US" w:eastAsia="fr-FR"/>
        </w:rPr>
        <w:t>MA02revCO07 Special Arrangement</w:t>
      </w:r>
      <w:r w:rsidRPr="002C7AD8">
        <w:rPr>
          <w:lang w:val="en-US"/>
        </w:rPr>
        <w:t>.</w:t>
      </w:r>
    </w:p>
    <w:p w:rsidR="002C7AD8" w:rsidRPr="002C7AD8" w:rsidRDefault="002C7AD8" w:rsidP="002C7AD8">
      <w:pPr>
        <w:rPr>
          <w:lang w:val="en-US"/>
        </w:rPr>
      </w:pPr>
      <w:r w:rsidRPr="002C7AD8">
        <w:rPr>
          <w:lang w:val="en-US"/>
        </w:rPr>
        <w:t xml:space="preserve">IMT may cause a higher cumulative interference level compared to digital audio broadcasting networks, even though digital audio broadcasting networks may also operate in SFN mode. This could be taken into account by the introduction of an </w:t>
      </w:r>
      <w:r w:rsidR="00806F62">
        <w:rPr>
          <w:lang w:val="en-US"/>
        </w:rPr>
        <w:t>aggregated interference margin.</w:t>
      </w:r>
    </w:p>
    <w:p w:rsidR="002C7AD8" w:rsidRPr="002C7AD8" w:rsidRDefault="002C7AD8" w:rsidP="00806F62">
      <w:pPr>
        <w:rPr>
          <w:lang w:val="en-US"/>
        </w:rPr>
      </w:pPr>
      <w:r w:rsidRPr="002C7AD8">
        <w:rPr>
          <w:lang w:val="en-US"/>
        </w:rPr>
        <w:lastRenderedPageBreak/>
        <w:t>The results in Annex 2 show that the excess of the cumulative interference from IMT network over the single interferer can be up to 23 dB for the scenario analysed. This study shows that when conducting compatibility studies, cumulative interference of signals from the IMT base stations should be considered</w:t>
      </w:r>
      <w:r w:rsidR="00806F62">
        <w:rPr>
          <w:lang w:val="en-US"/>
        </w:rPr>
        <w:t>.</w:t>
      </w:r>
    </w:p>
    <w:p w:rsidR="002C7AD8" w:rsidRPr="002C7AD8" w:rsidRDefault="002C7AD8" w:rsidP="002C7AD8">
      <w:pPr>
        <w:pStyle w:val="Heading1"/>
        <w:rPr>
          <w:lang w:val="en-US"/>
        </w:rPr>
      </w:pPr>
      <w:r w:rsidRPr="002C7AD8">
        <w:rPr>
          <w:lang w:val="en-US"/>
        </w:rPr>
        <w:t>4</w:t>
      </w:r>
      <w:r w:rsidRPr="002C7AD8">
        <w:rPr>
          <w:lang w:val="en-US"/>
        </w:rPr>
        <w:tab/>
        <w:t>Conclusion</w:t>
      </w:r>
    </w:p>
    <w:p w:rsidR="002C7AD8" w:rsidRPr="002C7AD8" w:rsidRDefault="002C7AD8" w:rsidP="00806F62">
      <w:pPr>
        <w:rPr>
          <w:b/>
          <w:lang w:val="en-US"/>
        </w:rPr>
      </w:pPr>
      <w:r w:rsidRPr="002C7AD8">
        <w:rPr>
          <w:lang w:val="en-US"/>
        </w:rPr>
        <w:t>Sharing between BS and MS (IMT) in 1 452-1 492 MHz is not feasible in the same geographical area. Nevertheless, in the case of one administration implementing IMT and a neighbouring administration implementing a broadcast service, the maximum field strength value produced at the border of the neighbouring administration by a single IMT base station, together with the relevant coordination procedure, could be used in order to avoid interference from the IMT network to the T-DAB network. The administrations concerned could agree to use the above-mentioned value, as for example 41 dB(µV/m) or 21 dB(µV/m) at the border at 10 m height, depending on whether aggregated interference from IMT network is to be considered or not.</w:t>
      </w:r>
    </w:p>
    <w:p w:rsidR="002C7AD8" w:rsidRPr="002C7AD8" w:rsidRDefault="002C7AD8" w:rsidP="002C7AD8">
      <w:pPr>
        <w:rPr>
          <w:lang w:val="en-US"/>
        </w:rPr>
      </w:pPr>
      <w:r w:rsidRPr="002C7AD8">
        <w:rPr>
          <w:lang w:val="en-US"/>
        </w:rPr>
        <w:br w:type="page"/>
      </w:r>
    </w:p>
    <w:p w:rsidR="002C7AD8" w:rsidRPr="00290C26" w:rsidRDefault="002C7AD8" w:rsidP="00290C26">
      <w:pPr>
        <w:pStyle w:val="AnnexNoTitle"/>
        <w:rPr>
          <w:lang w:val="en-US"/>
        </w:rPr>
      </w:pPr>
      <w:r w:rsidRPr="00290C26">
        <w:rPr>
          <w:lang w:val="en-US"/>
        </w:rPr>
        <w:lastRenderedPageBreak/>
        <w:t>A</w:t>
      </w:r>
      <w:r w:rsidR="00290C26" w:rsidRPr="00290C26">
        <w:rPr>
          <w:lang w:val="en-US"/>
        </w:rPr>
        <w:t>nnex</w:t>
      </w:r>
      <w:r w:rsidRPr="00290C26">
        <w:rPr>
          <w:lang w:val="en-US"/>
        </w:rPr>
        <w:t xml:space="preserve"> 1</w:t>
      </w:r>
      <w:r w:rsidR="00290C26" w:rsidRPr="00290C26">
        <w:rPr>
          <w:lang w:val="en-US"/>
        </w:rPr>
        <w:br/>
      </w:r>
      <w:r w:rsidR="00290C26" w:rsidRPr="00290C26">
        <w:rPr>
          <w:lang w:val="en-US"/>
        </w:rPr>
        <w:br/>
      </w:r>
      <w:r w:rsidRPr="00290C26">
        <w:rPr>
          <w:lang w:val="en-US"/>
        </w:rPr>
        <w:t>Detailed calculation of maximum permissible interfering</w:t>
      </w:r>
      <w:r w:rsidRPr="00290C26">
        <w:rPr>
          <w:lang w:val="en-US"/>
        </w:rPr>
        <w:br/>
        <w:t>field strength limit</w:t>
      </w:r>
    </w:p>
    <w:p w:rsidR="002C7AD8" w:rsidRPr="000C0F48" w:rsidRDefault="002C7AD8" w:rsidP="00416C94">
      <w:pPr>
        <w:pStyle w:val="Normalaftertitle"/>
        <w:rPr>
          <w:lang w:val="en-US"/>
        </w:rPr>
      </w:pPr>
      <w:r w:rsidRPr="000C0F48">
        <w:rPr>
          <w:b/>
          <w:lang w:val="en-US"/>
        </w:rPr>
        <w:t>1</w:t>
      </w:r>
      <w:r w:rsidRPr="000C0F48">
        <w:rPr>
          <w:b/>
          <w:lang w:val="en-US"/>
        </w:rPr>
        <w:tab/>
        <w:t>When supplemental downlink (SDL) interferes with T-DAB Receiver (</w:t>
      </w:r>
      <w:r w:rsidRPr="000C0F48">
        <w:rPr>
          <w:b/>
          <w:i/>
          <w:iCs/>
          <w:lang w:val="en-US"/>
        </w:rPr>
        <w:t>C</w:t>
      </w:r>
      <w:r w:rsidRPr="000C0F48">
        <w:rPr>
          <w:b/>
          <w:lang w:val="en-US"/>
        </w:rPr>
        <w:t>/</w:t>
      </w:r>
      <w:r w:rsidRPr="000C0F48">
        <w:rPr>
          <w:b/>
          <w:i/>
          <w:iCs/>
          <w:lang w:val="en-US"/>
        </w:rPr>
        <w:t>I</w:t>
      </w:r>
      <w:r w:rsidRPr="000C0F48">
        <w:rPr>
          <w:b/>
          <w:lang w:val="en-US"/>
        </w:rPr>
        <w:t xml:space="preserve"> criteria)</w:t>
      </w:r>
      <w:r w:rsidRPr="000C0F48">
        <w:rPr>
          <w:bCs/>
          <w:lang w:val="en-US"/>
        </w:rPr>
        <w:t>:</w:t>
      </w:r>
      <w:r w:rsidRPr="000C0F48">
        <w:rPr>
          <w:lang w:val="en-US"/>
        </w:rPr>
        <w:t xml:space="preserve"> In the simplest case, with no interfering sources present, the wanted signal, </w:t>
      </w:r>
      <w:r w:rsidRPr="000C0F48">
        <w:rPr>
          <w:b/>
          <w:i/>
          <w:lang w:val="en-US"/>
        </w:rPr>
        <w:t>E</w:t>
      </w:r>
      <w:r w:rsidRPr="000C0F48">
        <w:rPr>
          <w:lang w:val="en-US"/>
        </w:rPr>
        <w:t xml:space="preserve">, at a reception point must equal or exceed the minimum field strength (that field strength which exceeds the noise level by the relevant </w:t>
      </w:r>
      <w:r w:rsidRPr="000C0F48">
        <w:rPr>
          <w:i/>
          <w:iCs/>
          <w:lang w:val="en-US"/>
        </w:rPr>
        <w:t>C</w:t>
      </w:r>
      <w:r w:rsidRPr="000C0F48">
        <w:rPr>
          <w:lang w:val="en-US"/>
        </w:rPr>
        <w:t>/</w:t>
      </w:r>
      <w:r w:rsidRPr="000C0F48">
        <w:rPr>
          <w:i/>
          <w:iCs/>
          <w:lang w:val="en-US"/>
        </w:rPr>
        <w:t>I</w:t>
      </w:r>
      <w:r w:rsidRPr="000C0F48">
        <w:rPr>
          <w:lang w:val="en-US"/>
        </w:rPr>
        <w:t xml:space="preserve"> ratio), </w:t>
      </w:r>
      <w:r w:rsidRPr="000C0F48">
        <w:rPr>
          <w:i/>
          <w:iCs/>
          <w:lang w:val="en-US"/>
        </w:rPr>
        <w:t>E</w:t>
      </w:r>
      <w:r w:rsidRPr="000C0F48">
        <w:rPr>
          <w:i/>
          <w:iCs/>
          <w:vertAlign w:val="subscript"/>
          <w:lang w:val="en-US"/>
        </w:rPr>
        <w:t>min</w:t>
      </w:r>
      <w:r w:rsidRPr="000C0F48">
        <w:rPr>
          <w:lang w:val="en-US"/>
        </w:rPr>
        <w:t>:</w:t>
      </w:r>
    </w:p>
    <w:p w:rsidR="002C7AD8" w:rsidRPr="002C7AD8" w:rsidRDefault="002C7AD8" w:rsidP="00FF2FF8">
      <w:pPr>
        <w:pStyle w:val="Equation"/>
        <w:spacing w:before="240" w:after="120"/>
        <w:rPr>
          <w:lang w:val="en-US"/>
        </w:rPr>
      </w:pPr>
      <w:r w:rsidRPr="002C7AD8">
        <w:rPr>
          <w:lang w:val="en-US"/>
        </w:rPr>
        <w:tab/>
      </w:r>
      <w:r w:rsidRPr="002C7AD8">
        <w:rPr>
          <w:lang w:val="en-US"/>
        </w:rPr>
        <w:tab/>
      </w:r>
      <w:r w:rsidRPr="00605168">
        <w:rPr>
          <w:bCs/>
          <w:i/>
          <w:lang w:val="en-US"/>
        </w:rPr>
        <w:t>E</w:t>
      </w:r>
      <w:r w:rsidRPr="002C7AD8">
        <w:rPr>
          <w:lang w:val="en-US"/>
        </w:rPr>
        <w:t xml:space="preserve"> = </w:t>
      </w:r>
      <w:r w:rsidRPr="00FF2FF8">
        <w:rPr>
          <w:i/>
          <w:iCs/>
          <w:lang w:val="en-US"/>
        </w:rPr>
        <w:t>E</w:t>
      </w:r>
      <w:r w:rsidRPr="00FF2FF8">
        <w:rPr>
          <w:i/>
          <w:iCs/>
          <w:vertAlign w:val="subscript"/>
          <w:lang w:val="en-US"/>
        </w:rPr>
        <w:t>min</w:t>
      </w:r>
    </w:p>
    <w:p w:rsidR="002C7AD8" w:rsidRPr="002C7AD8" w:rsidRDefault="002C7AD8" w:rsidP="002C7AD8">
      <w:pPr>
        <w:rPr>
          <w:lang w:val="en-US"/>
        </w:rPr>
      </w:pPr>
      <w:r w:rsidRPr="002C7AD8">
        <w:rPr>
          <w:lang w:val="en-US"/>
        </w:rPr>
        <w:t xml:space="preserve">In order that an area can be considered as covered, the wanted field strength </w:t>
      </w:r>
      <w:r w:rsidRPr="00605168">
        <w:rPr>
          <w:bCs/>
          <w:i/>
          <w:lang w:val="en-US"/>
        </w:rPr>
        <w:t>E</w:t>
      </w:r>
      <w:r w:rsidRPr="002C7AD8">
        <w:rPr>
          <w:b/>
          <w:i/>
          <w:lang w:val="en-US"/>
        </w:rPr>
        <w:t xml:space="preserve"> </w:t>
      </w:r>
      <w:r w:rsidRPr="002C7AD8">
        <w:rPr>
          <w:lang w:val="en-US"/>
        </w:rPr>
        <w:t xml:space="preserve">must exceed </w:t>
      </w:r>
      <w:r w:rsidRPr="001A2A6D">
        <w:rPr>
          <w:i/>
          <w:iCs/>
          <w:lang w:val="en-US"/>
        </w:rPr>
        <w:t>E</w:t>
      </w:r>
      <w:r w:rsidRPr="001A2A6D">
        <w:rPr>
          <w:i/>
          <w:iCs/>
          <w:vertAlign w:val="subscript"/>
          <w:lang w:val="en-US"/>
        </w:rPr>
        <w:t>min</w:t>
      </w:r>
      <w:r w:rsidRPr="002C7AD8">
        <w:rPr>
          <w:lang w:val="en-US"/>
        </w:rPr>
        <w:t xml:space="preserve"> for X% probability. X% </w:t>
      </w:r>
      <w:r w:rsidRPr="002C7AD8">
        <w:rPr>
          <w:rFonts w:cs="Calibri"/>
          <w:i/>
          <w:lang w:val="en-US"/>
        </w:rPr>
        <w:t>Location probability</w:t>
      </w:r>
      <w:r w:rsidRPr="002C7AD8">
        <w:rPr>
          <w:lang w:val="en-US"/>
        </w:rPr>
        <w:t xml:space="preserve"> corresponds to the probability that within a given (small) area a field strength level is exceeded at a required percentage of points.</w:t>
      </w:r>
    </w:p>
    <w:p w:rsidR="002C7AD8" w:rsidRPr="002C7AD8" w:rsidRDefault="002C7AD8" w:rsidP="002C7AD8">
      <w:pPr>
        <w:rPr>
          <w:lang w:val="en-US"/>
        </w:rPr>
      </w:pPr>
      <w:r w:rsidRPr="002C7AD8">
        <w:rPr>
          <w:lang w:val="en-US"/>
        </w:rPr>
        <w:t xml:space="preserve">Assuming a location probability of 99%, an area will be covered when the median wanted field strength, </w:t>
      </w:r>
      <w:r w:rsidRPr="00D70F2F">
        <w:rPr>
          <w:i/>
          <w:iCs/>
          <w:lang w:val="en-US"/>
        </w:rPr>
        <w:t>E</w:t>
      </w:r>
      <w:r w:rsidRPr="00D70F2F">
        <w:rPr>
          <w:i/>
          <w:iCs/>
          <w:vertAlign w:val="subscript"/>
          <w:lang w:val="en-US"/>
        </w:rPr>
        <w:t>med</w:t>
      </w:r>
      <w:r w:rsidRPr="002C7AD8">
        <w:rPr>
          <w:lang w:val="en-US"/>
        </w:rPr>
        <w:t>, exceed the value:</w:t>
      </w:r>
    </w:p>
    <w:p w:rsidR="002C7AD8" w:rsidRDefault="002C7AD8" w:rsidP="00D70F2F">
      <w:pPr>
        <w:pStyle w:val="Equation"/>
        <w:spacing w:before="240" w:after="120"/>
        <w:rPr>
          <w:lang w:val="en-US"/>
        </w:rPr>
      </w:pPr>
      <w:r w:rsidRPr="002C7AD8">
        <w:rPr>
          <w:lang w:val="en-US"/>
        </w:rPr>
        <w:tab/>
      </w:r>
      <w:r w:rsidRPr="002C7AD8">
        <w:rPr>
          <w:lang w:val="en-US"/>
        </w:rPr>
        <w:tab/>
      </w:r>
      <w:r w:rsidRPr="00FF2FF8">
        <w:rPr>
          <w:i/>
          <w:iCs/>
          <w:lang w:val="en-US"/>
        </w:rPr>
        <w:t>E</w:t>
      </w:r>
      <w:r w:rsidRPr="00FF2FF8">
        <w:rPr>
          <w:i/>
          <w:iCs/>
          <w:vertAlign w:val="subscript"/>
          <w:lang w:val="en-US"/>
        </w:rPr>
        <w:t>med</w:t>
      </w:r>
      <w:r w:rsidRPr="002C7AD8">
        <w:rPr>
          <w:lang w:val="en-US"/>
        </w:rPr>
        <w:t xml:space="preserve"> = </w:t>
      </w:r>
      <w:r w:rsidRPr="00FF2FF8">
        <w:rPr>
          <w:i/>
          <w:iCs/>
          <w:lang w:val="en-US"/>
        </w:rPr>
        <w:t>E</w:t>
      </w:r>
      <w:r w:rsidRPr="00FF2FF8">
        <w:rPr>
          <w:i/>
          <w:iCs/>
          <w:vertAlign w:val="subscript"/>
          <w:lang w:val="en-US"/>
        </w:rPr>
        <w:t>min</w:t>
      </w:r>
      <w:r w:rsidRPr="002C7AD8">
        <w:rPr>
          <w:lang w:val="en-US"/>
        </w:rPr>
        <w:t xml:space="preserve"> + </w:t>
      </w:r>
      <w:r w:rsidR="00D70F2F">
        <w:rPr>
          <w:lang w:val="en-US"/>
        </w:rPr>
        <w:t>µ</w:t>
      </w:r>
      <w:r w:rsidRPr="002C7AD8">
        <w:rPr>
          <w:lang w:val="en-US"/>
        </w:rPr>
        <w:t>(99%)</w:t>
      </w:r>
      <w:r w:rsidRPr="00B5219D">
        <w:t>σ</w:t>
      </w:r>
      <w:r w:rsidRPr="002C7AD8">
        <w:rPr>
          <w:lang w:val="en-US"/>
        </w:rPr>
        <w:t xml:space="preserve"> = </w:t>
      </w:r>
      <w:r w:rsidRPr="00FF2FF8">
        <w:rPr>
          <w:i/>
          <w:iCs/>
          <w:lang w:val="en-US"/>
        </w:rPr>
        <w:t>E</w:t>
      </w:r>
      <w:r w:rsidRPr="00FF2FF8">
        <w:rPr>
          <w:i/>
          <w:iCs/>
          <w:vertAlign w:val="subscript"/>
          <w:lang w:val="en-US"/>
        </w:rPr>
        <w:t>min</w:t>
      </w:r>
      <w:r w:rsidR="00D70F2F">
        <w:rPr>
          <w:i/>
          <w:iCs/>
          <w:vertAlign w:val="subscript"/>
          <w:lang w:val="en-US"/>
        </w:rPr>
        <w:t xml:space="preserve"> </w:t>
      </w:r>
      <w:r w:rsidRPr="002C7AD8">
        <w:rPr>
          <w:lang w:val="en-US"/>
        </w:rPr>
        <w:t>+</w:t>
      </w:r>
      <w:r w:rsidR="00D70F2F">
        <w:rPr>
          <w:lang w:val="en-US"/>
        </w:rPr>
        <w:t xml:space="preserve"> </w:t>
      </w:r>
      <w:r w:rsidRPr="002C7AD8">
        <w:rPr>
          <w:lang w:val="en-US"/>
        </w:rPr>
        <w:t>2.3</w:t>
      </w:r>
      <w:r w:rsidRPr="00B5219D">
        <w:t>σ</w:t>
      </w:r>
      <w:r w:rsidRPr="002C7AD8">
        <w:rPr>
          <w:lang w:val="en-US"/>
        </w:rPr>
        <w:t xml:space="preserve"> = </w:t>
      </w:r>
      <w:r w:rsidRPr="00FF2FF8">
        <w:rPr>
          <w:i/>
          <w:iCs/>
          <w:lang w:val="en-US"/>
        </w:rPr>
        <w:t>E</w:t>
      </w:r>
      <w:r w:rsidRPr="00FF2FF8">
        <w:rPr>
          <w:i/>
          <w:iCs/>
          <w:vertAlign w:val="subscript"/>
          <w:lang w:val="en-US"/>
        </w:rPr>
        <w:t>min</w:t>
      </w:r>
      <w:r w:rsidR="00D70F2F">
        <w:rPr>
          <w:i/>
          <w:iCs/>
          <w:vertAlign w:val="subscript"/>
          <w:lang w:val="en-US"/>
        </w:rPr>
        <w:t xml:space="preserve"> </w:t>
      </w:r>
      <w:r w:rsidRPr="002C7AD8">
        <w:rPr>
          <w:lang w:val="en-US"/>
        </w:rPr>
        <w:t>+</w:t>
      </w:r>
      <w:r w:rsidR="00D70F2F">
        <w:rPr>
          <w:lang w:val="en-US"/>
        </w:rPr>
        <w:t xml:space="preserve"> </w:t>
      </w:r>
      <w:r w:rsidRPr="002C7AD8">
        <w:rPr>
          <w:lang w:val="en-US"/>
        </w:rPr>
        <w:t>12.8</w:t>
      </w:r>
    </w:p>
    <w:p w:rsidR="00806F62" w:rsidRPr="002C7AD8" w:rsidRDefault="00806F62" w:rsidP="00806F62">
      <w:pPr>
        <w:rPr>
          <w:lang w:val="en-US"/>
        </w:rPr>
      </w:pPr>
    </w:p>
    <w:p w:rsidR="002C7AD8" w:rsidRPr="0014797A" w:rsidRDefault="002C7AD8" w:rsidP="002C7AD8">
      <w:pPr>
        <w:pStyle w:val="Figure"/>
      </w:pPr>
      <w:r w:rsidRPr="0014797A">
        <w:rPr>
          <w:noProof/>
          <w:lang w:val="en-US" w:eastAsia="zh-CN"/>
        </w:rPr>
        <w:drawing>
          <wp:inline distT="0" distB="0" distL="0" distR="0" wp14:anchorId="1FBA78DC" wp14:editId="4FBB4771">
            <wp:extent cx="3819525" cy="2181225"/>
            <wp:effectExtent l="0" t="0" r="9525" b="9525"/>
            <wp:docPr id="1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525" cy="2181225"/>
                    </a:xfrm>
                    <a:prstGeom prst="rect">
                      <a:avLst/>
                    </a:prstGeom>
                    <a:noFill/>
                    <a:ln>
                      <a:noFill/>
                    </a:ln>
                  </pic:spPr>
                </pic:pic>
              </a:graphicData>
            </a:graphic>
          </wp:inline>
        </w:drawing>
      </w:r>
    </w:p>
    <w:p w:rsidR="002C7AD8" w:rsidRPr="002C7AD8" w:rsidRDefault="002C7AD8" w:rsidP="002C7AD8">
      <w:pPr>
        <w:spacing w:after="80"/>
        <w:rPr>
          <w:lang w:val="en-US"/>
        </w:rPr>
      </w:pPr>
      <w:r w:rsidRPr="002C7AD8">
        <w:rPr>
          <w:lang w:val="en-US"/>
        </w:rPr>
        <w:t>It also means that the location probability is given by:</w:t>
      </w:r>
    </w:p>
    <w:p w:rsidR="002C7AD8" w:rsidRPr="002C7AD8" w:rsidRDefault="002C7AD8" w:rsidP="002C7AD8">
      <w:pPr>
        <w:pStyle w:val="Equation"/>
        <w:spacing w:before="240" w:after="120"/>
        <w:rPr>
          <w:lang w:val="en-US"/>
        </w:rPr>
      </w:pPr>
      <w:r w:rsidRPr="002C7AD8">
        <w:rPr>
          <w:lang w:val="en-US"/>
        </w:rPr>
        <w:tab/>
      </w:r>
      <w:r w:rsidRPr="002C7AD8">
        <w:rPr>
          <w:lang w:val="en-US"/>
        </w:rPr>
        <w:tab/>
      </w:r>
      <w:r w:rsidRPr="00FF2FF8">
        <w:rPr>
          <w:i/>
          <w:iCs/>
          <w:lang w:val="en-US"/>
        </w:rPr>
        <w:t>P</w:t>
      </w:r>
      <w:r w:rsidRPr="002C7AD8">
        <w:rPr>
          <w:lang w:val="en-US"/>
        </w:rPr>
        <w:t>(</w:t>
      </w:r>
      <w:r w:rsidRPr="00FF2FF8">
        <w:rPr>
          <w:i/>
          <w:iCs/>
          <w:lang w:val="en-US"/>
        </w:rPr>
        <w:t>E</w:t>
      </w:r>
      <w:r w:rsidRPr="002C7AD8">
        <w:rPr>
          <w:lang w:val="en-US"/>
        </w:rPr>
        <w:t xml:space="preserve"> ≥ </w:t>
      </w:r>
      <w:r w:rsidRPr="00FF2FF8">
        <w:rPr>
          <w:i/>
          <w:iCs/>
          <w:lang w:val="en-US"/>
        </w:rPr>
        <w:t>E</w:t>
      </w:r>
      <w:r w:rsidRPr="00FF2FF8">
        <w:rPr>
          <w:i/>
          <w:iCs/>
          <w:vertAlign w:val="subscript"/>
          <w:lang w:val="en-US"/>
        </w:rPr>
        <w:t>min</w:t>
      </w:r>
      <w:r w:rsidRPr="002C7AD8">
        <w:rPr>
          <w:lang w:val="en-US"/>
        </w:rPr>
        <w:t>) = 99%</w:t>
      </w:r>
      <w:r w:rsidRPr="002C7AD8">
        <w:rPr>
          <w:lang w:val="en-US"/>
        </w:rPr>
        <w:tab/>
        <w:t>(1)</w:t>
      </w:r>
    </w:p>
    <w:p w:rsidR="002C7AD8" w:rsidRPr="002C7AD8" w:rsidRDefault="002C7AD8" w:rsidP="00806F62">
      <w:pPr>
        <w:rPr>
          <w:lang w:val="en-US"/>
        </w:rPr>
      </w:pPr>
      <w:r w:rsidRPr="002C7AD8">
        <w:rPr>
          <w:lang w:val="en-US"/>
        </w:rPr>
        <w:t xml:space="preserve">In compatibility calculations, the wanted </w:t>
      </w:r>
      <w:r w:rsidRPr="00FF2FF8">
        <w:rPr>
          <w:bCs/>
          <w:i/>
          <w:lang w:val="en-US"/>
        </w:rPr>
        <w:t>E</w:t>
      </w:r>
      <w:r w:rsidRPr="002C7AD8">
        <w:rPr>
          <w:lang w:val="en-US"/>
        </w:rPr>
        <w:t xml:space="preserve"> and interfering </w:t>
      </w:r>
      <w:r w:rsidRPr="00FF2FF8">
        <w:rPr>
          <w:bCs/>
          <w:i/>
          <w:lang w:val="en-US"/>
        </w:rPr>
        <w:t>I</w:t>
      </w:r>
      <w:r w:rsidRPr="002C7AD8">
        <w:rPr>
          <w:lang w:val="en-US"/>
        </w:rPr>
        <w:t xml:space="preserve"> field strengths are statistical values varying around a median value </w:t>
      </w:r>
      <w:r w:rsidRPr="004A04BD">
        <w:rPr>
          <w:i/>
          <w:iCs/>
          <w:lang w:val="en-US"/>
        </w:rPr>
        <w:t>E</w:t>
      </w:r>
      <w:r w:rsidRPr="004A04BD">
        <w:rPr>
          <w:i/>
          <w:iCs/>
          <w:vertAlign w:val="subscript"/>
          <w:lang w:val="en-US"/>
        </w:rPr>
        <w:t>med</w:t>
      </w:r>
      <w:r w:rsidRPr="002C7AD8">
        <w:rPr>
          <w:lang w:val="en-US"/>
        </w:rPr>
        <w:t xml:space="preserve"> and </w:t>
      </w:r>
      <w:r w:rsidRPr="004A04BD">
        <w:rPr>
          <w:i/>
          <w:iCs/>
          <w:lang w:val="en-US"/>
        </w:rPr>
        <w:t>I</w:t>
      </w:r>
      <w:r w:rsidRPr="004A04BD">
        <w:rPr>
          <w:i/>
          <w:iCs/>
          <w:vertAlign w:val="subscript"/>
          <w:lang w:val="en-US"/>
        </w:rPr>
        <w:t>med</w:t>
      </w:r>
      <w:r w:rsidRPr="002C7AD8">
        <w:rPr>
          <w:lang w:val="en-US"/>
        </w:rPr>
        <w:t xml:space="preserve">, assumed to follow a ‘log-normal’ distribution with </w:t>
      </w:r>
      <w:r w:rsidRPr="000F6262">
        <w:t>σ</w:t>
      </w:r>
      <w:r w:rsidRPr="002C7AD8">
        <w:rPr>
          <w:lang w:val="en-US"/>
        </w:rPr>
        <w:t> = 5.5 dB standard deviation for location variation.</w:t>
      </w:r>
    </w:p>
    <w:p w:rsidR="002C7AD8" w:rsidRPr="002C7AD8" w:rsidRDefault="002C7AD8" w:rsidP="00806F62">
      <w:pPr>
        <w:rPr>
          <w:lang w:val="en-US"/>
        </w:rPr>
      </w:pPr>
      <w:r w:rsidRPr="002C7AD8">
        <w:rPr>
          <w:lang w:val="en-US"/>
        </w:rPr>
        <w:t xml:space="preserve">Thus </w:t>
      </w:r>
      <w:r w:rsidRPr="00FF2FF8">
        <w:rPr>
          <w:bCs/>
          <w:i/>
          <w:lang w:val="en-US"/>
        </w:rPr>
        <w:t>E</w:t>
      </w:r>
      <w:r w:rsidRPr="002C7AD8">
        <w:rPr>
          <w:lang w:val="en-US"/>
        </w:rPr>
        <w:t xml:space="preserve"> and </w:t>
      </w:r>
      <w:r w:rsidRPr="00FF2FF8">
        <w:rPr>
          <w:bCs/>
          <w:i/>
          <w:lang w:val="en-US"/>
        </w:rPr>
        <w:t>I</w:t>
      </w:r>
      <w:r w:rsidRPr="002C7AD8">
        <w:rPr>
          <w:lang w:val="en-US"/>
        </w:rPr>
        <w:t xml:space="preserve"> can be modelled as independent random variables following Gaussian (</w:t>
      </w:r>
      <w:r w:rsidRPr="00FF2FF8">
        <w:rPr>
          <w:i/>
          <w:iCs/>
          <w:lang w:val="en-US"/>
        </w:rPr>
        <w:t>E</w:t>
      </w:r>
      <w:r w:rsidRPr="00FF2FF8">
        <w:rPr>
          <w:i/>
          <w:iCs/>
          <w:vertAlign w:val="subscript"/>
          <w:lang w:val="en-US"/>
        </w:rPr>
        <w:t>med</w:t>
      </w:r>
      <w:r w:rsidRPr="002C7AD8">
        <w:rPr>
          <w:lang w:val="en-US"/>
        </w:rPr>
        <w:t xml:space="preserve">, </w:t>
      </w:r>
      <w:r w:rsidRPr="000F6262">
        <w:t>σ</w:t>
      </w:r>
      <w:r w:rsidRPr="004A04BD">
        <w:rPr>
          <w:i/>
          <w:iCs/>
          <w:vertAlign w:val="subscript"/>
          <w:lang w:val="en-US"/>
        </w:rPr>
        <w:t>E</w:t>
      </w:r>
      <w:r w:rsidRPr="002C7AD8">
        <w:rPr>
          <w:lang w:val="en-US"/>
        </w:rPr>
        <w:t>) and (</w:t>
      </w:r>
      <w:r w:rsidRPr="00FF2FF8">
        <w:rPr>
          <w:i/>
          <w:iCs/>
          <w:lang w:val="en-US"/>
        </w:rPr>
        <w:t>I</w:t>
      </w:r>
      <w:r w:rsidRPr="00FF2FF8">
        <w:rPr>
          <w:i/>
          <w:iCs/>
          <w:vertAlign w:val="subscript"/>
          <w:lang w:val="en-US"/>
        </w:rPr>
        <w:t>med</w:t>
      </w:r>
      <w:r w:rsidRPr="002C7AD8">
        <w:rPr>
          <w:lang w:val="en-US"/>
        </w:rPr>
        <w:t xml:space="preserve">, </w:t>
      </w:r>
      <w:r w:rsidRPr="000F6262">
        <w:t>σ</w:t>
      </w:r>
      <w:r w:rsidRPr="004A04BD">
        <w:rPr>
          <w:i/>
          <w:iCs/>
          <w:vertAlign w:val="subscript"/>
          <w:lang w:val="en-US"/>
        </w:rPr>
        <w:t>I</w:t>
      </w:r>
      <w:r w:rsidR="007D485B">
        <w:rPr>
          <w:lang w:val="en-US"/>
        </w:rPr>
        <w:t>) distributions.</w:t>
      </w:r>
    </w:p>
    <w:p w:rsidR="002C7AD8" w:rsidRPr="002C7AD8" w:rsidRDefault="002C7AD8" w:rsidP="00806F62">
      <w:pPr>
        <w:rPr>
          <w:lang w:val="en-US"/>
        </w:rPr>
      </w:pPr>
      <w:r w:rsidRPr="002C7AD8">
        <w:rPr>
          <w:lang w:val="en-US"/>
        </w:rPr>
        <w:t>Consequently,</w:t>
      </w:r>
    </w:p>
    <w:p w:rsidR="002C7AD8" w:rsidRPr="002C7AD8" w:rsidRDefault="002C7AD8" w:rsidP="002C7AD8">
      <w:pPr>
        <w:rPr>
          <w:lang w:val="en-US"/>
        </w:rPr>
      </w:pPr>
      <w:r w:rsidRPr="00FF2FF8">
        <w:rPr>
          <w:i/>
          <w:iCs/>
          <w:lang w:val="en-US"/>
        </w:rPr>
        <w:t>E</w:t>
      </w:r>
      <w:r w:rsidRPr="002C7AD8">
        <w:rPr>
          <w:lang w:val="en-US"/>
        </w:rPr>
        <w:t>/</w:t>
      </w:r>
      <w:r w:rsidRPr="00FF2FF8">
        <w:rPr>
          <w:i/>
          <w:iCs/>
          <w:lang w:val="en-US"/>
        </w:rPr>
        <w:t>I</w:t>
      </w:r>
      <w:r w:rsidRPr="002C7AD8">
        <w:rPr>
          <w:lang w:val="en-US"/>
        </w:rPr>
        <w:t>(dB)</w:t>
      </w:r>
      <w:r w:rsidR="00FF2FF8">
        <w:rPr>
          <w:lang w:val="en-US"/>
        </w:rPr>
        <w:t xml:space="preserve"> </w:t>
      </w:r>
      <w:r w:rsidRPr="002C7AD8">
        <w:rPr>
          <w:lang w:val="en-US"/>
        </w:rPr>
        <w:t>=</w:t>
      </w:r>
      <w:r w:rsidR="00FF2FF8">
        <w:rPr>
          <w:lang w:val="en-US"/>
        </w:rPr>
        <w:t xml:space="preserve"> </w:t>
      </w:r>
      <w:r w:rsidRPr="00FF2FF8">
        <w:rPr>
          <w:i/>
          <w:iCs/>
          <w:lang w:val="en-US"/>
        </w:rPr>
        <w:t>E</w:t>
      </w:r>
      <w:r w:rsidRPr="002C7AD8">
        <w:rPr>
          <w:lang w:val="en-US"/>
        </w:rPr>
        <w:t>(dB) – </w:t>
      </w:r>
      <w:r w:rsidRPr="00FF2FF8">
        <w:rPr>
          <w:i/>
          <w:iCs/>
          <w:lang w:val="en-US"/>
        </w:rPr>
        <w:t>I</w:t>
      </w:r>
      <w:r w:rsidRPr="002C7AD8">
        <w:rPr>
          <w:lang w:val="en-US"/>
        </w:rPr>
        <w:t>(dB) follows a lognormal distribution (</w:t>
      </w:r>
      <w:r w:rsidRPr="00FF2FF8">
        <w:rPr>
          <w:i/>
          <w:iCs/>
          <w:lang w:val="en-US"/>
        </w:rPr>
        <w:t>E</w:t>
      </w:r>
      <w:r w:rsidRPr="00FF2FF8">
        <w:rPr>
          <w:i/>
          <w:iCs/>
          <w:vertAlign w:val="subscript"/>
          <w:lang w:val="en-US"/>
        </w:rPr>
        <w:t>med</w:t>
      </w:r>
      <w:r w:rsidRPr="002C7AD8">
        <w:rPr>
          <w:lang w:val="en-US"/>
        </w:rPr>
        <w:t xml:space="preserve"> – </w:t>
      </w:r>
      <w:r w:rsidRPr="00FF2FF8">
        <w:rPr>
          <w:i/>
          <w:iCs/>
          <w:lang w:val="en-US"/>
        </w:rPr>
        <w:t>I</w:t>
      </w:r>
      <w:r w:rsidRPr="00FF2FF8">
        <w:rPr>
          <w:i/>
          <w:iCs/>
          <w:vertAlign w:val="subscript"/>
          <w:lang w:val="en-US"/>
        </w:rPr>
        <w:t>med</w:t>
      </w:r>
      <w:r w:rsidRPr="002C7AD8">
        <w:rPr>
          <w:lang w:val="en-US"/>
        </w:rPr>
        <w:t>,</w:t>
      </w:r>
      <m:oMath>
        <m:r>
          <w:rPr>
            <w:rFonts w:ascii="Cambria Math" w:hAnsi="Cambria Math"/>
            <w:lang w:val="en-US"/>
          </w:rPr>
          <m:t xml:space="preserve">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lang w:val="en-US"/>
                  </w:rPr>
                  <m:t>2</m:t>
                </m:r>
              </m:sup>
            </m:sSubSup>
          </m:e>
        </m:rad>
      </m:oMath>
      <w:r w:rsidRPr="002C7AD8">
        <w:rPr>
          <w:lang w:val="en-US"/>
        </w:rPr>
        <w:t>).</w:t>
      </w:r>
    </w:p>
    <w:p w:rsidR="002C7AD8" w:rsidRPr="002C7AD8" w:rsidRDefault="002C7AD8" w:rsidP="00806F62">
      <w:pPr>
        <w:rPr>
          <w:lang w:val="en-US"/>
        </w:rPr>
      </w:pPr>
      <w:r w:rsidRPr="002C7AD8">
        <w:rPr>
          <w:lang w:val="en-US"/>
        </w:rPr>
        <w:t>From the following</w:t>
      </w:r>
      <w:r w:rsidR="007D485B">
        <w:rPr>
          <w:lang w:val="en-US"/>
        </w:rPr>
        <w:t xml:space="preserve"> equation:</w:t>
      </w:r>
    </w:p>
    <w:p w:rsidR="002C7AD8" w:rsidRPr="002C7AD8" w:rsidRDefault="002C7AD8" w:rsidP="002C7AD8">
      <w:pPr>
        <w:pStyle w:val="Equation"/>
        <w:spacing w:before="240" w:after="120"/>
        <w:rPr>
          <w:lang w:val="en-US"/>
        </w:rPr>
      </w:pPr>
      <w:r w:rsidRPr="002C7AD8">
        <w:rPr>
          <w:lang w:val="en-US"/>
        </w:rPr>
        <w:tab/>
      </w:r>
      <w:r w:rsidRPr="002C7AD8">
        <w:rPr>
          <w:lang w:val="en-US"/>
        </w:rPr>
        <w:tab/>
      </w:r>
      <w:r w:rsidRPr="00FF2FF8">
        <w:rPr>
          <w:i/>
          <w:iCs/>
          <w:lang w:val="en-US"/>
        </w:rPr>
        <w:t>P</w:t>
      </w:r>
      <w:r w:rsidRPr="002C7AD8">
        <w:rPr>
          <w:lang w:val="en-US"/>
        </w:rPr>
        <w:t>(</w:t>
      </w:r>
      <w:r w:rsidRPr="00FF2FF8">
        <w:rPr>
          <w:i/>
          <w:iCs/>
          <w:lang w:val="en-US"/>
        </w:rPr>
        <w:t>E</w:t>
      </w:r>
      <w:r w:rsidRPr="002C7AD8">
        <w:rPr>
          <w:lang w:val="en-US"/>
        </w:rPr>
        <w:t>/</w:t>
      </w:r>
      <w:r w:rsidRPr="00FF2FF8">
        <w:rPr>
          <w:i/>
          <w:iCs/>
          <w:lang w:val="en-US"/>
        </w:rPr>
        <w:t>I</w:t>
      </w:r>
      <w:r w:rsidR="00C32061">
        <w:rPr>
          <w:i/>
          <w:iCs/>
          <w:lang w:val="en-US"/>
        </w:rPr>
        <w:t xml:space="preserve"> </w:t>
      </w:r>
      <w:r w:rsidRPr="002C7AD8">
        <w:rPr>
          <w:lang w:val="en-US"/>
        </w:rPr>
        <w:t xml:space="preserve">&gt; </w:t>
      </w:r>
      <w:r w:rsidRPr="00FF2FF8">
        <w:rPr>
          <w:i/>
          <w:iCs/>
          <w:lang w:val="en-US"/>
        </w:rPr>
        <w:t>PR</w:t>
      </w:r>
      <w:r w:rsidRPr="002C7AD8">
        <w:rPr>
          <w:lang w:val="en-US"/>
        </w:rPr>
        <w:t xml:space="preserve">(dB))&gt;99% </w:t>
      </w:r>
      <w:r w:rsidRPr="002C7AD8">
        <w:rPr>
          <w:lang w:val="en-US"/>
        </w:rPr>
        <w:tab/>
        <w:t>(2)</w:t>
      </w:r>
    </w:p>
    <w:p w:rsidR="002C7AD8" w:rsidRPr="002C7AD8" w:rsidRDefault="002C7AD8" w:rsidP="00C32061">
      <w:pPr>
        <w:rPr>
          <w:lang w:val="en-US"/>
        </w:rPr>
      </w:pPr>
      <w:r w:rsidRPr="002C7AD8">
        <w:rPr>
          <w:lang w:val="en-US"/>
        </w:rPr>
        <w:t>As referred to (1):</w:t>
      </w:r>
      <w:r w:rsidRPr="002C7AD8">
        <w:rPr>
          <w:lang w:val="en-US"/>
        </w:rPr>
        <w:tab/>
      </w:r>
      <w:r w:rsidRPr="002C7AD8">
        <w:rPr>
          <w:lang w:val="en-US"/>
        </w:rPr>
        <w:tab/>
      </w:r>
      <w:r w:rsidRPr="002C7AD8">
        <w:rPr>
          <w:lang w:val="en-US"/>
        </w:rPr>
        <w:tab/>
      </w:r>
      <w:r w:rsidRPr="00FF2FF8">
        <w:rPr>
          <w:i/>
          <w:iCs/>
          <w:lang w:val="en-US"/>
        </w:rPr>
        <w:t>P</w:t>
      </w:r>
      <w:r w:rsidRPr="002C7AD8">
        <w:rPr>
          <w:lang w:val="en-US"/>
        </w:rPr>
        <w:t>(</w:t>
      </w:r>
      <w:r w:rsidRPr="00FF2FF8">
        <w:rPr>
          <w:i/>
          <w:iCs/>
          <w:lang w:val="en-US"/>
        </w:rPr>
        <w:t>E</w:t>
      </w:r>
      <w:r w:rsidRPr="002C7AD8">
        <w:rPr>
          <w:lang w:val="en-US"/>
        </w:rPr>
        <w:t>/</w:t>
      </w:r>
      <w:r w:rsidRPr="00FF2FF8">
        <w:rPr>
          <w:i/>
          <w:iCs/>
          <w:lang w:val="en-US"/>
        </w:rPr>
        <w:t>I</w:t>
      </w:r>
      <w:r w:rsidRPr="002C7AD8">
        <w:rPr>
          <w:lang w:val="en-US"/>
        </w:rPr>
        <w:t xml:space="preserve"> ≥ </w:t>
      </w:r>
      <w:r w:rsidRPr="00FF2FF8">
        <w:rPr>
          <w:i/>
          <w:iCs/>
          <w:lang w:val="en-US"/>
        </w:rPr>
        <w:t>E</w:t>
      </w:r>
      <w:r w:rsidRPr="00FF2FF8">
        <w:rPr>
          <w:i/>
          <w:iCs/>
          <w:vertAlign w:val="subscript"/>
          <w:lang w:val="en-US"/>
        </w:rPr>
        <w:t>med</w:t>
      </w:r>
      <w:r w:rsidR="00C32061">
        <w:rPr>
          <w:lang w:val="en-US"/>
        </w:rPr>
        <w:t xml:space="preserve"> </w:t>
      </w:r>
      <w:r w:rsidR="00C32061" w:rsidRPr="00C32061">
        <w:rPr>
          <w:lang w:val="en-US"/>
        </w:rPr>
        <w:t>–</w:t>
      </w:r>
      <w:r w:rsidR="00C32061">
        <w:rPr>
          <w:lang w:val="en-US"/>
        </w:rPr>
        <w:t xml:space="preserve"> </w:t>
      </w:r>
      <w:r w:rsidRPr="00FF2FF8">
        <w:rPr>
          <w:i/>
          <w:iCs/>
          <w:lang w:val="en-US"/>
        </w:rPr>
        <w:t>I</w:t>
      </w:r>
      <w:r w:rsidRPr="00FF2FF8">
        <w:rPr>
          <w:i/>
          <w:iCs/>
          <w:vertAlign w:val="subscript"/>
          <w:lang w:val="en-US"/>
        </w:rPr>
        <w:t>med</w:t>
      </w:r>
      <w:r w:rsidR="00C32061">
        <w:rPr>
          <w:lang w:val="en-US"/>
        </w:rPr>
        <w:t xml:space="preserve"> </w:t>
      </w:r>
      <w:r w:rsidR="00C32061" w:rsidRPr="00C32061">
        <w:rPr>
          <w:lang w:val="en-US"/>
        </w:rPr>
        <w:t>–</w:t>
      </w:r>
      <w:r w:rsidRPr="002C7AD8">
        <w:rPr>
          <w:lang w:val="en-US"/>
        </w:rPr>
        <w:t xml:space="preserve"> </w:t>
      </w:r>
      <w:r w:rsidR="00C32061">
        <w:rPr>
          <w:lang w:val="en-US"/>
        </w:rPr>
        <w:t>µ</w:t>
      </w:r>
      <w:r w:rsidRPr="002C7AD8">
        <w:rPr>
          <w:lang w:val="en-US"/>
        </w:rPr>
        <w:t>(99%)</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lang w:val="en-US"/>
                  </w:rPr>
                  <m:t>2</m:t>
                </m:r>
              </m:sup>
            </m:sSubSup>
          </m:e>
        </m:rad>
      </m:oMath>
      <w:r w:rsidRPr="002C7AD8">
        <w:rPr>
          <w:lang w:val="en-US"/>
        </w:rPr>
        <w:t>)</w:t>
      </w:r>
      <w:r w:rsidR="00C32061">
        <w:rPr>
          <w:lang w:val="en-US"/>
        </w:rPr>
        <w:t xml:space="preserve"> </w:t>
      </w:r>
      <w:r w:rsidRPr="002C7AD8">
        <w:rPr>
          <w:lang w:val="en-US"/>
        </w:rPr>
        <w:t>=</w:t>
      </w:r>
      <w:r w:rsidR="00C32061">
        <w:rPr>
          <w:lang w:val="en-US"/>
        </w:rPr>
        <w:t xml:space="preserve"> </w:t>
      </w:r>
      <w:r w:rsidRPr="002C7AD8">
        <w:rPr>
          <w:lang w:val="en-US"/>
        </w:rPr>
        <w:t>99%</w:t>
      </w:r>
    </w:p>
    <w:p w:rsidR="002C7AD8" w:rsidRPr="002C7AD8" w:rsidRDefault="002C7AD8" w:rsidP="00A0156D">
      <w:pPr>
        <w:rPr>
          <w:lang w:val="en-US"/>
        </w:rPr>
      </w:pPr>
      <w:r w:rsidRPr="002C7AD8">
        <w:rPr>
          <w:lang w:val="en-US"/>
        </w:rPr>
        <w:lastRenderedPageBreak/>
        <w:t xml:space="preserve">Thus: </w:t>
      </w:r>
      <w:r w:rsidRPr="00FF2FF8">
        <w:rPr>
          <w:i/>
          <w:iCs/>
          <w:lang w:val="en-US"/>
        </w:rPr>
        <w:t>E</w:t>
      </w:r>
      <w:r w:rsidRPr="00FF2FF8">
        <w:rPr>
          <w:i/>
          <w:iCs/>
          <w:vertAlign w:val="subscript"/>
          <w:lang w:val="en-US"/>
        </w:rPr>
        <w:t>med</w:t>
      </w:r>
      <w:r w:rsidRPr="002C7AD8">
        <w:rPr>
          <w:lang w:val="en-US"/>
        </w:rPr>
        <w:t xml:space="preserve"> ≥ </w:t>
      </w:r>
      <w:r w:rsidRPr="00FF2FF8">
        <w:rPr>
          <w:i/>
          <w:iCs/>
          <w:lang w:val="en-US"/>
        </w:rPr>
        <w:t>I</w:t>
      </w:r>
      <w:r w:rsidRPr="00FF2FF8">
        <w:rPr>
          <w:i/>
          <w:iCs/>
          <w:vertAlign w:val="subscript"/>
          <w:lang w:val="en-US"/>
        </w:rPr>
        <w:t>med</w:t>
      </w:r>
      <w:r w:rsidRPr="002C7AD8">
        <w:rPr>
          <w:lang w:val="en-US"/>
        </w:rPr>
        <w:t xml:space="preserve"> + </w:t>
      </w:r>
      <w:r w:rsidRPr="00FF2FF8">
        <w:rPr>
          <w:i/>
          <w:iCs/>
          <w:lang w:val="en-US"/>
        </w:rPr>
        <w:t>PR</w:t>
      </w:r>
      <w:r w:rsidRPr="002C7AD8">
        <w:rPr>
          <w:lang w:val="en-US"/>
        </w:rPr>
        <w:t xml:space="preserve"> + </w:t>
      </w:r>
      <w:r w:rsidR="00A0156D">
        <w:rPr>
          <w:lang w:val="en-US"/>
        </w:rPr>
        <w:t>µ</w:t>
      </w:r>
      <w:r w:rsidRPr="002C7AD8">
        <w:rPr>
          <w:lang w:val="en-US"/>
        </w:rPr>
        <w:t>(99%)</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lang w:val="en-US"/>
                  </w:rPr>
                  <m:t>2</m:t>
                </m:r>
              </m:sup>
            </m:sSubSup>
          </m:e>
        </m:rad>
      </m:oMath>
      <w:r w:rsidRPr="002C7AD8">
        <w:rPr>
          <w:lang w:val="en-US"/>
        </w:rPr>
        <w:t xml:space="preserve"> where </w:t>
      </w:r>
      <w:r w:rsidRPr="00FF2FF8">
        <w:rPr>
          <w:i/>
          <w:iCs/>
          <w:lang w:val="en-US"/>
        </w:rPr>
        <w:t>PR</w:t>
      </w:r>
      <w:r w:rsidRPr="002C7AD8">
        <w:rPr>
          <w:lang w:val="en-US"/>
        </w:rPr>
        <w:t xml:space="preserve"> is the protection ratio for the wanted signal with respect to the interferer.</w:t>
      </w:r>
    </w:p>
    <w:p w:rsidR="002C7AD8" w:rsidRPr="002C7AD8" w:rsidRDefault="002C7AD8" w:rsidP="00806F62">
      <w:pPr>
        <w:rPr>
          <w:lang w:val="en-US"/>
        </w:rPr>
      </w:pPr>
      <w:r w:rsidRPr="002C7AD8">
        <w:rPr>
          <w:lang w:val="en-US"/>
        </w:rPr>
        <w:t xml:space="preserve">Assuming that </w:t>
      </w:r>
      <m:oMath>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E</m:t>
            </m:r>
          </m:sub>
          <m:sup>
            <m:r>
              <m:rPr>
                <m:sty m:val="p"/>
              </m:rPr>
              <w:rPr>
                <w:rFonts w:ascii="Cambria Math" w:hAnsi="Cambria Math"/>
                <w:lang w:val="en-US"/>
              </w:rPr>
              <m:t>2</m:t>
            </m:r>
          </m:sup>
        </m:sSubSup>
        <m:r>
          <w:rPr>
            <w:rFonts w:ascii="Cambria Math" w:hAnsi="Cambria Math"/>
            <w:lang w:val="en-US"/>
          </w:rPr>
          <m:t>≈</m:t>
        </m:r>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I</m:t>
            </m:r>
          </m:sub>
          <m:sup>
            <m:r>
              <m:rPr>
                <m:sty m:val="p"/>
              </m:rPr>
              <w:rPr>
                <w:rFonts w:ascii="Cambria Math" w:hAnsi="Cambria Math"/>
                <w:lang w:val="en-US"/>
              </w:rPr>
              <m:t>2</m:t>
            </m:r>
          </m:sup>
        </m:sSubSup>
      </m:oMath>
      <w:r w:rsidRPr="002C7AD8">
        <w:rPr>
          <w:lang w:val="en-US"/>
        </w:rPr>
        <w:t xml:space="preserve"> ≈</w:t>
      </w:r>
      <w:r w:rsidR="00FF2FF8">
        <w:rPr>
          <w:lang w:val="en-US"/>
        </w:rPr>
        <w:t xml:space="preserve"> </w:t>
      </w:r>
      <w:r w:rsidRPr="00B5219D">
        <w:t>σ</w:t>
      </w:r>
      <w:r w:rsidRPr="002C7AD8">
        <w:rPr>
          <w:lang w:val="en-US"/>
        </w:rPr>
        <w:t xml:space="preserve"> given that both interferer and victim transmitters operates at the same frequency, the following result is derived:</w:t>
      </w:r>
    </w:p>
    <w:p w:rsidR="002C7AD8" w:rsidRPr="002C7AD8" w:rsidRDefault="002C7AD8" w:rsidP="00A0156D">
      <w:pPr>
        <w:pStyle w:val="Equation"/>
        <w:spacing w:after="120"/>
        <w:rPr>
          <w:lang w:val="en-US"/>
        </w:rPr>
      </w:pPr>
      <w:r w:rsidRPr="002C7AD8">
        <w:rPr>
          <w:lang w:val="en-US"/>
        </w:rPr>
        <w:tab/>
      </w:r>
      <w:r w:rsidRPr="002C7AD8">
        <w:rPr>
          <w:lang w:val="en-US"/>
        </w:rPr>
        <w:tab/>
      </w:r>
      <w:r w:rsidRPr="00B20543">
        <w:rPr>
          <w:i/>
          <w:iCs/>
          <w:lang w:val="en-US"/>
        </w:rPr>
        <w:t>I</w:t>
      </w:r>
      <w:r w:rsidRPr="00B20543">
        <w:rPr>
          <w:i/>
          <w:iCs/>
          <w:vertAlign w:val="subscript"/>
          <w:lang w:val="en-US"/>
        </w:rPr>
        <w:t>med</w:t>
      </w:r>
      <w:r w:rsidRPr="002C7AD8">
        <w:rPr>
          <w:lang w:val="en-US"/>
        </w:rPr>
        <w:t xml:space="preserve"> ≤ </w:t>
      </w:r>
      <w:r w:rsidRPr="00B20543">
        <w:rPr>
          <w:i/>
          <w:iCs/>
          <w:lang w:val="en-US"/>
        </w:rPr>
        <w:t>E</w:t>
      </w:r>
      <w:r w:rsidRPr="00B20543">
        <w:rPr>
          <w:i/>
          <w:iCs/>
          <w:vertAlign w:val="subscript"/>
          <w:lang w:val="en-US"/>
        </w:rPr>
        <w:t>med</w:t>
      </w:r>
      <w:r w:rsidRPr="002C7AD8">
        <w:rPr>
          <w:lang w:val="en-US"/>
        </w:rPr>
        <w:t xml:space="preserve"> – </w:t>
      </w:r>
      <w:r w:rsidRPr="00B20543">
        <w:rPr>
          <w:i/>
          <w:iCs/>
          <w:lang w:val="en-US"/>
        </w:rPr>
        <w:t>PR</w:t>
      </w:r>
      <w:r w:rsidRPr="002C7AD8">
        <w:rPr>
          <w:lang w:val="en-US"/>
        </w:rPr>
        <w:t xml:space="preserve"> – </w:t>
      </w:r>
      <w:r w:rsidR="00A0156D">
        <w:rPr>
          <w:lang w:val="en-US"/>
        </w:rPr>
        <w:t>µ</w:t>
      </w:r>
      <w:r w:rsidRPr="002C7AD8">
        <w:rPr>
          <w:lang w:val="en-US"/>
        </w:rPr>
        <w:t>(99%)</w:t>
      </w:r>
      <m:oMath>
        <m:r>
          <w:rPr>
            <w:rFonts w:ascii="Cambria Math" w:hAnsi="Cambria Math"/>
            <w:lang w:val="en-US"/>
          </w:rPr>
          <m:t xml:space="preserve"> </m:t>
        </m:r>
        <m:rad>
          <m:radPr>
            <m:degHide m:val="1"/>
            <m:ctrlPr>
              <w:rPr>
                <w:rFonts w:ascii="Cambria Math" w:hAnsi="Cambria Math"/>
                <w:i/>
              </w:rPr>
            </m:ctrlPr>
          </m:radPr>
          <m:deg/>
          <m:e>
            <m:r>
              <w:rPr>
                <w:rFonts w:ascii="Cambria Math" w:hAnsi="Cambria Math"/>
                <w:lang w:val="en-US"/>
              </w:rPr>
              <m:t>2</m:t>
            </m:r>
          </m:e>
        </m:rad>
        <m:r>
          <w:rPr>
            <w:rFonts w:ascii="Cambria Math" w:hAnsi="Cambria Math"/>
          </w:rPr>
          <m:t>σ</m:t>
        </m:r>
      </m:oMath>
    </w:p>
    <w:p w:rsidR="002C7AD8" w:rsidRPr="002C7AD8" w:rsidRDefault="002C7AD8" w:rsidP="00A0156D">
      <w:pPr>
        <w:pStyle w:val="Equation"/>
        <w:spacing w:after="120"/>
        <w:rPr>
          <w:lang w:val="en-US"/>
        </w:rPr>
      </w:pPr>
      <w:r w:rsidRPr="002C7AD8">
        <w:rPr>
          <w:lang w:val="en-US"/>
        </w:rPr>
        <w:tab/>
      </w:r>
      <w:r w:rsidRPr="002C7AD8">
        <w:rPr>
          <w:lang w:val="en-US"/>
        </w:rPr>
        <w:tab/>
      </w:r>
      <w:r w:rsidRPr="00B20543">
        <w:rPr>
          <w:i/>
          <w:iCs/>
          <w:lang w:val="en-US"/>
        </w:rPr>
        <w:t>I</w:t>
      </w:r>
      <w:r w:rsidRPr="00B20543">
        <w:rPr>
          <w:i/>
          <w:iCs/>
          <w:vertAlign w:val="subscript"/>
          <w:lang w:val="en-US"/>
        </w:rPr>
        <w:t xml:space="preserve">med </w:t>
      </w:r>
      <w:r w:rsidRPr="00241491">
        <w:rPr>
          <w:vertAlign w:val="subscript"/>
          <w:lang w:val="en-US"/>
        </w:rPr>
        <w:t>max</w:t>
      </w:r>
      <w:r w:rsidRPr="002C7AD8">
        <w:rPr>
          <w:lang w:val="en-US"/>
        </w:rPr>
        <w:t xml:space="preserve"> = </w:t>
      </w:r>
      <w:r w:rsidRPr="00B20543">
        <w:rPr>
          <w:i/>
          <w:iCs/>
          <w:lang w:val="en-US"/>
        </w:rPr>
        <w:t>E</w:t>
      </w:r>
      <w:r w:rsidRPr="00B20543">
        <w:rPr>
          <w:i/>
          <w:iCs/>
          <w:vertAlign w:val="subscript"/>
          <w:lang w:val="en-US"/>
        </w:rPr>
        <w:t>med</w:t>
      </w:r>
      <w:r w:rsidRPr="002C7AD8">
        <w:rPr>
          <w:lang w:val="en-US"/>
        </w:rPr>
        <w:t xml:space="preserve"> – </w:t>
      </w:r>
      <w:r w:rsidRPr="00B20543">
        <w:rPr>
          <w:i/>
          <w:iCs/>
          <w:lang w:val="en-US"/>
        </w:rPr>
        <w:t>PR</w:t>
      </w:r>
      <w:r w:rsidRPr="002C7AD8">
        <w:rPr>
          <w:lang w:val="en-US"/>
        </w:rPr>
        <w:t xml:space="preserve"> –</w:t>
      </w:r>
      <w:r w:rsidR="00A0156D">
        <w:rPr>
          <w:lang w:val="en-US"/>
        </w:rPr>
        <w:t xml:space="preserve"> µ</w:t>
      </w:r>
      <w:r w:rsidRPr="002C7AD8">
        <w:rPr>
          <w:lang w:val="en-US"/>
        </w:rPr>
        <w:t>99%)</w:t>
      </w:r>
      <m:oMath>
        <m:r>
          <w:rPr>
            <w:rFonts w:ascii="Cambria Math" w:hAnsi="Cambria Math"/>
            <w:lang w:val="en-US"/>
          </w:rPr>
          <m:t xml:space="preserve"> </m:t>
        </m:r>
        <m:rad>
          <m:radPr>
            <m:degHide m:val="1"/>
            <m:ctrlPr>
              <w:rPr>
                <w:rFonts w:ascii="Cambria Math" w:hAnsi="Cambria Math"/>
                <w:i/>
              </w:rPr>
            </m:ctrlPr>
          </m:radPr>
          <m:deg/>
          <m:e>
            <m:r>
              <w:rPr>
                <w:rFonts w:ascii="Cambria Math" w:hAnsi="Cambria Math"/>
                <w:lang w:val="en-US"/>
              </w:rPr>
              <m:t>2</m:t>
            </m:r>
          </m:e>
        </m:rad>
        <m:r>
          <w:rPr>
            <w:rFonts w:ascii="Cambria Math" w:hAnsi="Cambria Math"/>
          </w:rPr>
          <m:t>σ</m:t>
        </m:r>
      </m:oMath>
    </w:p>
    <w:p w:rsidR="002C7AD8" w:rsidRPr="002C7AD8" w:rsidRDefault="002C7AD8" w:rsidP="00A0156D">
      <w:pPr>
        <w:rPr>
          <w:lang w:val="en-US"/>
        </w:rPr>
      </w:pPr>
      <w:r w:rsidRPr="002C7AD8">
        <w:rPr>
          <w:lang w:val="en-US"/>
        </w:rPr>
        <w:t xml:space="preserve">From (2), it can be concluded that: </w:t>
      </w:r>
      <w:r w:rsidRPr="00B20543">
        <w:rPr>
          <w:i/>
          <w:iCs/>
          <w:lang w:val="en-US"/>
        </w:rPr>
        <w:t>I</w:t>
      </w:r>
      <w:r w:rsidRPr="00B20543">
        <w:rPr>
          <w:i/>
          <w:iCs/>
          <w:vertAlign w:val="subscript"/>
          <w:lang w:val="en-US"/>
        </w:rPr>
        <w:t xml:space="preserve">med </w:t>
      </w:r>
      <w:r w:rsidRPr="00241491">
        <w:rPr>
          <w:vertAlign w:val="subscript"/>
          <w:lang w:val="en-US"/>
        </w:rPr>
        <w:t>max</w:t>
      </w:r>
      <w:r w:rsidRPr="002C7AD8">
        <w:rPr>
          <w:lang w:val="en-US"/>
        </w:rPr>
        <w:t xml:space="preserve"> = </w:t>
      </w:r>
      <w:r w:rsidRPr="00B20543">
        <w:rPr>
          <w:i/>
          <w:iCs/>
          <w:lang w:val="en-US"/>
        </w:rPr>
        <w:t>E</w:t>
      </w:r>
      <w:r w:rsidRPr="00B20543">
        <w:rPr>
          <w:i/>
          <w:iCs/>
          <w:vertAlign w:val="subscript"/>
          <w:lang w:val="en-US"/>
        </w:rPr>
        <w:t>min</w:t>
      </w:r>
      <w:r w:rsidRPr="002C7AD8">
        <w:rPr>
          <w:lang w:val="en-US"/>
        </w:rPr>
        <w:t xml:space="preserve"> + </w:t>
      </w:r>
      <w:r w:rsidR="00A0156D">
        <w:rPr>
          <w:lang w:val="en-US"/>
        </w:rPr>
        <w:t>µ</w:t>
      </w:r>
      <w:r w:rsidRPr="002C7AD8">
        <w:rPr>
          <w:lang w:val="en-US"/>
        </w:rPr>
        <w:t>(99%)</w:t>
      </w:r>
      <w:r w:rsidRPr="00B5219D">
        <w:t>σ</w:t>
      </w:r>
      <w:r w:rsidRPr="002C7AD8">
        <w:rPr>
          <w:lang w:val="en-US"/>
        </w:rPr>
        <w:t xml:space="preserve">(1 – </w:t>
      </w:r>
      <m:oMath>
        <m:rad>
          <m:radPr>
            <m:degHide m:val="1"/>
            <m:ctrlPr>
              <w:rPr>
                <w:rFonts w:ascii="Cambria Math" w:hAnsi="Cambria Math"/>
                <w:i/>
              </w:rPr>
            </m:ctrlPr>
          </m:radPr>
          <m:deg/>
          <m:e>
            <m:r>
              <w:rPr>
                <w:rFonts w:ascii="Cambria Math" w:hAnsi="Cambria Math"/>
                <w:lang w:val="en-US"/>
              </w:rPr>
              <m:t>2</m:t>
            </m:r>
          </m:e>
        </m:rad>
      </m:oMath>
      <w:r w:rsidRPr="002C7AD8">
        <w:rPr>
          <w:lang w:val="en-US"/>
        </w:rPr>
        <w:t xml:space="preserve">) – </w:t>
      </w:r>
      <w:r w:rsidRPr="00B20543">
        <w:rPr>
          <w:i/>
          <w:iCs/>
          <w:lang w:val="en-US"/>
        </w:rPr>
        <w:t>PR</w:t>
      </w:r>
      <w:r w:rsidRPr="002C7AD8">
        <w:rPr>
          <w:lang w:val="en-US"/>
        </w:rPr>
        <w:t>.</w:t>
      </w:r>
    </w:p>
    <w:p w:rsidR="002C7AD8" w:rsidRPr="002C7AD8" w:rsidRDefault="002C7AD8" w:rsidP="00BD483E">
      <w:pPr>
        <w:rPr>
          <w:lang w:val="en-US"/>
        </w:rPr>
      </w:pPr>
      <w:r w:rsidRPr="002C7AD8">
        <w:rPr>
          <w:b/>
          <w:lang w:val="en-US"/>
        </w:rPr>
        <w:t>2</w:t>
      </w:r>
      <w:r w:rsidRPr="002C7AD8">
        <w:rPr>
          <w:b/>
          <w:lang w:val="en-US"/>
        </w:rPr>
        <w:tab/>
        <w:t>When T-DAB system interferes with an SDL receiver (</w:t>
      </w:r>
      <w:r w:rsidRPr="002C7AD8">
        <w:rPr>
          <w:b/>
          <w:i/>
          <w:iCs/>
          <w:lang w:val="en-US"/>
        </w:rPr>
        <w:t>I/N</w:t>
      </w:r>
      <w:r w:rsidRPr="002C7AD8">
        <w:rPr>
          <w:b/>
          <w:lang w:val="en-US"/>
        </w:rPr>
        <w:t xml:space="preserve"> criteria)</w:t>
      </w:r>
      <w:r w:rsidRPr="00BD483E">
        <w:rPr>
          <w:bCs/>
          <w:lang w:val="en-US"/>
        </w:rPr>
        <w:t>:</w:t>
      </w:r>
      <w:r w:rsidRPr="002C7AD8">
        <w:rPr>
          <w:lang w:val="en-US"/>
        </w:rPr>
        <w:t xml:space="preserve"> The condition of protection of UE Rx is set by the f</w:t>
      </w:r>
      <w:r w:rsidR="007D485B">
        <w:rPr>
          <w:lang w:val="en-US"/>
        </w:rPr>
        <w:t>ollowing probability condition:</w:t>
      </w:r>
    </w:p>
    <w:p w:rsidR="002C7AD8" w:rsidRPr="00B5219D" w:rsidRDefault="002C7AD8" w:rsidP="002C7AD8">
      <w:pPr>
        <w:pStyle w:val="Figure"/>
        <w:rPr>
          <w:lang w:eastAsia="fr-FR"/>
        </w:rPr>
      </w:pPr>
      <w:r w:rsidRPr="00B5219D">
        <w:rPr>
          <w:noProof/>
          <w:lang w:val="en-US" w:eastAsia="zh-CN"/>
        </w:rPr>
        <w:drawing>
          <wp:inline distT="0" distB="0" distL="0" distR="0" wp14:anchorId="5EB0AABE" wp14:editId="3A931C0E">
            <wp:extent cx="4371340" cy="2706370"/>
            <wp:effectExtent l="19050" t="0" r="0" b="0"/>
            <wp:docPr id="17" name="Image 1" descr="cid:image001.png@01CFA76E.3129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FA76E.31298700"/>
                    <pic:cNvPicPr>
                      <a:picLocks noChangeAspect="1" noChangeArrowheads="1"/>
                    </pic:cNvPicPr>
                  </pic:nvPicPr>
                  <pic:blipFill>
                    <a:blip r:embed="rId16" r:link="rId17" cstate="print"/>
                    <a:srcRect/>
                    <a:stretch>
                      <a:fillRect/>
                    </a:stretch>
                  </pic:blipFill>
                  <pic:spPr bwMode="auto">
                    <a:xfrm>
                      <a:off x="0" y="0"/>
                      <a:ext cx="4371340" cy="2706370"/>
                    </a:xfrm>
                    <a:prstGeom prst="rect">
                      <a:avLst/>
                    </a:prstGeom>
                    <a:noFill/>
                    <a:ln w="9525">
                      <a:noFill/>
                      <a:miter lim="800000"/>
                      <a:headEnd/>
                      <a:tailEnd/>
                    </a:ln>
                  </pic:spPr>
                </pic:pic>
              </a:graphicData>
            </a:graphic>
          </wp:inline>
        </w:drawing>
      </w:r>
    </w:p>
    <w:p w:rsidR="002C7AD8" w:rsidRPr="002C7AD8" w:rsidRDefault="002C7AD8" w:rsidP="002E75CD">
      <w:pPr>
        <w:pStyle w:val="Equation"/>
        <w:spacing w:before="240" w:after="120"/>
        <w:rPr>
          <w:lang w:val="en-US"/>
        </w:rPr>
      </w:pPr>
      <w:r>
        <w:tab/>
      </w:r>
      <w:r w:rsidRPr="00B5219D">
        <w:tab/>
      </w:r>
      <w:r w:rsidRPr="002E75CD">
        <w:rPr>
          <w:i/>
          <w:iCs/>
          <w:lang w:val="en-US"/>
        </w:rPr>
        <w:t>P</w:t>
      </w:r>
      <w:r w:rsidRPr="002C7AD8">
        <w:rPr>
          <w:lang w:val="en-US"/>
        </w:rPr>
        <w:t>(</w:t>
      </w:r>
      <w:r w:rsidRPr="002E75CD">
        <w:rPr>
          <w:i/>
          <w:iCs/>
          <w:lang w:val="en-US"/>
        </w:rPr>
        <w:t>I</w:t>
      </w:r>
      <w:r w:rsidRPr="002C7AD8">
        <w:rPr>
          <w:lang w:val="en-US"/>
        </w:rPr>
        <w:t>/</w:t>
      </w:r>
      <w:r w:rsidRPr="002E75CD">
        <w:rPr>
          <w:i/>
          <w:iCs/>
          <w:lang w:val="en-US"/>
        </w:rPr>
        <w:t>N</w:t>
      </w:r>
      <w:r w:rsidRPr="002C7AD8">
        <w:rPr>
          <w:lang w:val="en-US"/>
        </w:rPr>
        <w:t>≤</w:t>
      </w:r>
      <w:r w:rsidR="00614006">
        <w:rPr>
          <w:lang w:val="en-US"/>
        </w:rPr>
        <w:t xml:space="preserve"> </w:t>
      </w:r>
      <w:r w:rsidRPr="002E75CD">
        <w:rPr>
          <w:i/>
          <w:iCs/>
          <w:lang w:val="en-US"/>
        </w:rPr>
        <w:t>I</w:t>
      </w:r>
      <w:r w:rsidRPr="002C7AD8">
        <w:rPr>
          <w:lang w:val="en-US"/>
        </w:rPr>
        <w:t>/</w:t>
      </w:r>
      <w:r w:rsidR="00614006" w:rsidRPr="00614006">
        <w:rPr>
          <w:i/>
          <w:iCs/>
          <w:lang w:val="en-US"/>
        </w:rPr>
        <w:t>N</w:t>
      </w:r>
      <w:r w:rsidRPr="002C7AD8">
        <w:rPr>
          <w:vertAlign w:val="subscript"/>
          <w:lang w:val="en-US"/>
        </w:rPr>
        <w:t>max</w:t>
      </w:r>
      <w:r w:rsidR="00806F62">
        <w:rPr>
          <w:lang w:val="en-US"/>
        </w:rPr>
        <w:t>) = 99%</w:t>
      </w:r>
    </w:p>
    <w:p w:rsidR="002C7AD8" w:rsidRPr="002C7AD8" w:rsidRDefault="002C7AD8" w:rsidP="002E75CD">
      <w:pPr>
        <w:pStyle w:val="Equation"/>
        <w:spacing w:before="240" w:after="120"/>
        <w:rPr>
          <w:rFonts w:cs="Arial"/>
          <w:szCs w:val="22"/>
          <w:lang w:val="en-US"/>
        </w:rPr>
      </w:pPr>
      <w:r w:rsidRPr="002C7AD8">
        <w:rPr>
          <w:lang w:val="en-US"/>
        </w:rPr>
        <w:tab/>
      </w:r>
      <w:r w:rsidRPr="002C7AD8">
        <w:rPr>
          <w:lang w:val="en-US"/>
        </w:rPr>
        <w:tab/>
      </w:r>
      <w:r w:rsidRPr="00614006">
        <w:rPr>
          <w:i/>
          <w:iCs/>
          <w:lang w:val="en-US"/>
        </w:rPr>
        <w:t>P</w:t>
      </w:r>
      <w:r w:rsidRPr="002C7AD8">
        <w:rPr>
          <w:lang w:val="en-US"/>
        </w:rPr>
        <w:t>(</w:t>
      </w:r>
      <w:r w:rsidRPr="002C7AD8">
        <w:rPr>
          <w:i/>
          <w:iCs/>
          <w:lang w:val="en-US"/>
        </w:rPr>
        <w:t>I/N</w:t>
      </w:r>
      <w:r w:rsidRPr="002C7AD8">
        <w:rPr>
          <w:lang w:val="en-US"/>
        </w:rPr>
        <w:t xml:space="preserve">≤ </w:t>
      </w:r>
      <w:r w:rsidRPr="002C7AD8">
        <w:rPr>
          <w:i/>
          <w:iCs/>
          <w:lang w:val="en-US"/>
        </w:rPr>
        <w:t>I/N</w:t>
      </w:r>
      <w:r w:rsidRPr="002E75CD">
        <w:rPr>
          <w:i/>
          <w:iCs/>
          <w:vertAlign w:val="subscript"/>
          <w:lang w:val="en-US"/>
        </w:rPr>
        <w:t>med</w:t>
      </w:r>
      <w:r w:rsidRPr="002C7AD8">
        <w:rPr>
          <w:lang w:val="en-US"/>
        </w:rPr>
        <w:t xml:space="preserve">+ </w:t>
      </w:r>
      <m:oMath>
        <m:r>
          <m:rPr>
            <m:sty m:val="p"/>
          </m:rPr>
          <w:rPr>
            <w:rFonts w:ascii="Cambria Math" w:hAnsi="Cambria Math"/>
          </w:rPr>
          <m:t>μ</m:t>
        </m:r>
      </m:oMath>
      <w:r w:rsidRPr="002C7AD8">
        <w:rPr>
          <w:lang w:val="en-US"/>
        </w:rPr>
        <w:t>(99%)</w:t>
      </w:r>
      <m:oMath>
        <m:rad>
          <m:radPr>
            <m:degHide m:val="1"/>
            <m:ctrlPr>
              <w:rPr>
                <w:rFonts w:ascii="Cambria Math" w:hAnsi="Cambria Math"/>
                <w:i/>
              </w:rPr>
            </m:ctrlPr>
          </m:radPr>
          <m:deg/>
          <m:e>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N</m:t>
                </m:r>
              </m:sub>
              <m:sup>
                <m:r>
                  <m:rPr>
                    <m:sty m:val="p"/>
                  </m:rPr>
                  <w:rPr>
                    <w:rFonts w:ascii="Cambria Math" w:hAnsi="Cambria Math"/>
                    <w:lang w:val="en-US"/>
                  </w:rPr>
                  <m:t>2</m:t>
                </m:r>
              </m:sup>
            </m:sSubSup>
            <m:r>
              <w:rPr>
                <w:rFonts w:ascii="Cambria Math" w:hAnsi="Cambria Math"/>
                <w:lang w:val="en-US"/>
              </w:rPr>
              <m:t>+</m:t>
            </m:r>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I</m:t>
                </m:r>
              </m:sub>
              <m:sup>
                <m:r>
                  <m:rPr>
                    <m:sty m:val="p"/>
                  </m:rPr>
                  <w:rPr>
                    <w:rFonts w:ascii="Cambria Math" w:hAnsi="Cambria Math"/>
                    <w:lang w:val="en-US"/>
                  </w:rPr>
                  <m:t>2</m:t>
                </m:r>
              </m:sup>
            </m:sSubSup>
          </m:e>
        </m:rad>
      </m:oMath>
      <w:r w:rsidR="00806F62">
        <w:rPr>
          <w:lang w:val="en-US"/>
        </w:rPr>
        <w:t>) = 99%</w:t>
      </w:r>
    </w:p>
    <w:p w:rsidR="002C7AD8" w:rsidRPr="002C7AD8" w:rsidRDefault="002C7AD8" w:rsidP="002C7AD8">
      <w:pPr>
        <w:pStyle w:val="Equation"/>
        <w:spacing w:before="240" w:after="120"/>
        <w:rPr>
          <w:lang w:val="en-US"/>
        </w:rPr>
      </w:pPr>
      <w:r w:rsidRPr="002C7AD8">
        <w:rPr>
          <w:lang w:val="en-US"/>
        </w:rPr>
        <w:tab/>
      </w:r>
      <w:r w:rsidRPr="002C7AD8">
        <w:rPr>
          <w:lang w:val="en-US"/>
        </w:rPr>
        <w:tab/>
      </w:r>
      <w:r w:rsidRPr="002E75CD">
        <w:rPr>
          <w:i/>
          <w:iCs/>
          <w:lang w:val="en-US"/>
        </w:rPr>
        <w:t>P</w:t>
      </w:r>
      <w:r w:rsidRPr="002C7AD8">
        <w:rPr>
          <w:lang w:val="en-US"/>
        </w:rPr>
        <w:t>(</w:t>
      </w:r>
      <w:r w:rsidRPr="002E75CD">
        <w:rPr>
          <w:i/>
          <w:iCs/>
          <w:lang w:val="en-US"/>
        </w:rPr>
        <w:t>I</w:t>
      </w:r>
      <w:r w:rsidRPr="002C7AD8">
        <w:rPr>
          <w:lang w:val="en-US"/>
        </w:rPr>
        <w:t>/</w:t>
      </w:r>
      <w:r w:rsidRPr="002E75CD">
        <w:rPr>
          <w:i/>
          <w:iCs/>
          <w:lang w:val="en-US"/>
        </w:rPr>
        <w:t>N</w:t>
      </w:r>
      <w:r w:rsidRPr="002C7AD8">
        <w:rPr>
          <w:lang w:val="en-US"/>
        </w:rPr>
        <w:t xml:space="preserve">≤ </w:t>
      </w:r>
      <w:r w:rsidRPr="002E75CD">
        <w:rPr>
          <w:i/>
          <w:iCs/>
          <w:lang w:val="en-US"/>
        </w:rPr>
        <w:t>I</w:t>
      </w:r>
      <w:r w:rsidRPr="002E75CD">
        <w:rPr>
          <w:i/>
          <w:iCs/>
          <w:vertAlign w:val="subscript"/>
          <w:lang w:val="en-US"/>
        </w:rPr>
        <w:t>med</w:t>
      </w:r>
      <w:r w:rsidRPr="002C7AD8">
        <w:rPr>
          <w:lang w:val="en-US"/>
        </w:rPr>
        <w:t xml:space="preserve"> – </w:t>
      </w:r>
      <w:r w:rsidRPr="002E75CD">
        <w:rPr>
          <w:i/>
          <w:iCs/>
          <w:lang w:val="en-US"/>
        </w:rPr>
        <w:t>N</w:t>
      </w:r>
      <w:r w:rsidRPr="002C7AD8">
        <w:rPr>
          <w:lang w:val="en-US"/>
        </w:rPr>
        <w:t xml:space="preserve">+ </w:t>
      </w:r>
      <m:oMath>
        <m:r>
          <m:rPr>
            <m:sty m:val="p"/>
          </m:rPr>
          <w:rPr>
            <w:rFonts w:ascii="Cambria Math" w:hAnsi="Cambria Math"/>
          </w:rPr>
          <m:t>μ</m:t>
        </m:r>
      </m:oMath>
      <w:r w:rsidRPr="002C7AD8">
        <w:rPr>
          <w:lang w:val="en-US"/>
        </w:rPr>
        <w:t>(99%)</w:t>
      </w:r>
      <m:oMath>
        <m:rad>
          <m:radPr>
            <m:degHide m:val="1"/>
            <m:ctrlPr>
              <w:rPr>
                <w:rFonts w:ascii="Cambria Math" w:hAnsi="Cambria Math"/>
              </w:rPr>
            </m:ctrlPr>
          </m:radPr>
          <m:deg/>
          <m:e>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N</m:t>
                </m:r>
              </m:sub>
              <m:sup>
                <m:r>
                  <m:rPr>
                    <m:sty m:val="p"/>
                  </m:rPr>
                  <w:rPr>
                    <w:rFonts w:ascii="Cambria Math" w:hAnsi="Cambria Math"/>
                    <w:lang w:val="en-US"/>
                  </w:rPr>
                  <m:t>2</m:t>
                </m:r>
              </m:sup>
            </m:sSubSup>
            <m:r>
              <m:rPr>
                <m:sty m:val="p"/>
              </m:rPr>
              <w:rPr>
                <w:rFonts w:ascii="Cambria Math" w:hAnsi="Cambria Math"/>
                <w:lang w:val="en-US"/>
              </w:rPr>
              <m:t>+</m:t>
            </m:r>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I</m:t>
                </m:r>
              </m:sub>
              <m:sup>
                <m:r>
                  <m:rPr>
                    <m:sty m:val="p"/>
                  </m:rPr>
                  <w:rPr>
                    <w:rFonts w:ascii="Cambria Math" w:hAnsi="Cambria Math"/>
                    <w:lang w:val="en-US"/>
                  </w:rPr>
                  <m:t>2</m:t>
                </m:r>
              </m:sup>
            </m:sSubSup>
          </m:e>
        </m:rad>
      </m:oMath>
      <w:r w:rsidR="00806F62">
        <w:rPr>
          <w:lang w:val="en-US"/>
        </w:rPr>
        <w:t>) = 99%</w:t>
      </w:r>
      <w:r w:rsidRPr="002C7AD8">
        <w:rPr>
          <w:lang w:val="en-US"/>
        </w:rPr>
        <w:tab/>
        <w:t>(3)</w:t>
      </w:r>
    </w:p>
    <w:p w:rsidR="002C7AD8" w:rsidRPr="002C7AD8" w:rsidRDefault="002C7AD8" w:rsidP="00806F62">
      <w:pPr>
        <w:pStyle w:val="Equation"/>
        <w:spacing w:before="240" w:after="120"/>
        <w:rPr>
          <w:lang w:val="en-US"/>
        </w:rPr>
      </w:pPr>
      <w:r w:rsidRPr="002C7AD8">
        <w:rPr>
          <w:lang w:val="en-US"/>
        </w:rPr>
        <w:t>and</w:t>
      </w:r>
      <w:r w:rsidRPr="002C7AD8">
        <w:rPr>
          <w:lang w:val="en-US"/>
        </w:rPr>
        <w:tab/>
      </w:r>
      <w:r w:rsidRPr="002C7AD8">
        <w:rPr>
          <w:lang w:val="en-US"/>
        </w:rPr>
        <w:tab/>
      </w:r>
      <w:r w:rsidRPr="002E75CD">
        <w:rPr>
          <w:i/>
          <w:iCs/>
          <w:lang w:val="en-US"/>
        </w:rPr>
        <w:t>P</w:t>
      </w:r>
      <w:r w:rsidRPr="002C7AD8">
        <w:rPr>
          <w:lang w:val="en-US"/>
        </w:rPr>
        <w:t>(</w:t>
      </w:r>
      <w:r w:rsidRPr="002E75CD">
        <w:rPr>
          <w:i/>
          <w:iCs/>
          <w:lang w:val="en-US"/>
        </w:rPr>
        <w:t>I</w:t>
      </w:r>
      <w:r w:rsidRPr="002C7AD8">
        <w:rPr>
          <w:lang w:val="en-US"/>
        </w:rPr>
        <w:t>/</w:t>
      </w:r>
      <w:r w:rsidRPr="002E75CD">
        <w:rPr>
          <w:i/>
          <w:iCs/>
          <w:lang w:val="en-US"/>
        </w:rPr>
        <w:t>N</w:t>
      </w:r>
      <w:r w:rsidRPr="002C7AD8">
        <w:rPr>
          <w:lang w:val="en-US"/>
        </w:rPr>
        <w:t>≤</w:t>
      </w:r>
      <w:r w:rsidRPr="002E75CD">
        <w:rPr>
          <w:i/>
          <w:iCs/>
          <w:lang w:val="en-US"/>
        </w:rPr>
        <w:t>PR</w:t>
      </w:r>
      <w:r w:rsidRPr="002C7AD8">
        <w:rPr>
          <w:lang w:val="en-US"/>
        </w:rPr>
        <w:t>) ≥ 9%</w:t>
      </w:r>
      <w:r w:rsidRPr="002C7AD8">
        <w:rPr>
          <w:lang w:val="en-US"/>
        </w:rPr>
        <w:tab/>
        <w:t>(4)</w:t>
      </w:r>
    </w:p>
    <w:p w:rsidR="002C7AD8" w:rsidRPr="002C7AD8" w:rsidRDefault="002C7AD8" w:rsidP="002C7AD8">
      <w:pPr>
        <w:pStyle w:val="Equation"/>
        <w:spacing w:before="240" w:after="120"/>
        <w:rPr>
          <w:lang w:val="en-US"/>
        </w:rPr>
      </w:pPr>
      <w:r w:rsidRPr="002C7AD8">
        <w:rPr>
          <w:rFonts w:cs="Arial"/>
          <w:szCs w:val="22"/>
          <w:lang w:val="en-US"/>
        </w:rPr>
        <w:t xml:space="preserve">From </w:t>
      </w:r>
      <w:r w:rsidR="002E75CD">
        <w:rPr>
          <w:rFonts w:cs="Arial"/>
          <w:szCs w:val="22"/>
          <w:lang w:val="en-US"/>
        </w:rPr>
        <w:t xml:space="preserve">equations </w:t>
      </w:r>
      <w:r w:rsidRPr="002C7AD8">
        <w:rPr>
          <w:rFonts w:cs="Arial"/>
          <w:szCs w:val="22"/>
          <w:lang w:val="en-US"/>
        </w:rPr>
        <w:t xml:space="preserve">(3) and (4), we get: </w:t>
      </w:r>
      <w:r w:rsidRPr="002C7AD8">
        <w:rPr>
          <w:rFonts w:cs="Arial"/>
          <w:szCs w:val="22"/>
          <w:lang w:val="en-US"/>
        </w:rPr>
        <w:tab/>
      </w:r>
      <w:r w:rsidRPr="002E75CD">
        <w:rPr>
          <w:i/>
          <w:iCs/>
          <w:lang w:val="en-US"/>
        </w:rPr>
        <w:t>PR</w:t>
      </w:r>
      <w:r w:rsidRPr="002C7AD8">
        <w:rPr>
          <w:lang w:val="en-US"/>
        </w:rPr>
        <w:t xml:space="preserve"> ≥ </w:t>
      </w:r>
      <w:r w:rsidRPr="002E75CD">
        <w:rPr>
          <w:i/>
          <w:iCs/>
          <w:lang w:val="en-US"/>
        </w:rPr>
        <w:t>I</w:t>
      </w:r>
      <w:r w:rsidRPr="002E75CD">
        <w:rPr>
          <w:i/>
          <w:iCs/>
          <w:vertAlign w:val="subscript"/>
          <w:lang w:val="en-US"/>
        </w:rPr>
        <w:t>med</w:t>
      </w:r>
      <w:r w:rsidRPr="002C7AD8">
        <w:rPr>
          <w:lang w:val="en-US"/>
        </w:rPr>
        <w:t xml:space="preserve"> – </w:t>
      </w:r>
      <w:r w:rsidRPr="002E75CD">
        <w:rPr>
          <w:i/>
          <w:iCs/>
          <w:lang w:val="en-US"/>
        </w:rPr>
        <w:t>N</w:t>
      </w:r>
      <w:r w:rsidRPr="002C7AD8">
        <w:rPr>
          <w:lang w:val="en-US"/>
        </w:rPr>
        <w:t xml:space="preserve"> + </w:t>
      </w:r>
      <m:oMath>
        <m:r>
          <m:rPr>
            <m:sty m:val="p"/>
          </m:rPr>
          <w:rPr>
            <w:rFonts w:ascii="Cambria Math" w:hAnsi="Cambria Math"/>
          </w:rPr>
          <m:t>μ</m:t>
        </m:r>
      </m:oMath>
      <w:r w:rsidRPr="002C7AD8">
        <w:rPr>
          <w:lang w:val="en-US"/>
        </w:rPr>
        <w:t>(99%)</w:t>
      </w:r>
      <m:oMath>
        <m:rad>
          <m:radPr>
            <m:degHide m:val="1"/>
            <m:ctrlPr>
              <w:rPr>
                <w:rFonts w:ascii="Cambria Math" w:hAnsi="Cambria Math"/>
                <w:i/>
              </w:rPr>
            </m:ctrlPr>
          </m:radPr>
          <m:deg/>
          <m:e>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N</m:t>
                </m:r>
              </m:sub>
              <m:sup>
                <m:r>
                  <m:rPr>
                    <m:sty m:val="p"/>
                  </m:rPr>
                  <w:rPr>
                    <w:rFonts w:ascii="Cambria Math" w:hAnsi="Cambria Math"/>
                    <w:lang w:val="en-US"/>
                  </w:rPr>
                  <m:t>2</m:t>
                </m:r>
              </m:sup>
            </m:sSubSup>
            <m:r>
              <w:rPr>
                <w:rFonts w:ascii="Cambria Math" w:hAnsi="Cambria Math"/>
                <w:lang w:val="en-US"/>
              </w:rPr>
              <m:t>+</m:t>
            </m:r>
            <m:sSubSup>
              <m:sSubSupPr>
                <m:ctrlPr>
                  <w:rPr>
                    <w:rFonts w:ascii="Cambria Math" w:hAnsi="Cambria Math"/>
                    <w:iCs/>
                  </w:rPr>
                </m:ctrlPr>
              </m:sSubSupPr>
              <m:e>
                <m:r>
                  <m:rPr>
                    <m:sty m:val="p"/>
                  </m:rPr>
                  <w:rPr>
                    <w:rFonts w:ascii="Cambria Math" w:hAnsi="Cambria Math"/>
                  </w:rPr>
                  <m:t>σ</m:t>
                </m:r>
              </m:e>
              <m:sub>
                <m:r>
                  <m:rPr>
                    <m:sty m:val="p"/>
                  </m:rPr>
                  <w:rPr>
                    <w:rFonts w:ascii="Cambria Math" w:hAnsi="Cambria Math"/>
                    <w:lang w:val="en-US"/>
                  </w:rPr>
                  <m:t>I</m:t>
                </m:r>
              </m:sub>
              <m:sup>
                <m:r>
                  <m:rPr>
                    <m:sty m:val="p"/>
                  </m:rPr>
                  <w:rPr>
                    <w:rFonts w:ascii="Cambria Math" w:hAnsi="Cambria Math"/>
                    <w:lang w:val="en-US"/>
                  </w:rPr>
                  <m:t>2</m:t>
                </m:r>
              </m:sup>
            </m:sSubSup>
          </m:e>
        </m:rad>
      </m:oMath>
    </w:p>
    <w:p w:rsidR="002C7AD8" w:rsidRPr="002C7AD8" w:rsidRDefault="002C7AD8" w:rsidP="002C7AD8">
      <w:pPr>
        <w:rPr>
          <w:rFonts w:cs="Arial"/>
          <w:lang w:val="en-US"/>
        </w:rPr>
      </w:pPr>
      <w:r w:rsidRPr="002C7AD8">
        <w:rPr>
          <w:lang w:val="en-US"/>
        </w:rPr>
        <w:t xml:space="preserve">Given that </w:t>
      </w:r>
      <w:r w:rsidRPr="00B5219D">
        <w:rPr>
          <w:i/>
        </w:rPr>
        <w:t>σ</w:t>
      </w:r>
      <w:r w:rsidRPr="002C7AD8">
        <w:rPr>
          <w:i/>
          <w:vertAlign w:val="subscript"/>
          <w:lang w:val="en-US"/>
        </w:rPr>
        <w:t xml:space="preserve">N  </w:t>
      </w:r>
      <w:r w:rsidRPr="002C7AD8">
        <w:rPr>
          <w:lang w:val="en-US"/>
        </w:rPr>
        <w:t xml:space="preserve">= 0, the maximum is then derived: </w:t>
      </w:r>
      <w:r w:rsidRPr="002E75CD">
        <w:rPr>
          <w:rFonts w:cs="Arial"/>
          <w:i/>
          <w:iCs/>
          <w:lang w:val="en-US"/>
        </w:rPr>
        <w:t>I</w:t>
      </w:r>
      <w:r w:rsidRPr="002E75CD">
        <w:rPr>
          <w:rFonts w:cs="Arial"/>
          <w:i/>
          <w:iCs/>
          <w:vertAlign w:val="subscript"/>
          <w:lang w:val="en-US"/>
        </w:rPr>
        <w:t xml:space="preserve">med </w:t>
      </w:r>
      <w:r w:rsidRPr="00614006">
        <w:rPr>
          <w:rFonts w:cs="Arial"/>
          <w:vertAlign w:val="subscript"/>
          <w:lang w:val="en-US"/>
        </w:rPr>
        <w:t>max</w:t>
      </w:r>
      <w:r w:rsidRPr="002C7AD8">
        <w:rPr>
          <w:rFonts w:cs="Arial"/>
          <w:lang w:val="en-US"/>
        </w:rPr>
        <w:t xml:space="preserve"> = </w:t>
      </w:r>
      <w:r w:rsidRPr="002E75CD">
        <w:rPr>
          <w:rFonts w:cs="Arial"/>
          <w:i/>
          <w:iCs/>
          <w:lang w:val="en-US"/>
        </w:rPr>
        <w:t>N</w:t>
      </w:r>
      <w:r w:rsidRPr="002C7AD8">
        <w:rPr>
          <w:rFonts w:cs="Arial"/>
          <w:lang w:val="en-US"/>
        </w:rPr>
        <w:t xml:space="preserve"> – </w:t>
      </w:r>
      <m:oMath>
        <m:r>
          <m:rPr>
            <m:sty m:val="p"/>
          </m:rPr>
          <w:rPr>
            <w:rFonts w:ascii="Cambria Math" w:hAnsi="Cambria Math"/>
            <w:szCs w:val="24"/>
          </w:rPr>
          <m:t>μ</m:t>
        </m:r>
      </m:oMath>
      <w:r w:rsidRPr="002C7AD8">
        <w:rPr>
          <w:rFonts w:cs="Arial"/>
          <w:lang w:val="en-US"/>
        </w:rPr>
        <w:t>(99%)</w:t>
      </w:r>
      <w:r w:rsidRPr="00B5219D">
        <w:rPr>
          <w:rFonts w:cs="Arial"/>
        </w:rPr>
        <w:t>σ</w:t>
      </w:r>
      <w:r w:rsidR="002E75CD">
        <w:rPr>
          <w:rFonts w:cs="Arial"/>
          <w:vertAlign w:val="subscript"/>
          <w:lang w:val="en-US"/>
        </w:rPr>
        <w:t>I</w:t>
      </w:r>
      <w:r w:rsidRPr="002C7AD8">
        <w:rPr>
          <w:rFonts w:cs="Arial"/>
          <w:vertAlign w:val="subscript"/>
          <w:lang w:val="en-US"/>
        </w:rPr>
        <w:t> </w:t>
      </w:r>
      <w:r w:rsidRPr="002C7AD8">
        <w:rPr>
          <w:rFonts w:cs="Arial"/>
          <w:lang w:val="en-US"/>
        </w:rPr>
        <w:t>+ </w:t>
      </w:r>
      <w:r w:rsidRPr="002E75CD">
        <w:rPr>
          <w:rFonts w:cs="Arial"/>
          <w:i/>
          <w:iCs/>
          <w:lang w:val="en-US"/>
        </w:rPr>
        <w:t>PR</w:t>
      </w:r>
      <w:r w:rsidRPr="002C7AD8">
        <w:rPr>
          <w:rFonts w:cs="Arial"/>
          <w:lang w:val="en-US"/>
        </w:rPr>
        <w:t>.</w:t>
      </w:r>
    </w:p>
    <w:p w:rsidR="002C7AD8" w:rsidRPr="002C7AD8" w:rsidRDefault="002C7AD8" w:rsidP="002C7AD8">
      <w:pPr>
        <w:rPr>
          <w:lang w:val="en-US"/>
        </w:rPr>
      </w:pPr>
      <w:r w:rsidRPr="002C7AD8">
        <w:rPr>
          <w:lang w:val="en-US"/>
        </w:rPr>
        <w:br w:type="page"/>
      </w:r>
    </w:p>
    <w:p w:rsidR="002C7AD8" w:rsidRPr="00283781" w:rsidRDefault="002C7AD8" w:rsidP="00283781">
      <w:pPr>
        <w:pStyle w:val="AnnexNoTitle"/>
        <w:rPr>
          <w:lang w:val="en-US"/>
        </w:rPr>
      </w:pPr>
      <w:r w:rsidRPr="00283781">
        <w:rPr>
          <w:lang w:val="en-US"/>
        </w:rPr>
        <w:lastRenderedPageBreak/>
        <w:t>A</w:t>
      </w:r>
      <w:r w:rsidR="00283781" w:rsidRPr="00283781">
        <w:rPr>
          <w:lang w:val="en-US"/>
        </w:rPr>
        <w:t>nnex</w:t>
      </w:r>
      <w:r w:rsidRPr="00283781">
        <w:rPr>
          <w:lang w:val="en-US"/>
        </w:rPr>
        <w:t xml:space="preserve"> 2</w:t>
      </w:r>
      <w:r w:rsidR="00283781" w:rsidRPr="00283781">
        <w:rPr>
          <w:lang w:val="en-US"/>
        </w:rPr>
        <w:br/>
      </w:r>
      <w:r w:rsidR="00283781" w:rsidRPr="00283781">
        <w:rPr>
          <w:lang w:val="en-US"/>
        </w:rPr>
        <w:br/>
      </w:r>
      <w:r w:rsidRPr="00283781">
        <w:rPr>
          <w:lang w:val="en-US"/>
        </w:rPr>
        <w:t>The derivation of</w:t>
      </w:r>
      <w:r w:rsidR="007D485B" w:rsidRPr="00283781">
        <w:rPr>
          <w:lang w:val="en-US"/>
        </w:rPr>
        <w:t xml:space="preserve"> aggregated interference margin</w:t>
      </w:r>
    </w:p>
    <w:p w:rsidR="002C7AD8" w:rsidRPr="000C0F48" w:rsidRDefault="002C7AD8" w:rsidP="005F40E7">
      <w:pPr>
        <w:pStyle w:val="Normalaftertitle"/>
        <w:rPr>
          <w:lang w:val="en-US"/>
        </w:rPr>
      </w:pPr>
      <w:r w:rsidRPr="000C0F48">
        <w:rPr>
          <w:lang w:val="en-US"/>
        </w:rPr>
        <w:t>When assessing the interference from IMT networks to BS it is necessary to evaluate the interference field strength of IMT base stations in the test points at the territory of other country. One study has assessed the change of the interference field strength taking into account the aggregate interference from base stations in the IMT network compared to the single-interference source for typical implementation of IMT network in the border areas.</w:t>
      </w:r>
    </w:p>
    <w:p w:rsidR="002C7AD8" w:rsidRPr="002C7AD8" w:rsidRDefault="002C7AD8" w:rsidP="007D485B">
      <w:pPr>
        <w:rPr>
          <w:lang w:val="en-US"/>
        </w:rPr>
      </w:pPr>
      <w:r w:rsidRPr="002C7AD8">
        <w:rPr>
          <w:lang w:val="en-US"/>
        </w:rPr>
        <w:t>The calculation of the increment of the cumulative interference field strength from the IMT network in relation to a field strength from a single interference source carried out in the following order:</w:t>
      </w:r>
    </w:p>
    <w:p w:rsidR="002C7AD8" w:rsidRPr="002C7AD8" w:rsidRDefault="002C7AD8" w:rsidP="002C7AD8">
      <w:pPr>
        <w:pStyle w:val="enumlev1"/>
        <w:rPr>
          <w:lang w:val="en-US"/>
        </w:rPr>
      </w:pPr>
      <w:r w:rsidRPr="002C7AD8">
        <w:rPr>
          <w:lang w:val="en-US"/>
        </w:rPr>
        <w:t>1)</w:t>
      </w:r>
      <w:r w:rsidRPr="002C7AD8">
        <w:rPr>
          <w:lang w:val="en-US"/>
        </w:rPr>
        <w:tab/>
      </w:r>
      <w:r w:rsidR="005A7915">
        <w:rPr>
          <w:lang w:val="en-US"/>
        </w:rPr>
        <w:t>Select country A and country B.</w:t>
      </w:r>
    </w:p>
    <w:p w:rsidR="002C7AD8" w:rsidRPr="002C7AD8" w:rsidRDefault="002C7AD8" w:rsidP="002C7AD8">
      <w:pPr>
        <w:pStyle w:val="enumlev1"/>
        <w:rPr>
          <w:lang w:val="en-US"/>
        </w:rPr>
      </w:pPr>
      <w:r w:rsidRPr="002C7AD8">
        <w:rPr>
          <w:lang w:val="en-US"/>
        </w:rPr>
        <w:t>2)</w:t>
      </w:r>
      <w:r w:rsidRPr="002C7AD8">
        <w:rPr>
          <w:lang w:val="en-US"/>
        </w:rPr>
        <w:tab/>
        <w:t>Model a network of IMT base stations with typical parameters (see Table 1) within the territory of the country A along the border with country B at a distance up to X km from the border.</w:t>
      </w:r>
    </w:p>
    <w:p w:rsidR="002C7AD8" w:rsidRPr="002C7AD8" w:rsidRDefault="002C7AD8" w:rsidP="002C7AD8">
      <w:pPr>
        <w:pStyle w:val="enumlev1"/>
        <w:rPr>
          <w:lang w:val="en-US"/>
        </w:rPr>
      </w:pPr>
      <w:r w:rsidRPr="002C7AD8">
        <w:rPr>
          <w:lang w:val="en-US"/>
        </w:rPr>
        <w:t>3)</w:t>
      </w:r>
      <w:r w:rsidRPr="002C7AD8">
        <w:rPr>
          <w:lang w:val="en-US"/>
        </w:rPr>
        <w:tab/>
        <w:t>Create test points in the territory of country B at the border and inland in increments of, for example 10 km, up to a total distance of Dt km</w:t>
      </w:r>
      <w:r w:rsidR="005A7915">
        <w:rPr>
          <w:lang w:val="en-US"/>
        </w:rPr>
        <w:t>.</w:t>
      </w:r>
    </w:p>
    <w:p w:rsidR="002C7AD8" w:rsidRPr="002C7AD8" w:rsidRDefault="002C7AD8" w:rsidP="002C7AD8">
      <w:pPr>
        <w:pStyle w:val="enumlev1"/>
        <w:rPr>
          <w:lang w:val="en-US"/>
        </w:rPr>
      </w:pPr>
      <w:r w:rsidRPr="002C7AD8">
        <w:rPr>
          <w:lang w:val="en-US"/>
        </w:rPr>
        <w:t>4)</w:t>
      </w:r>
      <w:r w:rsidRPr="002C7AD8">
        <w:rPr>
          <w:lang w:val="en-US"/>
        </w:rPr>
        <w:tab/>
        <w:t>In each test point calculate the following variables:</w:t>
      </w:r>
    </w:p>
    <w:p w:rsidR="002C7AD8" w:rsidRPr="002C7AD8" w:rsidRDefault="002C7AD8" w:rsidP="002C7AD8">
      <w:pPr>
        <w:pStyle w:val="enumlev1"/>
        <w:rPr>
          <w:lang w:val="en-US"/>
        </w:rPr>
      </w:pPr>
      <w:r w:rsidRPr="002C7AD8">
        <w:rPr>
          <w:i/>
          <w:lang w:val="en-US"/>
        </w:rPr>
        <w:tab/>
        <w:t>a</w:t>
      </w:r>
      <w:r w:rsidRPr="002C7AD8">
        <w:rPr>
          <w:lang w:val="en-US"/>
        </w:rPr>
        <w:t xml:space="preserve"> = the highest interference field strength from a single base station;</w:t>
      </w:r>
    </w:p>
    <w:p w:rsidR="002C7AD8" w:rsidRPr="002C7AD8" w:rsidRDefault="002C7AD8" w:rsidP="002C7AD8">
      <w:pPr>
        <w:pStyle w:val="enumlev1"/>
        <w:rPr>
          <w:lang w:val="en-US"/>
        </w:rPr>
      </w:pPr>
      <w:r w:rsidRPr="002C7AD8">
        <w:rPr>
          <w:i/>
          <w:lang w:val="en-US"/>
        </w:rPr>
        <w:tab/>
        <w:t>b</w:t>
      </w:r>
      <w:r w:rsidRPr="002C7AD8">
        <w:rPr>
          <w:lang w:val="en-US"/>
        </w:rPr>
        <w:t xml:space="preserve"> = cumulative interference field strength from a</w:t>
      </w:r>
      <w:r w:rsidR="005A7915">
        <w:rPr>
          <w:lang w:val="en-US"/>
        </w:rPr>
        <w:t>ll base stations in IMT network.</w:t>
      </w:r>
    </w:p>
    <w:p w:rsidR="002C7AD8" w:rsidRPr="002C7AD8" w:rsidRDefault="002C7AD8" w:rsidP="002C7AD8">
      <w:pPr>
        <w:pStyle w:val="enumlev1"/>
        <w:rPr>
          <w:lang w:val="en-US"/>
        </w:rPr>
      </w:pPr>
      <w:r w:rsidRPr="002C7AD8">
        <w:rPr>
          <w:lang w:val="en-US"/>
        </w:rPr>
        <w:t>5)</w:t>
      </w:r>
      <w:r w:rsidRPr="002C7AD8">
        <w:rPr>
          <w:lang w:val="en-US"/>
        </w:rPr>
        <w:tab/>
        <w:t>Plot on the same graph the distributions of the variables a and b as observed in respective test points (expressed as a percentage of test points).</w:t>
      </w:r>
    </w:p>
    <w:p w:rsidR="002C7AD8" w:rsidRPr="002C7AD8" w:rsidRDefault="002C7AD8" w:rsidP="002C7AD8">
      <w:pPr>
        <w:pStyle w:val="enumlev1"/>
        <w:rPr>
          <w:lang w:val="en-US"/>
        </w:rPr>
      </w:pPr>
      <w:r w:rsidRPr="002C7AD8">
        <w:rPr>
          <w:lang w:val="en-US"/>
        </w:rPr>
        <w:t>6)</w:t>
      </w:r>
      <w:r w:rsidRPr="002C7AD8">
        <w:rPr>
          <w:lang w:val="en-US"/>
        </w:rPr>
        <w:tab/>
        <w:t>Plot the distribution of the variable (</w:t>
      </w:r>
      <w:r w:rsidRPr="002C7AD8">
        <w:rPr>
          <w:i/>
          <w:lang w:val="en-US"/>
        </w:rPr>
        <w:t>b – a</w:t>
      </w:r>
      <w:r w:rsidRPr="002C7AD8">
        <w:rPr>
          <w:iCs/>
          <w:lang w:val="en-US"/>
        </w:rPr>
        <w:t>)</w:t>
      </w:r>
      <w:r w:rsidRPr="002C7AD8">
        <w:rPr>
          <w:lang w:val="en-US"/>
        </w:rPr>
        <w:t xml:space="preserve"> as observed in respective test points, by the number of test points (expressed as a percentage of test points).</w:t>
      </w:r>
    </w:p>
    <w:p w:rsidR="002C7AD8" w:rsidRPr="002C7AD8" w:rsidRDefault="002C7AD8" w:rsidP="002C7AD8">
      <w:pPr>
        <w:rPr>
          <w:lang w:val="en-US"/>
        </w:rPr>
      </w:pPr>
      <w:r w:rsidRPr="002C7AD8">
        <w:rPr>
          <w:lang w:val="en-US"/>
        </w:rPr>
        <w:t>Perform such calculation the following parameters of IM</w:t>
      </w:r>
      <w:r w:rsidR="005A7915">
        <w:rPr>
          <w:lang w:val="en-US"/>
        </w:rPr>
        <w:t>T base stations have been used.</w:t>
      </w:r>
    </w:p>
    <w:p w:rsidR="002C7AD8" w:rsidRPr="002C7AD8" w:rsidRDefault="002C7AD8" w:rsidP="00806F62">
      <w:pPr>
        <w:pStyle w:val="TableNo"/>
        <w:rPr>
          <w:lang w:val="en-US"/>
        </w:rPr>
      </w:pPr>
      <w:r w:rsidRPr="002C7AD8">
        <w:rPr>
          <w:lang w:val="en-US"/>
        </w:rPr>
        <w:t>T</w:t>
      </w:r>
      <w:r w:rsidR="00806F62">
        <w:rPr>
          <w:lang w:val="en-US"/>
        </w:rPr>
        <w:t>ABLE</w:t>
      </w:r>
      <w:r w:rsidRPr="002C7AD8">
        <w:rPr>
          <w:lang w:val="en-US"/>
        </w:rPr>
        <w:t xml:space="preserve"> 1</w:t>
      </w:r>
    </w:p>
    <w:p w:rsidR="002C7AD8" w:rsidRPr="002C7AD8" w:rsidRDefault="002C7AD8" w:rsidP="002C7AD8">
      <w:pPr>
        <w:pStyle w:val="Tabletitle"/>
        <w:rPr>
          <w:lang w:val="en-US"/>
        </w:rPr>
      </w:pPr>
      <w:r w:rsidRPr="002C7AD8">
        <w:rPr>
          <w:lang w:val="en-US"/>
        </w:rPr>
        <w:t>Parameters for IMT base stations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1247"/>
        <w:gridCol w:w="3856"/>
      </w:tblGrid>
      <w:tr w:rsidR="002C7AD8" w:rsidRPr="000F6262" w:rsidTr="004A4A40">
        <w:trPr>
          <w:trHeight w:val="20"/>
        </w:trPr>
        <w:tc>
          <w:tcPr>
            <w:tcW w:w="4815" w:type="dxa"/>
            <w:noWrap/>
          </w:tcPr>
          <w:p w:rsidR="002C7AD8" w:rsidRPr="00801317" w:rsidRDefault="002C7AD8" w:rsidP="004A4A40">
            <w:pPr>
              <w:pStyle w:val="Tablehead"/>
            </w:pPr>
            <w:r w:rsidRPr="00801317">
              <w:t>Parameter</w:t>
            </w:r>
          </w:p>
        </w:tc>
        <w:tc>
          <w:tcPr>
            <w:tcW w:w="1247" w:type="dxa"/>
            <w:noWrap/>
          </w:tcPr>
          <w:p w:rsidR="002C7AD8" w:rsidRPr="00801317" w:rsidRDefault="002C7AD8" w:rsidP="004A4A40">
            <w:pPr>
              <w:pStyle w:val="Tablehead"/>
            </w:pPr>
            <w:r w:rsidRPr="00801317">
              <w:t>Units</w:t>
            </w:r>
          </w:p>
        </w:tc>
        <w:tc>
          <w:tcPr>
            <w:tcW w:w="3856" w:type="dxa"/>
            <w:noWrap/>
          </w:tcPr>
          <w:p w:rsidR="002C7AD8" w:rsidRPr="00801317" w:rsidRDefault="002C7AD8" w:rsidP="004A4A40">
            <w:pPr>
              <w:pStyle w:val="Tablehead"/>
            </w:pPr>
            <w:r w:rsidRPr="00801317">
              <w:t>Value</w:t>
            </w:r>
          </w:p>
        </w:tc>
      </w:tr>
      <w:tr w:rsidR="002C7AD8" w:rsidRPr="000F6262" w:rsidTr="004A4A40">
        <w:trPr>
          <w:trHeight w:val="20"/>
        </w:trPr>
        <w:tc>
          <w:tcPr>
            <w:tcW w:w="4815" w:type="dxa"/>
            <w:noWrap/>
          </w:tcPr>
          <w:p w:rsidR="002C7AD8" w:rsidRPr="002C7AD8" w:rsidRDefault="002C7AD8" w:rsidP="004A4A40">
            <w:pPr>
              <w:pStyle w:val="Tabletext"/>
              <w:rPr>
                <w:lang w:val="en-US"/>
              </w:rPr>
            </w:pPr>
            <w:r w:rsidRPr="002C7AD8">
              <w:rPr>
                <w:lang w:val="en-US"/>
              </w:rPr>
              <w:t>Maximum e.i.r.p. per sector for 10 MHz</w:t>
            </w:r>
          </w:p>
        </w:tc>
        <w:tc>
          <w:tcPr>
            <w:tcW w:w="1247" w:type="dxa"/>
            <w:noWrap/>
          </w:tcPr>
          <w:p w:rsidR="002C7AD8" w:rsidRPr="00801317" w:rsidRDefault="002C7AD8" w:rsidP="004A4A40">
            <w:pPr>
              <w:pStyle w:val="Tabletext"/>
              <w:jc w:val="center"/>
            </w:pPr>
            <w:r w:rsidRPr="00801317">
              <w:t>dBm</w:t>
            </w:r>
          </w:p>
        </w:tc>
        <w:tc>
          <w:tcPr>
            <w:tcW w:w="3856" w:type="dxa"/>
            <w:noWrap/>
          </w:tcPr>
          <w:p w:rsidR="002C7AD8" w:rsidRPr="00801317" w:rsidRDefault="002C7AD8" w:rsidP="004A4A40">
            <w:pPr>
              <w:pStyle w:val="Tabletext"/>
              <w:jc w:val="center"/>
            </w:pPr>
            <w:r w:rsidRPr="00801317">
              <w:t>61.00</w:t>
            </w:r>
          </w:p>
        </w:tc>
      </w:tr>
      <w:tr w:rsidR="002C7AD8" w:rsidRPr="000F6262" w:rsidTr="004A4A40">
        <w:trPr>
          <w:trHeight w:val="20"/>
        </w:trPr>
        <w:tc>
          <w:tcPr>
            <w:tcW w:w="4815" w:type="dxa"/>
            <w:noWrap/>
          </w:tcPr>
          <w:p w:rsidR="002C7AD8" w:rsidRPr="00801317" w:rsidRDefault="002C7AD8" w:rsidP="004A4A40">
            <w:pPr>
              <w:pStyle w:val="Tabletext"/>
            </w:pPr>
            <w:r w:rsidRPr="00801317">
              <w:t>Average base station activity</w:t>
            </w:r>
          </w:p>
        </w:tc>
        <w:tc>
          <w:tcPr>
            <w:tcW w:w="1247" w:type="dxa"/>
            <w:noWrap/>
          </w:tcPr>
          <w:p w:rsidR="002C7AD8" w:rsidRPr="00801317" w:rsidRDefault="002C7AD8" w:rsidP="004A4A40">
            <w:pPr>
              <w:pStyle w:val="Tabletext"/>
              <w:jc w:val="center"/>
            </w:pPr>
            <w:r w:rsidRPr="00801317">
              <w:t>%</w:t>
            </w:r>
          </w:p>
        </w:tc>
        <w:tc>
          <w:tcPr>
            <w:tcW w:w="3856" w:type="dxa"/>
            <w:noWrap/>
          </w:tcPr>
          <w:p w:rsidR="002C7AD8" w:rsidRPr="00801317" w:rsidRDefault="002C7AD8" w:rsidP="004A4A40">
            <w:pPr>
              <w:pStyle w:val="Tabletext"/>
              <w:jc w:val="center"/>
            </w:pPr>
            <w:r w:rsidRPr="00801317">
              <w:t>50</w:t>
            </w:r>
          </w:p>
        </w:tc>
      </w:tr>
      <w:tr w:rsidR="002C7AD8" w:rsidRPr="000F6262" w:rsidTr="004A4A40">
        <w:trPr>
          <w:trHeight w:val="20"/>
        </w:trPr>
        <w:tc>
          <w:tcPr>
            <w:tcW w:w="4815" w:type="dxa"/>
            <w:noWrap/>
          </w:tcPr>
          <w:p w:rsidR="002C7AD8" w:rsidRPr="002C7AD8" w:rsidRDefault="002C7AD8" w:rsidP="004A4A40">
            <w:pPr>
              <w:pStyle w:val="Tabletext"/>
              <w:rPr>
                <w:lang w:val="en-US"/>
              </w:rPr>
            </w:pPr>
            <w:r w:rsidRPr="002C7AD8">
              <w:rPr>
                <w:lang w:val="en-US"/>
              </w:rPr>
              <w:t>Average e.i.r.p. per sector for 10 MHz</w:t>
            </w:r>
          </w:p>
        </w:tc>
        <w:tc>
          <w:tcPr>
            <w:tcW w:w="1247" w:type="dxa"/>
            <w:noWrap/>
          </w:tcPr>
          <w:p w:rsidR="002C7AD8" w:rsidRPr="00801317" w:rsidRDefault="002C7AD8" w:rsidP="004A4A40">
            <w:pPr>
              <w:pStyle w:val="Tabletext"/>
              <w:jc w:val="center"/>
            </w:pPr>
            <w:r w:rsidRPr="00801317">
              <w:t>dBm</w:t>
            </w:r>
          </w:p>
        </w:tc>
        <w:tc>
          <w:tcPr>
            <w:tcW w:w="3856" w:type="dxa"/>
            <w:noWrap/>
          </w:tcPr>
          <w:p w:rsidR="002C7AD8" w:rsidRPr="00801317" w:rsidRDefault="002C7AD8" w:rsidP="004A4A40">
            <w:pPr>
              <w:pStyle w:val="Tabletext"/>
              <w:jc w:val="center"/>
            </w:pPr>
            <w:r w:rsidRPr="00801317">
              <w:t>58.00</w:t>
            </w:r>
          </w:p>
        </w:tc>
      </w:tr>
      <w:tr w:rsidR="002C7AD8" w:rsidRPr="000F6262" w:rsidTr="004A4A40">
        <w:trPr>
          <w:trHeight w:val="20"/>
        </w:trPr>
        <w:tc>
          <w:tcPr>
            <w:tcW w:w="4815" w:type="dxa"/>
          </w:tcPr>
          <w:p w:rsidR="002C7AD8" w:rsidRPr="00801317" w:rsidRDefault="002C7AD8" w:rsidP="004A4A40">
            <w:pPr>
              <w:pStyle w:val="Tabletext"/>
            </w:pPr>
            <w:r w:rsidRPr="00801317">
              <w:t>Antenna gain (Giso)</w:t>
            </w:r>
          </w:p>
        </w:tc>
        <w:tc>
          <w:tcPr>
            <w:tcW w:w="1247" w:type="dxa"/>
            <w:noWrap/>
          </w:tcPr>
          <w:p w:rsidR="002C7AD8" w:rsidRPr="00801317" w:rsidRDefault="002C7AD8" w:rsidP="004A4A40">
            <w:pPr>
              <w:pStyle w:val="Tabletext"/>
              <w:jc w:val="center"/>
            </w:pPr>
            <w:r w:rsidRPr="00801317">
              <w:t>dBi</w:t>
            </w:r>
          </w:p>
        </w:tc>
        <w:tc>
          <w:tcPr>
            <w:tcW w:w="3856" w:type="dxa"/>
            <w:noWrap/>
          </w:tcPr>
          <w:p w:rsidR="002C7AD8" w:rsidRPr="00801317" w:rsidRDefault="002C7AD8" w:rsidP="004A4A40">
            <w:pPr>
              <w:pStyle w:val="Tabletext"/>
              <w:jc w:val="center"/>
            </w:pPr>
            <w:r w:rsidRPr="00801317">
              <w:t>15.00*</w:t>
            </w:r>
          </w:p>
        </w:tc>
      </w:tr>
      <w:tr w:rsidR="002C7AD8" w:rsidRPr="000F6262" w:rsidTr="004A4A40">
        <w:trPr>
          <w:trHeight w:val="20"/>
        </w:trPr>
        <w:tc>
          <w:tcPr>
            <w:tcW w:w="4815" w:type="dxa"/>
          </w:tcPr>
          <w:p w:rsidR="002C7AD8" w:rsidRPr="00801317" w:rsidRDefault="002C7AD8" w:rsidP="004A4A40">
            <w:pPr>
              <w:pStyle w:val="Tabletext"/>
            </w:pPr>
            <w:r w:rsidRPr="00801317">
              <w:t>Polarization discrimination</w:t>
            </w:r>
          </w:p>
        </w:tc>
        <w:tc>
          <w:tcPr>
            <w:tcW w:w="1247" w:type="dxa"/>
            <w:noWrap/>
          </w:tcPr>
          <w:p w:rsidR="002C7AD8" w:rsidRPr="00801317" w:rsidRDefault="002C7AD8" w:rsidP="004A4A40">
            <w:pPr>
              <w:pStyle w:val="Tabletext"/>
              <w:jc w:val="center"/>
            </w:pPr>
            <w:r w:rsidRPr="00801317">
              <w:t>dB</w:t>
            </w:r>
          </w:p>
        </w:tc>
        <w:tc>
          <w:tcPr>
            <w:tcW w:w="3856" w:type="dxa"/>
            <w:noWrap/>
          </w:tcPr>
          <w:p w:rsidR="002C7AD8" w:rsidRPr="00801317" w:rsidRDefault="002C7AD8" w:rsidP="004A4A40">
            <w:pPr>
              <w:pStyle w:val="Tabletext"/>
              <w:jc w:val="center"/>
            </w:pPr>
            <w:r w:rsidRPr="00801317">
              <w:t>3</w:t>
            </w:r>
          </w:p>
        </w:tc>
      </w:tr>
      <w:tr w:rsidR="002C7AD8" w:rsidRPr="000F6262" w:rsidTr="004A4A40">
        <w:trPr>
          <w:trHeight w:val="20"/>
        </w:trPr>
        <w:tc>
          <w:tcPr>
            <w:tcW w:w="4815" w:type="dxa"/>
            <w:noWrap/>
          </w:tcPr>
          <w:p w:rsidR="002C7AD8" w:rsidRPr="00801317" w:rsidRDefault="002C7AD8" w:rsidP="004A4A40">
            <w:pPr>
              <w:pStyle w:val="Tabletext"/>
            </w:pPr>
            <w:r w:rsidRPr="00801317">
              <w:t>Antenna height above ground</w:t>
            </w:r>
          </w:p>
        </w:tc>
        <w:tc>
          <w:tcPr>
            <w:tcW w:w="1247" w:type="dxa"/>
            <w:noWrap/>
          </w:tcPr>
          <w:p w:rsidR="002C7AD8" w:rsidRPr="00801317" w:rsidRDefault="002C7AD8" w:rsidP="004A4A40">
            <w:pPr>
              <w:pStyle w:val="Tabletext"/>
              <w:jc w:val="center"/>
            </w:pPr>
            <w:r w:rsidRPr="00801317">
              <w:t>m</w:t>
            </w:r>
          </w:p>
        </w:tc>
        <w:tc>
          <w:tcPr>
            <w:tcW w:w="3856" w:type="dxa"/>
            <w:noWrap/>
          </w:tcPr>
          <w:p w:rsidR="002C7AD8" w:rsidRPr="00801317" w:rsidRDefault="002C7AD8" w:rsidP="004A4A40">
            <w:pPr>
              <w:pStyle w:val="Tabletext"/>
              <w:jc w:val="center"/>
            </w:pPr>
            <w:r w:rsidRPr="00801317">
              <w:t>30.00</w:t>
            </w:r>
          </w:p>
        </w:tc>
      </w:tr>
      <w:tr w:rsidR="002C7AD8" w:rsidRPr="000F6262" w:rsidTr="004A4A40">
        <w:trPr>
          <w:trHeight w:val="20"/>
        </w:trPr>
        <w:tc>
          <w:tcPr>
            <w:tcW w:w="4815" w:type="dxa"/>
            <w:noWrap/>
          </w:tcPr>
          <w:p w:rsidR="002C7AD8" w:rsidRPr="00801317" w:rsidRDefault="002C7AD8" w:rsidP="004A4A40">
            <w:pPr>
              <w:pStyle w:val="Tabletext"/>
            </w:pPr>
            <w:r w:rsidRPr="00801317">
              <w:t xml:space="preserve">Antenna down tilt </w:t>
            </w:r>
          </w:p>
        </w:tc>
        <w:tc>
          <w:tcPr>
            <w:tcW w:w="1247" w:type="dxa"/>
            <w:noWrap/>
          </w:tcPr>
          <w:p w:rsidR="002C7AD8" w:rsidRPr="00801317" w:rsidRDefault="002C7AD8" w:rsidP="004A4A40">
            <w:pPr>
              <w:pStyle w:val="Tabletext"/>
              <w:jc w:val="center"/>
            </w:pPr>
            <w:r w:rsidRPr="00801317">
              <w:t>Degrees</w:t>
            </w:r>
          </w:p>
        </w:tc>
        <w:tc>
          <w:tcPr>
            <w:tcW w:w="3856" w:type="dxa"/>
            <w:noWrap/>
          </w:tcPr>
          <w:p w:rsidR="002C7AD8" w:rsidRPr="00801317" w:rsidRDefault="002C7AD8" w:rsidP="004A4A40">
            <w:pPr>
              <w:pStyle w:val="Tabletext"/>
              <w:jc w:val="center"/>
            </w:pPr>
            <w:r w:rsidRPr="00801317">
              <w:t>3</w:t>
            </w:r>
          </w:p>
        </w:tc>
      </w:tr>
      <w:tr w:rsidR="002C7AD8" w:rsidRPr="000F6262" w:rsidTr="004A4A40">
        <w:trPr>
          <w:trHeight w:val="20"/>
        </w:trPr>
        <w:tc>
          <w:tcPr>
            <w:tcW w:w="4815" w:type="dxa"/>
            <w:noWrap/>
          </w:tcPr>
          <w:p w:rsidR="002C7AD8" w:rsidRPr="002C7AD8" w:rsidRDefault="002C7AD8" w:rsidP="004A4A40">
            <w:pPr>
              <w:pStyle w:val="Tabletext"/>
              <w:rPr>
                <w:lang w:val="en-US"/>
              </w:rPr>
            </w:pPr>
            <w:r w:rsidRPr="002C7AD8">
              <w:rPr>
                <w:lang w:val="en-US"/>
              </w:rPr>
              <w:t>Main beam by 3 dB loss in H plane</w:t>
            </w:r>
          </w:p>
        </w:tc>
        <w:tc>
          <w:tcPr>
            <w:tcW w:w="1247" w:type="dxa"/>
            <w:noWrap/>
          </w:tcPr>
          <w:p w:rsidR="002C7AD8" w:rsidRPr="00801317" w:rsidRDefault="002C7AD8" w:rsidP="004A4A40">
            <w:pPr>
              <w:pStyle w:val="Tabletext"/>
              <w:jc w:val="center"/>
            </w:pPr>
            <w:r w:rsidRPr="00801317">
              <w:t>Degrees</w:t>
            </w:r>
          </w:p>
        </w:tc>
        <w:tc>
          <w:tcPr>
            <w:tcW w:w="3856" w:type="dxa"/>
            <w:noWrap/>
          </w:tcPr>
          <w:p w:rsidR="002C7AD8" w:rsidRPr="00801317" w:rsidRDefault="002C7AD8" w:rsidP="004A4A40">
            <w:pPr>
              <w:pStyle w:val="Tabletext"/>
              <w:jc w:val="center"/>
            </w:pPr>
            <w:r w:rsidRPr="00801317">
              <w:t>65</w:t>
            </w:r>
          </w:p>
        </w:tc>
      </w:tr>
      <w:tr w:rsidR="002C7AD8" w:rsidRPr="000C0F48" w:rsidTr="004A4A40">
        <w:trPr>
          <w:trHeight w:val="20"/>
        </w:trPr>
        <w:tc>
          <w:tcPr>
            <w:tcW w:w="4815" w:type="dxa"/>
            <w:noWrap/>
          </w:tcPr>
          <w:p w:rsidR="002C7AD8" w:rsidRPr="002C7AD8" w:rsidRDefault="002C7AD8" w:rsidP="004A4A40">
            <w:pPr>
              <w:pStyle w:val="Tabletext"/>
              <w:rPr>
                <w:lang w:val="en-US"/>
              </w:rPr>
            </w:pPr>
            <w:r w:rsidRPr="002C7AD8">
              <w:rPr>
                <w:lang w:val="en-US"/>
              </w:rPr>
              <w:t>Main beam by 3 dB loss in V plane</w:t>
            </w:r>
          </w:p>
        </w:tc>
        <w:tc>
          <w:tcPr>
            <w:tcW w:w="1247" w:type="dxa"/>
            <w:noWrap/>
          </w:tcPr>
          <w:p w:rsidR="002C7AD8" w:rsidRPr="00801317" w:rsidRDefault="002C7AD8" w:rsidP="004A4A40">
            <w:pPr>
              <w:pStyle w:val="Tabletext"/>
              <w:jc w:val="center"/>
            </w:pPr>
            <w:r w:rsidRPr="00801317">
              <w:t>Degrees</w:t>
            </w:r>
          </w:p>
        </w:tc>
        <w:tc>
          <w:tcPr>
            <w:tcW w:w="3856" w:type="dxa"/>
            <w:noWrap/>
          </w:tcPr>
          <w:p w:rsidR="002C7AD8" w:rsidRPr="002C7AD8" w:rsidRDefault="002C7AD8" w:rsidP="004A4A40">
            <w:pPr>
              <w:pStyle w:val="Tabletext"/>
              <w:rPr>
                <w:lang w:val="en-US"/>
              </w:rPr>
            </w:pPr>
            <w:r w:rsidRPr="002C7AD8">
              <w:rPr>
                <w:lang w:val="en-US"/>
              </w:rPr>
              <w:t xml:space="preserve">Based on Rec. ITU-R </w:t>
            </w:r>
            <w:r w:rsidRPr="007E69C7">
              <w:rPr>
                <w:lang w:val="en-US"/>
              </w:rPr>
              <w:t>F.1336</w:t>
            </w:r>
          </w:p>
        </w:tc>
      </w:tr>
      <w:tr w:rsidR="002C7AD8" w:rsidRPr="000F6262" w:rsidTr="004A4A40">
        <w:trPr>
          <w:trHeight w:val="20"/>
        </w:trPr>
        <w:tc>
          <w:tcPr>
            <w:tcW w:w="4815" w:type="dxa"/>
          </w:tcPr>
          <w:p w:rsidR="002C7AD8" w:rsidRPr="00801317" w:rsidRDefault="002C7AD8" w:rsidP="004A4A40">
            <w:pPr>
              <w:pStyle w:val="Tabletext"/>
            </w:pPr>
            <w:r w:rsidRPr="00801317">
              <w:t>MS network type</w:t>
            </w:r>
          </w:p>
        </w:tc>
        <w:tc>
          <w:tcPr>
            <w:tcW w:w="1247" w:type="dxa"/>
            <w:noWrap/>
          </w:tcPr>
          <w:p w:rsidR="002C7AD8" w:rsidRPr="00801317" w:rsidRDefault="002C7AD8" w:rsidP="004A4A40">
            <w:pPr>
              <w:pStyle w:val="Tabletext"/>
              <w:jc w:val="center"/>
            </w:pPr>
          </w:p>
        </w:tc>
        <w:tc>
          <w:tcPr>
            <w:tcW w:w="3856" w:type="dxa"/>
            <w:noWrap/>
          </w:tcPr>
          <w:p w:rsidR="002C7AD8" w:rsidRPr="00801317" w:rsidRDefault="002C7AD8" w:rsidP="004A4A40">
            <w:pPr>
              <w:pStyle w:val="Tabletext"/>
              <w:jc w:val="center"/>
            </w:pPr>
            <w:r w:rsidRPr="00801317">
              <w:t>Rural</w:t>
            </w:r>
          </w:p>
        </w:tc>
      </w:tr>
      <w:tr w:rsidR="002C7AD8" w:rsidRPr="000F6262" w:rsidTr="004A4A40">
        <w:trPr>
          <w:trHeight w:val="20"/>
        </w:trPr>
        <w:tc>
          <w:tcPr>
            <w:tcW w:w="4815" w:type="dxa"/>
          </w:tcPr>
          <w:p w:rsidR="002C7AD8" w:rsidRPr="00801317" w:rsidRDefault="002C7AD8" w:rsidP="004A4A40">
            <w:pPr>
              <w:pStyle w:val="Tabletext"/>
            </w:pPr>
            <w:r w:rsidRPr="00801317">
              <w:t>Frequency</w:t>
            </w:r>
          </w:p>
        </w:tc>
        <w:tc>
          <w:tcPr>
            <w:tcW w:w="1247" w:type="dxa"/>
            <w:noWrap/>
          </w:tcPr>
          <w:p w:rsidR="002C7AD8" w:rsidRPr="00801317" w:rsidRDefault="002C7AD8" w:rsidP="004A4A40">
            <w:pPr>
              <w:pStyle w:val="Tabletext"/>
              <w:jc w:val="center"/>
            </w:pPr>
            <w:r w:rsidRPr="00801317">
              <w:t>MHz</w:t>
            </w:r>
          </w:p>
        </w:tc>
        <w:tc>
          <w:tcPr>
            <w:tcW w:w="3856" w:type="dxa"/>
            <w:noWrap/>
          </w:tcPr>
          <w:p w:rsidR="002C7AD8" w:rsidRPr="00801317" w:rsidRDefault="002C7AD8" w:rsidP="004A4A40">
            <w:pPr>
              <w:pStyle w:val="Tabletext"/>
              <w:jc w:val="center"/>
            </w:pPr>
            <w:r w:rsidRPr="00801317">
              <w:t>1452</w:t>
            </w:r>
          </w:p>
        </w:tc>
      </w:tr>
      <w:tr w:rsidR="002C7AD8" w:rsidRPr="000F6262" w:rsidTr="004A4A40">
        <w:trPr>
          <w:trHeight w:val="20"/>
        </w:trPr>
        <w:tc>
          <w:tcPr>
            <w:tcW w:w="4815" w:type="dxa"/>
          </w:tcPr>
          <w:p w:rsidR="002C7AD8" w:rsidRPr="00801317" w:rsidRDefault="002C7AD8" w:rsidP="004A4A40">
            <w:pPr>
              <w:pStyle w:val="Tabletext"/>
            </w:pPr>
            <w:r w:rsidRPr="00801317">
              <w:t xml:space="preserve">Inter-site distance </w:t>
            </w:r>
          </w:p>
        </w:tc>
        <w:tc>
          <w:tcPr>
            <w:tcW w:w="1247" w:type="dxa"/>
            <w:noWrap/>
          </w:tcPr>
          <w:p w:rsidR="002C7AD8" w:rsidRPr="00801317" w:rsidRDefault="002C7AD8" w:rsidP="004A4A40">
            <w:pPr>
              <w:pStyle w:val="Tabletext"/>
              <w:jc w:val="center"/>
            </w:pPr>
            <w:r w:rsidRPr="00801317">
              <w:t>km</w:t>
            </w:r>
          </w:p>
        </w:tc>
        <w:tc>
          <w:tcPr>
            <w:tcW w:w="3856" w:type="dxa"/>
            <w:noWrap/>
          </w:tcPr>
          <w:p w:rsidR="002C7AD8" w:rsidRPr="00801317" w:rsidRDefault="002C7AD8" w:rsidP="004A4A40">
            <w:pPr>
              <w:pStyle w:val="Tabletext"/>
              <w:jc w:val="center"/>
            </w:pPr>
            <w:r w:rsidRPr="00801317">
              <w:t>7.5</w:t>
            </w:r>
          </w:p>
        </w:tc>
      </w:tr>
    </w:tbl>
    <w:p w:rsidR="002C7AD8" w:rsidRPr="002C7AD8" w:rsidRDefault="002C7AD8" w:rsidP="002C7AD8">
      <w:pPr>
        <w:spacing w:before="40"/>
        <w:rPr>
          <w:lang w:val="en-US"/>
        </w:rPr>
      </w:pPr>
      <w:r w:rsidRPr="002C7AD8">
        <w:rPr>
          <w:lang w:val="en-US"/>
        </w:rPr>
        <w:t>* – the antenna gain is 3 dB lower than the value in Report ITU-R M.2290.</w:t>
      </w:r>
    </w:p>
    <w:p w:rsidR="002C7AD8" w:rsidRPr="002C7AD8" w:rsidRDefault="002C7AD8" w:rsidP="000C1AC4">
      <w:pPr>
        <w:rPr>
          <w:lang w:val="en-US"/>
        </w:rPr>
      </w:pPr>
      <w:r w:rsidRPr="002C7AD8">
        <w:rPr>
          <w:lang w:val="en-US"/>
        </w:rPr>
        <w:lastRenderedPageBreak/>
        <w:t>Figure 1 shows an example IMT network, located along the border of the neighbouring state (blue dots indicate the location of base station sites) and covering the part of the country adjacent to the border. Evaluation of the increase of cumulative interference field strength from the IMT network over maximum interference field strength from one base station was carried out at the test points established in the territory of the neighbouring country (black dots). Figure 2 shows an example of the reverse situation</w:t>
      </w:r>
      <w:r w:rsidR="000C1AC4">
        <w:rPr>
          <w:lang w:val="en-US"/>
        </w:rPr>
        <w:t xml:space="preserve"> </w:t>
      </w:r>
      <w:r w:rsidR="000C1AC4" w:rsidRPr="000C1AC4">
        <w:rPr>
          <w:lang w:val="en-US"/>
        </w:rPr>
        <w:t>–</w:t>
      </w:r>
      <w:r w:rsidR="000C1AC4">
        <w:rPr>
          <w:lang w:val="en-US"/>
        </w:rPr>
        <w:t xml:space="preserve"> </w:t>
      </w:r>
      <w:r w:rsidRPr="002C7AD8">
        <w:rPr>
          <w:lang w:val="en-US"/>
        </w:rPr>
        <w:t>when the IMT network is located in the opposite country.</w:t>
      </w:r>
    </w:p>
    <w:p w:rsidR="002C7AD8" w:rsidRPr="002C7AD8" w:rsidRDefault="00806F62" w:rsidP="002C7AD8">
      <w:pPr>
        <w:pStyle w:val="FigureNo"/>
        <w:rPr>
          <w:lang w:val="en-US"/>
        </w:rPr>
      </w:pPr>
      <w:r>
        <w:rPr>
          <w:lang w:val="en-US"/>
        </w:rPr>
        <w:t>Figure 1</w:t>
      </w:r>
    </w:p>
    <w:p w:rsidR="002C7AD8" w:rsidRPr="002C7AD8" w:rsidRDefault="002C7AD8" w:rsidP="002C7AD8">
      <w:pPr>
        <w:pStyle w:val="Figuretitle"/>
        <w:rPr>
          <w:lang w:val="en-US"/>
        </w:rPr>
      </w:pPr>
      <w:r w:rsidRPr="002C7AD8">
        <w:rPr>
          <w:lang w:val="en-US"/>
        </w:rPr>
        <w:t xml:space="preserve">Example 1 – IMT base station sites (blue circles) within the borders of one country and the test points </w:t>
      </w:r>
      <w:r w:rsidRPr="002C7AD8">
        <w:rPr>
          <w:lang w:val="en-US"/>
        </w:rPr>
        <w:br/>
        <w:t>(black circles) on the territory of another country</w:t>
      </w:r>
    </w:p>
    <w:p w:rsidR="002C7AD8" w:rsidRPr="00B5219D" w:rsidRDefault="002C7AD8" w:rsidP="002C7AD8">
      <w:pPr>
        <w:pStyle w:val="Figure"/>
      </w:pPr>
      <w:r w:rsidRPr="00B5219D">
        <w:rPr>
          <w:noProof/>
          <w:lang w:val="en-US" w:eastAsia="zh-CN"/>
        </w:rPr>
        <w:drawing>
          <wp:inline distT="0" distB="0" distL="0" distR="0" wp14:anchorId="38A8278B" wp14:editId="2601CCE6">
            <wp:extent cx="4710430" cy="3301365"/>
            <wp:effectExtent l="19050" t="19050" r="13970"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0430" cy="3301365"/>
                    </a:xfrm>
                    <a:prstGeom prst="rect">
                      <a:avLst/>
                    </a:prstGeom>
                    <a:noFill/>
                    <a:ln w="12700" cmpd="sng">
                      <a:solidFill>
                        <a:srgbClr val="000000"/>
                      </a:solidFill>
                      <a:miter lim="800000"/>
                      <a:headEnd/>
                      <a:tailEnd/>
                    </a:ln>
                    <a:effectLst/>
                  </pic:spPr>
                </pic:pic>
              </a:graphicData>
            </a:graphic>
          </wp:inline>
        </w:drawing>
      </w:r>
    </w:p>
    <w:p w:rsidR="002C7AD8" w:rsidRPr="002C7AD8" w:rsidRDefault="00806F62" w:rsidP="002C7AD8">
      <w:pPr>
        <w:pStyle w:val="FigureNo"/>
        <w:rPr>
          <w:lang w:val="en-US"/>
        </w:rPr>
      </w:pPr>
      <w:r>
        <w:rPr>
          <w:lang w:val="en-US"/>
        </w:rPr>
        <w:lastRenderedPageBreak/>
        <w:t>Figure 2</w:t>
      </w:r>
    </w:p>
    <w:p w:rsidR="002C7AD8" w:rsidRPr="002C7AD8" w:rsidRDefault="002C7AD8" w:rsidP="002C7AD8">
      <w:pPr>
        <w:pStyle w:val="Figuretitle"/>
        <w:rPr>
          <w:lang w:val="en-US"/>
        </w:rPr>
      </w:pPr>
      <w:r w:rsidRPr="002C7AD8">
        <w:rPr>
          <w:lang w:val="en-US"/>
        </w:rPr>
        <w:t xml:space="preserve">Example 2 – IMT base station sites (blue circles) within the borders of second country and the test points </w:t>
      </w:r>
      <w:r w:rsidRPr="002C7AD8">
        <w:rPr>
          <w:lang w:val="en-US"/>
        </w:rPr>
        <w:br/>
        <w:t>(black circles) on the territory of first country</w:t>
      </w:r>
    </w:p>
    <w:p w:rsidR="002C7AD8" w:rsidRPr="00B5219D" w:rsidRDefault="002C7AD8" w:rsidP="002C7AD8">
      <w:pPr>
        <w:pStyle w:val="Figure"/>
      </w:pPr>
      <w:r w:rsidRPr="00B5219D">
        <w:rPr>
          <w:noProof/>
          <w:lang w:val="en-US" w:eastAsia="zh-CN"/>
        </w:rPr>
        <w:drawing>
          <wp:inline distT="0" distB="0" distL="0" distR="0" wp14:anchorId="2E1E5F62" wp14:editId="5E3E058C">
            <wp:extent cx="4657090" cy="3449955"/>
            <wp:effectExtent l="19050" t="19050" r="10160" b="1714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7090" cy="3449955"/>
                    </a:xfrm>
                    <a:prstGeom prst="rect">
                      <a:avLst/>
                    </a:prstGeom>
                    <a:noFill/>
                    <a:ln w="12700" cmpd="sng">
                      <a:solidFill>
                        <a:srgbClr val="000000"/>
                      </a:solidFill>
                      <a:miter lim="800000"/>
                      <a:headEnd/>
                      <a:tailEnd/>
                    </a:ln>
                    <a:effectLst/>
                  </pic:spPr>
                </pic:pic>
              </a:graphicData>
            </a:graphic>
          </wp:inline>
        </w:drawing>
      </w:r>
    </w:p>
    <w:p w:rsidR="002C7AD8" w:rsidRPr="002C7AD8" w:rsidRDefault="002C7AD8" w:rsidP="00205B40">
      <w:pPr>
        <w:rPr>
          <w:lang w:val="en-US"/>
        </w:rPr>
      </w:pPr>
      <w:r w:rsidRPr="002C7AD8">
        <w:rPr>
          <w:lang w:val="en-US"/>
        </w:rPr>
        <w:t>The distribution of the interfering fields in the test points of Example 1 is shown in Fig</w:t>
      </w:r>
      <w:r w:rsidR="00205B40">
        <w:rPr>
          <w:lang w:val="en-US"/>
        </w:rPr>
        <w:t>.</w:t>
      </w:r>
      <w:r w:rsidRPr="002C7AD8">
        <w:rPr>
          <w:lang w:val="en-US"/>
        </w:rPr>
        <w:t xml:space="preserve"> 3, and for Example 2 is shown in Fig</w:t>
      </w:r>
      <w:r w:rsidR="00205B40">
        <w:rPr>
          <w:lang w:val="en-US"/>
        </w:rPr>
        <w:t>.</w:t>
      </w:r>
      <w:r w:rsidRPr="002C7AD8">
        <w:rPr>
          <w:lang w:val="en-US"/>
        </w:rPr>
        <w:t xml:space="preserve"> 4.</w:t>
      </w:r>
    </w:p>
    <w:p w:rsidR="002C7AD8" w:rsidRPr="002C7AD8" w:rsidRDefault="002C7AD8" w:rsidP="002C7AD8">
      <w:pPr>
        <w:pStyle w:val="FigureNo"/>
        <w:rPr>
          <w:caps w:val="0"/>
          <w:lang w:val="en-US"/>
        </w:rPr>
      </w:pPr>
      <w:r w:rsidRPr="002C7AD8">
        <w:rPr>
          <w:lang w:val="en-US"/>
        </w:rPr>
        <w:t>Figure 3</w:t>
      </w:r>
    </w:p>
    <w:p w:rsidR="002C7AD8" w:rsidRPr="002C7AD8" w:rsidRDefault="002C7AD8" w:rsidP="002C7AD8">
      <w:pPr>
        <w:pStyle w:val="Figuretitle"/>
        <w:rPr>
          <w:lang w:val="en-US"/>
        </w:rPr>
      </w:pPr>
      <w:r w:rsidRPr="002C7AD8">
        <w:rPr>
          <w:lang w:val="en-US"/>
        </w:rPr>
        <w:t>Distribution of the interfering field strength at the test points of Example 1</w:t>
      </w:r>
      <w:r w:rsidRPr="002C7AD8">
        <w:rPr>
          <w:lang w:val="en-US"/>
        </w:rPr>
        <w:br/>
        <w:t>for single interferer and cumulative interference</w:t>
      </w:r>
    </w:p>
    <w:p w:rsidR="002C7AD8" w:rsidRPr="00B5219D" w:rsidRDefault="002C7AD8" w:rsidP="002C7AD8">
      <w:pPr>
        <w:pStyle w:val="Figure"/>
      </w:pPr>
      <w:r w:rsidRPr="00B5219D">
        <w:rPr>
          <w:noProof/>
          <w:lang w:val="en-US" w:eastAsia="zh-CN"/>
        </w:rPr>
        <w:drawing>
          <wp:inline distT="0" distB="0" distL="0" distR="0" wp14:anchorId="0C67A8A0" wp14:editId="7FBCB0A7">
            <wp:extent cx="5574030" cy="2896870"/>
            <wp:effectExtent l="19050" t="19050" r="26670" b="1778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030" cy="2896870"/>
                    </a:xfrm>
                    <a:prstGeom prst="rect">
                      <a:avLst/>
                    </a:prstGeom>
                    <a:noFill/>
                    <a:ln w="12700">
                      <a:solidFill>
                        <a:schemeClr val="tx1"/>
                      </a:solidFill>
                      <a:miter lim="800000"/>
                    </a:ln>
                  </pic:spPr>
                </pic:pic>
              </a:graphicData>
            </a:graphic>
          </wp:inline>
        </w:drawing>
      </w:r>
    </w:p>
    <w:p w:rsidR="002C7AD8" w:rsidRPr="002C7AD8" w:rsidRDefault="002C7AD8" w:rsidP="002C7AD8">
      <w:pPr>
        <w:pStyle w:val="FigureNo"/>
        <w:rPr>
          <w:lang w:val="en-US"/>
        </w:rPr>
      </w:pPr>
      <w:r w:rsidRPr="002C7AD8">
        <w:rPr>
          <w:lang w:val="en-US"/>
        </w:rPr>
        <w:lastRenderedPageBreak/>
        <w:t>Figure 4</w:t>
      </w:r>
    </w:p>
    <w:p w:rsidR="002C7AD8" w:rsidRPr="002C7AD8" w:rsidRDefault="002C7AD8" w:rsidP="002C7AD8">
      <w:pPr>
        <w:pStyle w:val="Figuretitle"/>
        <w:rPr>
          <w:lang w:val="en-US"/>
        </w:rPr>
      </w:pPr>
      <w:r w:rsidRPr="002C7AD8">
        <w:rPr>
          <w:lang w:val="en-US"/>
        </w:rPr>
        <w:t>Distribution of the interfering field strength at the test points of Example 2</w:t>
      </w:r>
      <w:r w:rsidRPr="002C7AD8">
        <w:rPr>
          <w:lang w:val="en-US"/>
        </w:rPr>
        <w:br/>
        <w:t>for single interferer and cumulative interference</w:t>
      </w:r>
    </w:p>
    <w:p w:rsidR="002C7AD8" w:rsidRPr="00B5219D" w:rsidRDefault="002C7AD8" w:rsidP="002C7AD8">
      <w:pPr>
        <w:pStyle w:val="Figure"/>
      </w:pPr>
      <w:r w:rsidRPr="00B5219D">
        <w:rPr>
          <w:noProof/>
          <w:lang w:val="en-US" w:eastAsia="zh-CN"/>
        </w:rPr>
        <w:drawing>
          <wp:inline distT="0" distB="0" distL="0" distR="0" wp14:anchorId="04D1EF28" wp14:editId="04D08802">
            <wp:extent cx="5553710" cy="2977515"/>
            <wp:effectExtent l="19050" t="19050" r="27940" b="1333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710" cy="2977515"/>
                    </a:xfrm>
                    <a:prstGeom prst="rect">
                      <a:avLst/>
                    </a:prstGeom>
                    <a:noFill/>
                    <a:ln w="12700">
                      <a:solidFill>
                        <a:srgbClr val="000000"/>
                      </a:solidFill>
                      <a:miter lim="800000"/>
                    </a:ln>
                  </pic:spPr>
                </pic:pic>
              </a:graphicData>
            </a:graphic>
          </wp:inline>
        </w:drawing>
      </w:r>
    </w:p>
    <w:p w:rsidR="002C7AD8" w:rsidRPr="002C7AD8" w:rsidRDefault="002C7AD8" w:rsidP="000A2AC7">
      <w:pPr>
        <w:rPr>
          <w:lang w:val="en-US"/>
        </w:rPr>
      </w:pPr>
      <w:r w:rsidRPr="002C7AD8">
        <w:rPr>
          <w:lang w:val="en-US"/>
        </w:rPr>
        <w:t>The resulting distribution of the increments of the total strength of the interfering field with respect to the maximum field strength of the interfering signal from one station is shown in Fig</w:t>
      </w:r>
      <w:r w:rsidR="000A2AC7">
        <w:rPr>
          <w:lang w:val="en-US"/>
        </w:rPr>
        <w:t>s</w:t>
      </w:r>
      <w:r w:rsidRPr="002C7AD8">
        <w:rPr>
          <w:lang w:val="en-US"/>
        </w:rPr>
        <w:t xml:space="preserve"> 5 and 6. Figures 5 and 6 show the results for the case of using an omnidirectional receiving antenna.</w:t>
      </w:r>
    </w:p>
    <w:p w:rsidR="002C7AD8" w:rsidRPr="002C7AD8" w:rsidRDefault="002C7AD8" w:rsidP="002C7AD8">
      <w:pPr>
        <w:pStyle w:val="FigureNo"/>
        <w:rPr>
          <w:lang w:val="en-US"/>
        </w:rPr>
      </w:pPr>
      <w:r w:rsidRPr="002C7AD8">
        <w:rPr>
          <w:lang w:val="en-US"/>
        </w:rPr>
        <w:t>Figure 5</w:t>
      </w:r>
    </w:p>
    <w:p w:rsidR="002C7AD8" w:rsidRPr="002C7AD8" w:rsidRDefault="002C7AD8" w:rsidP="002C7AD8">
      <w:pPr>
        <w:pStyle w:val="Figuretitle"/>
        <w:rPr>
          <w:lang w:val="en-US"/>
        </w:rPr>
      </w:pPr>
      <w:r w:rsidRPr="002C7AD8">
        <w:rPr>
          <w:lang w:val="en-US"/>
        </w:rPr>
        <w:t>Distribution of difference in interfering field strength from IMT base stations when comparing single interference with cumulative interference in Example 1</w:t>
      </w:r>
    </w:p>
    <w:p w:rsidR="002C7AD8" w:rsidRPr="00B5219D" w:rsidRDefault="002C7AD8" w:rsidP="002C7AD8">
      <w:pPr>
        <w:pStyle w:val="Figure"/>
      </w:pPr>
      <w:r w:rsidRPr="00B5219D">
        <w:rPr>
          <w:noProof/>
          <w:lang w:val="en-US" w:eastAsia="zh-CN"/>
        </w:rPr>
        <w:drawing>
          <wp:inline distT="0" distB="0" distL="0" distR="0" wp14:anchorId="4EFE6A3A" wp14:editId="113E0113">
            <wp:extent cx="5608955" cy="3211195"/>
            <wp:effectExtent l="19050" t="19050" r="10795" b="2730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955" cy="3211195"/>
                    </a:xfrm>
                    <a:prstGeom prst="rect">
                      <a:avLst/>
                    </a:prstGeom>
                    <a:noFill/>
                    <a:ln w="12700" cmpd="sng">
                      <a:solidFill>
                        <a:srgbClr val="000000"/>
                      </a:solidFill>
                      <a:miter lim="800000"/>
                      <a:headEnd/>
                      <a:tailEnd/>
                    </a:ln>
                    <a:effectLst/>
                  </pic:spPr>
                </pic:pic>
              </a:graphicData>
            </a:graphic>
          </wp:inline>
        </w:drawing>
      </w:r>
    </w:p>
    <w:p w:rsidR="002C7AD8" w:rsidRPr="002C7AD8" w:rsidRDefault="002C7AD8" w:rsidP="002C7AD8">
      <w:pPr>
        <w:pStyle w:val="FigureNo"/>
        <w:rPr>
          <w:lang w:val="en-US"/>
        </w:rPr>
      </w:pPr>
      <w:r w:rsidRPr="002C7AD8">
        <w:rPr>
          <w:lang w:val="en-US"/>
        </w:rPr>
        <w:lastRenderedPageBreak/>
        <w:t>Figure 6</w:t>
      </w:r>
    </w:p>
    <w:p w:rsidR="002C7AD8" w:rsidRPr="002C7AD8" w:rsidRDefault="002C7AD8" w:rsidP="002C7AD8">
      <w:pPr>
        <w:pStyle w:val="Figuretitle"/>
        <w:rPr>
          <w:lang w:val="en-US"/>
        </w:rPr>
      </w:pPr>
      <w:r w:rsidRPr="002C7AD8">
        <w:rPr>
          <w:lang w:val="en-US"/>
        </w:rPr>
        <w:t>Distribution of difference in interfering field strength from IMT base stations when comparing single interference with cumulative interference in Example 2</w:t>
      </w:r>
    </w:p>
    <w:p w:rsidR="002C7AD8" w:rsidRPr="00B5219D" w:rsidRDefault="002C7AD8" w:rsidP="002C7AD8">
      <w:pPr>
        <w:pStyle w:val="Figure"/>
      </w:pPr>
      <w:r w:rsidRPr="00B5219D">
        <w:rPr>
          <w:noProof/>
          <w:lang w:val="en-US" w:eastAsia="zh-CN"/>
        </w:rPr>
        <w:drawing>
          <wp:inline distT="0" distB="0" distL="0" distR="0" wp14:anchorId="12BBECC1" wp14:editId="4E765A17">
            <wp:extent cx="5539740" cy="2924175"/>
            <wp:effectExtent l="19050" t="19050" r="22860" b="2857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9740" cy="2924175"/>
                    </a:xfrm>
                    <a:prstGeom prst="rect">
                      <a:avLst/>
                    </a:prstGeom>
                    <a:noFill/>
                    <a:ln w="12700" cmpd="sng">
                      <a:solidFill>
                        <a:srgbClr val="000000"/>
                      </a:solidFill>
                      <a:miter lim="800000"/>
                      <a:headEnd/>
                      <a:tailEnd/>
                    </a:ln>
                    <a:effectLst/>
                  </pic:spPr>
                </pic:pic>
              </a:graphicData>
            </a:graphic>
          </wp:inline>
        </w:drawing>
      </w:r>
    </w:p>
    <w:p w:rsidR="005E6966" w:rsidRDefault="005E6966">
      <w:pPr>
        <w:jc w:val="center"/>
      </w:pPr>
    </w:p>
    <w:p w:rsidR="005E6966" w:rsidRDefault="005E6966">
      <w:pPr>
        <w:jc w:val="center"/>
      </w:pPr>
    </w:p>
    <w:p w:rsidR="005E6966" w:rsidRDefault="005E6966">
      <w:pPr>
        <w:jc w:val="center"/>
      </w:pPr>
    </w:p>
    <w:p w:rsidR="005E6966" w:rsidRDefault="005E6966">
      <w:pPr>
        <w:jc w:val="center"/>
      </w:pPr>
    </w:p>
    <w:p w:rsidR="005E6966" w:rsidRDefault="005E6966" w:rsidP="005E6966">
      <w:pPr>
        <w:pStyle w:val="Line"/>
      </w:pPr>
    </w:p>
    <w:sectPr w:rsidR="005E6966" w:rsidSect="009F0D75">
      <w:headerReference w:type="even" r:id="rId24"/>
      <w:head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27" w:rsidRDefault="009A2427">
      <w:r>
        <w:separator/>
      </w:r>
    </w:p>
  </w:endnote>
  <w:endnote w:type="continuationSeparator" w:id="0">
    <w:p w:rsidR="009A2427" w:rsidRDefault="009A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27" w:rsidRDefault="009A2427">
      <w:r>
        <w:separator/>
      </w:r>
    </w:p>
  </w:footnote>
  <w:footnote w:type="continuationSeparator" w:id="0">
    <w:p w:rsidR="009A2427" w:rsidRDefault="009A2427">
      <w:r>
        <w:continuationSeparator/>
      </w:r>
    </w:p>
  </w:footnote>
  <w:footnote w:id="1">
    <w:p w:rsidR="009F2D6A" w:rsidRDefault="009F2D6A" w:rsidP="009F2D6A">
      <w:pPr>
        <w:pStyle w:val="FootnoteText"/>
        <w:rPr>
          <w:lang w:val="en-US"/>
        </w:rPr>
      </w:pPr>
      <w:r>
        <w:rPr>
          <w:rStyle w:val="FootnoteReference"/>
        </w:rPr>
        <w:footnoteRef/>
      </w:r>
      <w:r>
        <w:rPr>
          <w:lang w:val="en-US"/>
        </w:rPr>
        <w:tab/>
        <w:t>This Report was approved jointly by Radiocommunication Study Groups 5 and 6, and any future revision should also be undertaken jointly</w:t>
      </w:r>
      <w:r>
        <w:rPr>
          <w:lang w:val="en-US" w:eastAsia="ja-JP"/>
        </w:rPr>
        <w:t>.</w:t>
      </w:r>
    </w:p>
  </w:footnote>
  <w:footnote w:id="2">
    <w:p w:rsidR="002C7AD8" w:rsidRPr="00B5219D" w:rsidRDefault="002C7AD8" w:rsidP="00F33681">
      <w:pPr>
        <w:pStyle w:val="FootnoteText"/>
        <w:rPr>
          <w:lang w:val="en-US"/>
        </w:rPr>
      </w:pPr>
      <w:r w:rsidRPr="002C7AD8">
        <w:rPr>
          <w:rStyle w:val="FootnoteReference"/>
          <w:lang w:val="en-US"/>
        </w:rPr>
        <w:t>1</w:t>
      </w:r>
      <w:r w:rsidRPr="002C7AD8">
        <w:rPr>
          <w:lang w:val="en-US"/>
        </w:rPr>
        <w:t xml:space="preserve"> </w:t>
      </w:r>
      <w:r w:rsidRPr="002C7AD8">
        <w:rPr>
          <w:lang w:val="en-US"/>
        </w:rPr>
        <w:tab/>
        <w:t xml:space="preserve">Using an </w:t>
      </w:r>
      <w:r>
        <w:rPr>
          <w:lang w:val="en-US" w:eastAsia="fr-FR"/>
        </w:rPr>
        <w:t>a</w:t>
      </w:r>
      <w:r w:rsidRPr="00636007">
        <w:rPr>
          <w:lang w:val="en-US" w:eastAsia="fr-FR"/>
        </w:rPr>
        <w:t>nten</w:t>
      </w:r>
      <w:r>
        <w:rPr>
          <w:lang w:val="en-US" w:eastAsia="fr-FR"/>
        </w:rPr>
        <w:t xml:space="preserve">na height gain correction = </w:t>
      </w:r>
      <w:r w:rsidRPr="00636007">
        <w:rPr>
          <w:lang w:val="en-US" w:eastAsia="fr-FR"/>
        </w:rPr>
        <w:t>10</w:t>
      </w:r>
      <w:r>
        <w:rPr>
          <w:lang w:val="en-US" w:eastAsia="fr-FR"/>
        </w:rPr>
        <w:t xml:space="preserve"> dB assumption from MA02revCO07 Annex 2 </w:t>
      </w:r>
      <w:r w:rsidR="00F33681">
        <w:rPr>
          <w:lang w:val="en-US"/>
        </w:rPr>
        <w:t>§</w:t>
      </w:r>
      <w:r>
        <w:rPr>
          <w:lang w:val="en-US" w:eastAsia="fr-FR"/>
        </w:rPr>
        <w:t> 2.2.3.</w:t>
      </w:r>
    </w:p>
  </w:footnote>
  <w:footnote w:id="3">
    <w:p w:rsidR="002C7AD8" w:rsidRPr="00B5219D" w:rsidRDefault="002C7AD8" w:rsidP="00F33681">
      <w:pPr>
        <w:pStyle w:val="FootnoteText"/>
        <w:rPr>
          <w:lang w:val="en-US"/>
        </w:rPr>
      </w:pPr>
      <w:r w:rsidRPr="002C7AD8">
        <w:rPr>
          <w:rStyle w:val="FootnoteReference"/>
          <w:lang w:val="en-US"/>
        </w:rPr>
        <w:t>2</w:t>
      </w:r>
      <w:r w:rsidRPr="002C7AD8">
        <w:rPr>
          <w:lang w:val="en-US"/>
        </w:rPr>
        <w:t xml:space="preserve"> </w:t>
      </w:r>
      <w:r w:rsidRPr="002C7AD8">
        <w:rPr>
          <w:lang w:val="en-US"/>
        </w:rPr>
        <w:tab/>
        <w:t xml:space="preserve">Using an antenna height gain correction = 10 dB assumption from MA02revCO07 Annex 2 </w:t>
      </w:r>
      <w:r w:rsidR="00F33681">
        <w:rPr>
          <w:lang w:val="en-US"/>
        </w:rPr>
        <w:t>§</w:t>
      </w:r>
      <w:r w:rsidRPr="002C7AD8">
        <w:rPr>
          <w:lang w:val="en-US"/>
        </w:rPr>
        <w:t> 2.2.3.</w:t>
      </w:r>
    </w:p>
  </w:footnote>
  <w:footnote w:id="4">
    <w:p w:rsidR="002C7AD8" w:rsidRPr="00B5219D" w:rsidRDefault="002C7AD8" w:rsidP="00F33681">
      <w:pPr>
        <w:pStyle w:val="FootnoteText"/>
        <w:rPr>
          <w:lang w:val="en-US"/>
        </w:rPr>
      </w:pPr>
      <w:r w:rsidRPr="002C7AD8">
        <w:rPr>
          <w:rStyle w:val="FootnoteReference"/>
          <w:lang w:val="en-US"/>
        </w:rPr>
        <w:t>3</w:t>
      </w:r>
      <w:r w:rsidRPr="002C7AD8">
        <w:rPr>
          <w:lang w:val="en-US"/>
        </w:rPr>
        <w:t xml:space="preserve"> </w:t>
      </w:r>
      <w:r w:rsidRPr="002C7AD8">
        <w:rPr>
          <w:lang w:val="en-US"/>
        </w:rPr>
        <w:tab/>
        <w:t xml:space="preserve">Using an antenna height gain correction = 10 dB assumption from MA02revCO07 Annex 2 </w:t>
      </w:r>
      <w:r w:rsidR="00F33681">
        <w:rPr>
          <w:lang w:val="en-US"/>
        </w:rPr>
        <w:t>§</w:t>
      </w:r>
      <w:r w:rsidRPr="002C7AD8">
        <w:rPr>
          <w:lang w:val="en-US"/>
        </w:rPr>
        <w:t> 2.2.3.</w:t>
      </w:r>
    </w:p>
  </w:footnote>
  <w:footnote w:id="5">
    <w:p w:rsidR="002C7AD8" w:rsidRPr="00B5219D" w:rsidRDefault="002C7AD8" w:rsidP="002C7AD8">
      <w:pPr>
        <w:pStyle w:val="FootnoteText"/>
        <w:rPr>
          <w:lang w:val="en-US"/>
        </w:rPr>
      </w:pPr>
      <w:r w:rsidRPr="002C7AD8">
        <w:rPr>
          <w:rStyle w:val="FootnoteReference"/>
          <w:lang w:val="en-US"/>
        </w:rPr>
        <w:t>4</w:t>
      </w:r>
      <w:r w:rsidRPr="002C7AD8">
        <w:rPr>
          <w:lang w:val="en-US"/>
        </w:rPr>
        <w:tab/>
      </w:r>
      <w:hyperlink r:id="rId1" w:history="1">
        <w:r w:rsidRPr="002C7AD8">
          <w:rPr>
            <w:rStyle w:val="Hyperlink"/>
            <w:lang w:val="en-US"/>
          </w:rPr>
          <w:t>ECC PT1(14)077_A13</w:t>
        </w:r>
      </w:hyperlink>
      <w:r w:rsidRPr="002C7AD8">
        <w:rPr>
          <w:lang w:val="en-US"/>
        </w:rPr>
        <w:t>: Trigger values for cross border coordination.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320" w:rsidRPr="00DA4BD1" w:rsidRDefault="00023AE7" w:rsidP="00C40320">
    <w:pPr>
      <w:pStyle w:val="Header"/>
      <w:jc w:val="both"/>
      <w:rPr>
        <w:lang w:val="en-US"/>
      </w:rPr>
    </w:pPr>
    <w:r w:rsidRPr="00C40320">
      <w:rPr>
        <w:b/>
        <w:bCs/>
      </w:rPr>
      <w:fldChar w:fldCharType="begin"/>
    </w:r>
    <w:r w:rsidR="00C40320" w:rsidRPr="00C40320">
      <w:rPr>
        <w:b/>
        <w:bCs/>
        <w:lang w:val="en-US"/>
      </w:rPr>
      <w:instrText xml:space="preserve"> PAGE </w:instrText>
    </w:r>
    <w:r w:rsidRPr="00C40320">
      <w:rPr>
        <w:b/>
        <w:bCs/>
      </w:rPr>
      <w:fldChar w:fldCharType="separate"/>
    </w:r>
    <w:r w:rsidR="000768FE">
      <w:rPr>
        <w:b/>
        <w:bCs/>
        <w:noProof/>
        <w:lang w:val="en-US"/>
      </w:rPr>
      <w:t>ii</w:t>
    </w:r>
    <w:r w:rsidRPr="00C40320">
      <w:fldChar w:fldCharType="end"/>
    </w:r>
    <w:r w:rsidR="00C40320" w:rsidRPr="00C40320">
      <w:rPr>
        <w:lang w:val="en-US"/>
      </w:rPr>
      <w:tab/>
    </w:r>
    <w:r w:rsidR="00C879AC">
      <w:fldChar w:fldCharType="begin"/>
    </w:r>
    <w:r w:rsidR="00C879AC" w:rsidRPr="00DA4BD1">
      <w:rPr>
        <w:lang w:val="en-US"/>
      </w:rPr>
      <w:instrText xml:space="preserve"> DOCPROPERTY "Header 2" \* MERGEFORMAT </w:instrText>
    </w:r>
    <w:r w:rsidR="00C879AC">
      <w:fldChar w:fldCharType="separate"/>
    </w:r>
    <w:r w:rsidR="000768FE" w:rsidRPr="000768FE">
      <w:rPr>
        <w:b/>
        <w:bCs/>
        <w:lang w:val="en-US"/>
      </w:rPr>
      <w:t xml:space="preserve">Rep. </w:t>
    </w:r>
    <w:r w:rsidR="00C879AC">
      <w:rPr>
        <w:b/>
        <w:bCs/>
        <w:lang w:val="en-US"/>
      </w:rPr>
      <w:fldChar w:fldCharType="end"/>
    </w:r>
    <w:r w:rsidR="00C40320" w:rsidRPr="00DA4BD1">
      <w:rPr>
        <w:b/>
        <w:bCs/>
        <w:lang w:val="en-US"/>
      </w:rPr>
      <w:t xml:space="preserve"> </w:t>
    </w:r>
    <w:r w:rsidRPr="00C40320">
      <w:rPr>
        <w:b/>
        <w:bCs/>
      </w:rPr>
      <w:fldChar w:fldCharType="begin"/>
    </w:r>
    <w:r w:rsidR="00C40320" w:rsidRPr="00C40320">
      <w:rPr>
        <w:b/>
        <w:bCs/>
        <w:lang w:val="en-US"/>
      </w:rPr>
      <w:instrText>styleref href</w:instrText>
    </w:r>
    <w:r w:rsidRPr="00C40320">
      <w:rPr>
        <w:b/>
        <w:bCs/>
      </w:rPr>
      <w:fldChar w:fldCharType="separate"/>
    </w:r>
    <w:r w:rsidR="000768FE">
      <w:rPr>
        <w:b/>
        <w:bCs/>
        <w:noProof/>
      </w:rPr>
      <w:t>ITU-R  BS.2340-0</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660FD2" w:rsidP="00B033C8">
    <w:pPr>
      <w:pStyle w:val="Header"/>
      <w:ind w:right="360" w:firstLine="360"/>
    </w:pPr>
    <w:r>
      <w:rPr>
        <w:noProof/>
        <w:lang w:val="en-US" w:eastAsia="zh-CN"/>
      </w:rPr>
      <w:drawing>
        <wp:anchor distT="0" distB="0" distL="114300" distR="114300" simplePos="0" relativeHeight="251658752" behindDoc="0" locked="0" layoutInCell="1" allowOverlap="1" wp14:anchorId="3BB36880" wp14:editId="6CBCC8B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9C447B">
      <w:rPr>
        <w:noProof/>
        <w:lang w:val="en-US" w:eastAsia="zh-CN"/>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5E3779" w:rsidP="00D11647">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0768FE">
      <w:rPr>
        <w:rStyle w:val="PageNumber"/>
        <w:b/>
        <w:bCs/>
        <w:noProof/>
        <w:lang w:val="en-US"/>
      </w:rPr>
      <w:t>10</w:t>
    </w:r>
    <w:r>
      <w:rPr>
        <w:rStyle w:val="PageNumber"/>
        <w:b/>
        <w:bCs/>
      </w:rPr>
      <w:fldChar w:fldCharType="end"/>
    </w:r>
    <w:r w:rsidR="002B32C9">
      <w:rPr>
        <w:lang w:val="en-US"/>
      </w:rPr>
      <w:tab/>
    </w:r>
    <w:r w:rsidR="00D11647">
      <w:fldChar w:fldCharType="begin"/>
    </w:r>
    <w:r w:rsidR="00D11647">
      <w:instrText xml:space="preserve"> DOCPROPERTY "Header 2" \* MERGEFORMAT </w:instrText>
    </w:r>
    <w:r w:rsidR="00D11647">
      <w:fldChar w:fldCharType="separate"/>
    </w:r>
    <w:r w:rsidR="000768FE" w:rsidRPr="000768FE">
      <w:rPr>
        <w:b/>
        <w:bCs/>
        <w:lang w:val="en-US"/>
      </w:rPr>
      <w:t xml:space="preserve">Rep. </w:t>
    </w:r>
    <w:r w:rsidR="00D11647">
      <w:rPr>
        <w:b/>
        <w:bCs/>
        <w:lang w:val="en-US"/>
      </w:rPr>
      <w:fldChar w:fldCharType="end"/>
    </w:r>
    <w:r w:rsidR="00D11647" w:rsidRPr="00A62DAA">
      <w:rPr>
        <w:b/>
        <w:bCs/>
      </w:rPr>
      <w:t xml:space="preserve"> </w:t>
    </w:r>
    <w:r w:rsidR="00D11647" w:rsidRPr="00A62DAA">
      <w:rPr>
        <w:b/>
        <w:bCs/>
      </w:rPr>
      <w:fldChar w:fldCharType="begin"/>
    </w:r>
    <w:r w:rsidR="00D11647" w:rsidRPr="00A62DAA">
      <w:rPr>
        <w:b/>
        <w:bCs/>
        <w:lang w:val="en-US"/>
      </w:rPr>
      <w:instrText>styleref href</w:instrText>
    </w:r>
    <w:r w:rsidR="00D11647" w:rsidRPr="00A62DAA">
      <w:rPr>
        <w:b/>
        <w:bCs/>
      </w:rPr>
      <w:fldChar w:fldCharType="separate"/>
    </w:r>
    <w:r w:rsidR="000768FE">
      <w:rPr>
        <w:b/>
        <w:bCs/>
        <w:noProof/>
      </w:rPr>
      <w:t>ITU-R  BS.2340-0</w:t>
    </w:r>
    <w:r w:rsidR="00D11647" w:rsidRPr="00A62DAA">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AA" w:rsidRPr="00A62DAA" w:rsidRDefault="005E3779" w:rsidP="002D4C7E">
    <w:pPr>
      <w:pStyle w:val="Header"/>
      <w:jc w:val="both"/>
    </w:pPr>
    <w:r w:rsidRPr="00A62DAA">
      <w:rPr>
        <w:lang w:val="en-US"/>
      </w:rPr>
      <w:tab/>
    </w:r>
    <w:r w:rsidR="000768FE">
      <w:fldChar w:fldCharType="begin"/>
    </w:r>
    <w:r w:rsidR="000768FE">
      <w:instrText xml:space="preserve"> DOCPROPERTY "Header </w:instrText>
    </w:r>
    <w:r w:rsidR="000768FE">
      <w:instrText xml:space="preserve">2" \* MERGEFORMAT </w:instrText>
    </w:r>
    <w:r w:rsidR="000768FE">
      <w:fldChar w:fldCharType="separate"/>
    </w:r>
    <w:r w:rsidR="000768FE" w:rsidRPr="000768FE">
      <w:rPr>
        <w:b/>
        <w:bCs/>
        <w:lang w:val="en-US"/>
      </w:rPr>
      <w:t xml:space="preserve">Rep. </w:t>
    </w:r>
    <w:r w:rsidR="000768FE">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0768FE">
      <w:rPr>
        <w:b/>
        <w:bCs/>
        <w:noProof/>
      </w:rPr>
      <w:t>ITU-R  BS.2340-0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0768FE">
      <w:rPr>
        <w:b/>
        <w:bCs/>
        <w:noProof/>
        <w:lang w:val="en-US"/>
      </w:rPr>
      <w:t>11</w:t>
    </w:r>
    <w:r w:rsidRPr="00A62DA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50D41"/>
    <w:rsid w:val="00072484"/>
    <w:rsid w:val="000768FE"/>
    <w:rsid w:val="00081C0B"/>
    <w:rsid w:val="0009150E"/>
    <w:rsid w:val="00096612"/>
    <w:rsid w:val="000A2AC7"/>
    <w:rsid w:val="000B7683"/>
    <w:rsid w:val="000B7B53"/>
    <w:rsid w:val="000C0413"/>
    <w:rsid w:val="000C0F48"/>
    <w:rsid w:val="000C1AC4"/>
    <w:rsid w:val="000C3624"/>
    <w:rsid w:val="000E4FD1"/>
    <w:rsid w:val="000E766F"/>
    <w:rsid w:val="000F3C25"/>
    <w:rsid w:val="000F6FC4"/>
    <w:rsid w:val="00102934"/>
    <w:rsid w:val="00147110"/>
    <w:rsid w:val="001A2A6D"/>
    <w:rsid w:val="001A5259"/>
    <w:rsid w:val="001C70F6"/>
    <w:rsid w:val="001D40A7"/>
    <w:rsid w:val="001E2FCA"/>
    <w:rsid w:val="00201545"/>
    <w:rsid w:val="002058CE"/>
    <w:rsid w:val="00205B40"/>
    <w:rsid w:val="00205EEB"/>
    <w:rsid w:val="002165F1"/>
    <w:rsid w:val="00241491"/>
    <w:rsid w:val="0024477F"/>
    <w:rsid w:val="002463A2"/>
    <w:rsid w:val="00247681"/>
    <w:rsid w:val="002558DC"/>
    <w:rsid w:val="00276D21"/>
    <w:rsid w:val="00280CD5"/>
    <w:rsid w:val="00283781"/>
    <w:rsid w:val="00290C26"/>
    <w:rsid w:val="00296D7F"/>
    <w:rsid w:val="00297D43"/>
    <w:rsid w:val="002B32C9"/>
    <w:rsid w:val="002B3CF6"/>
    <w:rsid w:val="002C768A"/>
    <w:rsid w:val="002C7AD8"/>
    <w:rsid w:val="002D1160"/>
    <w:rsid w:val="002D76C4"/>
    <w:rsid w:val="002E75CD"/>
    <w:rsid w:val="002F0771"/>
    <w:rsid w:val="00351573"/>
    <w:rsid w:val="00354545"/>
    <w:rsid w:val="003571CE"/>
    <w:rsid w:val="00357282"/>
    <w:rsid w:val="00362ED1"/>
    <w:rsid w:val="00382E8A"/>
    <w:rsid w:val="00393366"/>
    <w:rsid w:val="003E2FD7"/>
    <w:rsid w:val="00416C94"/>
    <w:rsid w:val="00420DFD"/>
    <w:rsid w:val="004319C1"/>
    <w:rsid w:val="004374A1"/>
    <w:rsid w:val="00470E28"/>
    <w:rsid w:val="004720FC"/>
    <w:rsid w:val="004934C5"/>
    <w:rsid w:val="004961CC"/>
    <w:rsid w:val="00497090"/>
    <w:rsid w:val="004A04BD"/>
    <w:rsid w:val="005026D9"/>
    <w:rsid w:val="00505FB4"/>
    <w:rsid w:val="00526063"/>
    <w:rsid w:val="00556548"/>
    <w:rsid w:val="005600C9"/>
    <w:rsid w:val="00586EF8"/>
    <w:rsid w:val="005A7915"/>
    <w:rsid w:val="005A791E"/>
    <w:rsid w:val="005B49AB"/>
    <w:rsid w:val="005B50E7"/>
    <w:rsid w:val="005E3779"/>
    <w:rsid w:val="005E6966"/>
    <w:rsid w:val="005E6D20"/>
    <w:rsid w:val="005E7B4F"/>
    <w:rsid w:val="005F40E7"/>
    <w:rsid w:val="00605168"/>
    <w:rsid w:val="00607D68"/>
    <w:rsid w:val="00614006"/>
    <w:rsid w:val="006149B1"/>
    <w:rsid w:val="006255D8"/>
    <w:rsid w:val="00660FD2"/>
    <w:rsid w:val="00670A36"/>
    <w:rsid w:val="00680D2B"/>
    <w:rsid w:val="00681B32"/>
    <w:rsid w:val="006903BA"/>
    <w:rsid w:val="006A1F02"/>
    <w:rsid w:val="006C454F"/>
    <w:rsid w:val="006E2037"/>
    <w:rsid w:val="006F2B77"/>
    <w:rsid w:val="00712870"/>
    <w:rsid w:val="00740FB1"/>
    <w:rsid w:val="00743D85"/>
    <w:rsid w:val="0074518F"/>
    <w:rsid w:val="00752FD3"/>
    <w:rsid w:val="00753CF4"/>
    <w:rsid w:val="007565CC"/>
    <w:rsid w:val="0076144B"/>
    <w:rsid w:val="00763B9A"/>
    <w:rsid w:val="00771ECC"/>
    <w:rsid w:val="007A4F79"/>
    <w:rsid w:val="007A6AA8"/>
    <w:rsid w:val="007B203C"/>
    <w:rsid w:val="007C2459"/>
    <w:rsid w:val="007D485B"/>
    <w:rsid w:val="007E69C7"/>
    <w:rsid w:val="00806F62"/>
    <w:rsid w:val="00811FBD"/>
    <w:rsid w:val="008310C9"/>
    <w:rsid w:val="00836298"/>
    <w:rsid w:val="00853457"/>
    <w:rsid w:val="00870342"/>
    <w:rsid w:val="0087251C"/>
    <w:rsid w:val="008815AC"/>
    <w:rsid w:val="008B2CC6"/>
    <w:rsid w:val="008C6C50"/>
    <w:rsid w:val="008C7848"/>
    <w:rsid w:val="008D3D8D"/>
    <w:rsid w:val="008E0156"/>
    <w:rsid w:val="009030CC"/>
    <w:rsid w:val="0090499B"/>
    <w:rsid w:val="0091311D"/>
    <w:rsid w:val="00915923"/>
    <w:rsid w:val="00917AF2"/>
    <w:rsid w:val="0092418A"/>
    <w:rsid w:val="00927E21"/>
    <w:rsid w:val="00934ED7"/>
    <w:rsid w:val="00942AB9"/>
    <w:rsid w:val="009474D9"/>
    <w:rsid w:val="0095071D"/>
    <w:rsid w:val="009543C3"/>
    <w:rsid w:val="00966E1B"/>
    <w:rsid w:val="009A2427"/>
    <w:rsid w:val="009A2D5C"/>
    <w:rsid w:val="009A351D"/>
    <w:rsid w:val="009B25D7"/>
    <w:rsid w:val="009C447B"/>
    <w:rsid w:val="009F2D2C"/>
    <w:rsid w:val="009F2D6A"/>
    <w:rsid w:val="00A0156D"/>
    <w:rsid w:val="00A03EBF"/>
    <w:rsid w:val="00A54559"/>
    <w:rsid w:val="00A6273B"/>
    <w:rsid w:val="00A6617B"/>
    <w:rsid w:val="00A71FE5"/>
    <w:rsid w:val="00AA3AD8"/>
    <w:rsid w:val="00AB0DC8"/>
    <w:rsid w:val="00AC3946"/>
    <w:rsid w:val="00AD26B8"/>
    <w:rsid w:val="00B033C8"/>
    <w:rsid w:val="00B036D9"/>
    <w:rsid w:val="00B20543"/>
    <w:rsid w:val="00B257C1"/>
    <w:rsid w:val="00B33425"/>
    <w:rsid w:val="00B36C39"/>
    <w:rsid w:val="00B44E24"/>
    <w:rsid w:val="00B47809"/>
    <w:rsid w:val="00B54ECC"/>
    <w:rsid w:val="00B567BC"/>
    <w:rsid w:val="00B61918"/>
    <w:rsid w:val="00B714F3"/>
    <w:rsid w:val="00B75A37"/>
    <w:rsid w:val="00B90EC8"/>
    <w:rsid w:val="00BC5D77"/>
    <w:rsid w:val="00BC6FC2"/>
    <w:rsid w:val="00BD3F5C"/>
    <w:rsid w:val="00BD483E"/>
    <w:rsid w:val="00BE5B84"/>
    <w:rsid w:val="00BF15C3"/>
    <w:rsid w:val="00BF487A"/>
    <w:rsid w:val="00C32061"/>
    <w:rsid w:val="00C40320"/>
    <w:rsid w:val="00C46BD9"/>
    <w:rsid w:val="00C55258"/>
    <w:rsid w:val="00C728FC"/>
    <w:rsid w:val="00C73560"/>
    <w:rsid w:val="00C7761D"/>
    <w:rsid w:val="00C879AC"/>
    <w:rsid w:val="00C93B65"/>
    <w:rsid w:val="00CA48E6"/>
    <w:rsid w:val="00CB0F14"/>
    <w:rsid w:val="00CB47A0"/>
    <w:rsid w:val="00CB60A4"/>
    <w:rsid w:val="00CC64A6"/>
    <w:rsid w:val="00CD58B5"/>
    <w:rsid w:val="00CD659B"/>
    <w:rsid w:val="00CD7A62"/>
    <w:rsid w:val="00CF0D45"/>
    <w:rsid w:val="00CF34B5"/>
    <w:rsid w:val="00D0034D"/>
    <w:rsid w:val="00D05D7F"/>
    <w:rsid w:val="00D10CF1"/>
    <w:rsid w:val="00D11647"/>
    <w:rsid w:val="00D318B3"/>
    <w:rsid w:val="00D42383"/>
    <w:rsid w:val="00D503C9"/>
    <w:rsid w:val="00D50B43"/>
    <w:rsid w:val="00D57367"/>
    <w:rsid w:val="00D70F2F"/>
    <w:rsid w:val="00D722EF"/>
    <w:rsid w:val="00D73FBE"/>
    <w:rsid w:val="00D8150A"/>
    <w:rsid w:val="00D83331"/>
    <w:rsid w:val="00D91F7F"/>
    <w:rsid w:val="00DA4BD1"/>
    <w:rsid w:val="00DB4F6A"/>
    <w:rsid w:val="00DB5DB1"/>
    <w:rsid w:val="00DF087C"/>
    <w:rsid w:val="00DF4176"/>
    <w:rsid w:val="00E01421"/>
    <w:rsid w:val="00E12A8B"/>
    <w:rsid w:val="00E17240"/>
    <w:rsid w:val="00E1785F"/>
    <w:rsid w:val="00E17F96"/>
    <w:rsid w:val="00E400E9"/>
    <w:rsid w:val="00E6719E"/>
    <w:rsid w:val="00E7610E"/>
    <w:rsid w:val="00E83CDE"/>
    <w:rsid w:val="00ED683F"/>
    <w:rsid w:val="00F103A9"/>
    <w:rsid w:val="00F20231"/>
    <w:rsid w:val="00F2791E"/>
    <w:rsid w:val="00F30C9B"/>
    <w:rsid w:val="00F33681"/>
    <w:rsid w:val="00F354B1"/>
    <w:rsid w:val="00F545E6"/>
    <w:rsid w:val="00F72869"/>
    <w:rsid w:val="00F77437"/>
    <w:rsid w:val="00F90896"/>
    <w:rsid w:val="00FB0E4E"/>
    <w:rsid w:val="00FD66BC"/>
    <w:rsid w:val="00FE79FE"/>
    <w:rsid w:val="00FF2FF8"/>
    <w:rsid w:val="00FF3D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8913">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79AC"/>
    <w:pPr>
      <w:keepNext/>
      <w:keepLines/>
      <w:spacing w:before="480"/>
      <w:ind w:left="794" w:hanging="794"/>
      <w:outlineLvl w:val="0"/>
    </w:pPr>
    <w:rPr>
      <w:b/>
    </w:rPr>
  </w:style>
  <w:style w:type="paragraph" w:styleId="Heading2">
    <w:name w:val="heading 2"/>
    <w:basedOn w:val="Heading1"/>
    <w:next w:val="Normal"/>
    <w:qFormat/>
    <w:rsid w:val="00C879AC"/>
    <w:pPr>
      <w:spacing w:before="320"/>
      <w:outlineLvl w:val="1"/>
    </w:pPr>
  </w:style>
  <w:style w:type="paragraph" w:styleId="Heading3">
    <w:name w:val="heading 3"/>
    <w:basedOn w:val="Heading1"/>
    <w:next w:val="Normal"/>
    <w:qFormat/>
    <w:rsid w:val="00C879AC"/>
    <w:pPr>
      <w:spacing w:before="200"/>
      <w:outlineLvl w:val="2"/>
    </w:pPr>
  </w:style>
  <w:style w:type="paragraph" w:styleId="Heading4">
    <w:name w:val="heading 4"/>
    <w:basedOn w:val="Heading3"/>
    <w:next w:val="Normal"/>
    <w:qFormat/>
    <w:rsid w:val="00C879AC"/>
    <w:pPr>
      <w:tabs>
        <w:tab w:val="clear" w:pos="794"/>
        <w:tab w:val="left" w:pos="992"/>
      </w:tabs>
      <w:ind w:left="992" w:hanging="992"/>
      <w:outlineLvl w:val="3"/>
    </w:pPr>
  </w:style>
  <w:style w:type="paragraph" w:styleId="Heading5">
    <w:name w:val="heading 5"/>
    <w:basedOn w:val="Heading4"/>
    <w:next w:val="Normal"/>
    <w:qFormat/>
    <w:rsid w:val="00C879AC"/>
    <w:pPr>
      <w:outlineLvl w:val="4"/>
    </w:pPr>
  </w:style>
  <w:style w:type="paragraph" w:styleId="Heading6">
    <w:name w:val="heading 6"/>
    <w:basedOn w:val="Heading4"/>
    <w:next w:val="Normal"/>
    <w:qFormat/>
    <w:rsid w:val="00C879AC"/>
    <w:pPr>
      <w:tabs>
        <w:tab w:val="clear" w:pos="992"/>
        <w:tab w:val="clear" w:pos="1191"/>
      </w:tabs>
      <w:ind w:left="1588" w:hanging="1588"/>
      <w:outlineLvl w:val="5"/>
    </w:pPr>
  </w:style>
  <w:style w:type="paragraph" w:styleId="Heading7">
    <w:name w:val="heading 7"/>
    <w:basedOn w:val="Heading6"/>
    <w:next w:val="Normal"/>
    <w:qFormat/>
    <w:rsid w:val="00C879AC"/>
    <w:pPr>
      <w:outlineLvl w:val="6"/>
    </w:pPr>
  </w:style>
  <w:style w:type="paragraph" w:styleId="Heading8">
    <w:name w:val="heading 8"/>
    <w:basedOn w:val="Heading6"/>
    <w:next w:val="Normal"/>
    <w:qFormat/>
    <w:rsid w:val="00C879AC"/>
    <w:pPr>
      <w:outlineLvl w:val="7"/>
    </w:pPr>
  </w:style>
  <w:style w:type="paragraph" w:styleId="Heading9">
    <w:name w:val="heading 9"/>
    <w:basedOn w:val="Heading6"/>
    <w:next w:val="Normal"/>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link w:val="enumlev1Char"/>
    <w:rsid w:val="00C879AC"/>
    <w:pPr>
      <w:spacing w:before="80"/>
      <w:ind w:left="794" w:hanging="794"/>
    </w:pPr>
  </w:style>
  <w:style w:type="paragraph" w:customStyle="1" w:styleId="Equation">
    <w:name w:val="Equation"/>
    <w:basedOn w:val="Normal"/>
    <w:link w:val="EquationChar"/>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basedOn w:val="Normal"/>
    <w:link w:val="FootnoteTextChar"/>
    <w:uiPriority w:val="99"/>
    <w:qFormat/>
    <w:rsid w:val="00C879AC"/>
    <w:pPr>
      <w:keepLines/>
      <w:tabs>
        <w:tab w:val="left" w:pos="255"/>
      </w:tabs>
      <w:ind w:left="255" w:hanging="255"/>
    </w:pPr>
    <w:rPr>
      <w:sz w:val="22"/>
    </w:rPr>
  </w:style>
  <w:style w:type="paragraph" w:customStyle="1" w:styleId="Normalaftertitle">
    <w:name w:val="Normal_after_title"/>
    <w:basedOn w:val="Normal"/>
    <w:next w:val="Normal"/>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879AC"/>
    <w:pPr>
      <w:keepNext/>
      <w:keepLines/>
      <w:spacing w:before="480" w:after="80"/>
      <w:jc w:val="center"/>
    </w:pPr>
    <w:rPr>
      <w:caps/>
      <w:sz w:val="18"/>
    </w:rPr>
  </w:style>
  <w:style w:type="paragraph" w:customStyle="1" w:styleId="Figuretitle">
    <w:name w:val="Figure_title"/>
    <w:basedOn w:val="Normal"/>
    <w:next w:val="Figure"/>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879AC"/>
    <w:rPr>
      <w:position w:val="6"/>
      <w:sz w:val="18"/>
    </w:rPr>
  </w:style>
  <w:style w:type="paragraph" w:styleId="Index1">
    <w:name w:val="index 1"/>
    <w:basedOn w:val="Normal"/>
    <w:next w:val="Normal"/>
    <w:semiHidden/>
    <w:rsid w:val="00C879AC"/>
  </w:style>
  <w:style w:type="paragraph" w:styleId="Index2">
    <w:name w:val="index 2"/>
    <w:basedOn w:val="Normal"/>
    <w:next w:val="Normal"/>
    <w:semiHidden/>
    <w:rsid w:val="00C879AC"/>
    <w:pPr>
      <w:ind w:left="283"/>
    </w:pPr>
  </w:style>
  <w:style w:type="paragraph" w:styleId="Index3">
    <w:name w:val="index 3"/>
    <w:basedOn w:val="Normal"/>
    <w:next w:val="Normal"/>
    <w:semiHidden/>
    <w:rsid w:val="00C879AC"/>
    <w:pPr>
      <w:ind w:left="566"/>
    </w:pPr>
  </w:style>
  <w:style w:type="paragraph" w:styleId="IndexHeading">
    <w:name w:val="index heading"/>
    <w:basedOn w:val="Normal"/>
    <w:next w:val="Index1"/>
    <w:semiHidden/>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79AC"/>
    <w:pPr>
      <w:tabs>
        <w:tab w:val="clear" w:pos="794"/>
        <w:tab w:val="clear" w:pos="1191"/>
        <w:tab w:val="clear" w:pos="1588"/>
        <w:tab w:val="clear" w:pos="1985"/>
        <w:tab w:val="right" w:pos="9611"/>
      </w:tabs>
    </w:pPr>
    <w:rPr>
      <w:i/>
    </w:rPr>
  </w:style>
  <w:style w:type="paragraph" w:styleId="TOC1">
    <w:name w:val="toc 1"/>
    <w:basedOn w:val="Normal"/>
    <w:semiHidden/>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79AC"/>
    <w:pPr>
      <w:tabs>
        <w:tab w:val="clear" w:pos="567"/>
        <w:tab w:val="left" w:pos="1276"/>
      </w:tabs>
      <w:spacing w:before="160"/>
      <w:ind w:left="1276" w:hanging="709"/>
    </w:pPr>
  </w:style>
  <w:style w:type="paragraph" w:styleId="TOC3">
    <w:name w:val="toc 3"/>
    <w:basedOn w:val="TOC2"/>
    <w:semiHidden/>
    <w:rsid w:val="00C879AC"/>
    <w:pPr>
      <w:tabs>
        <w:tab w:val="clear" w:pos="1276"/>
        <w:tab w:val="left" w:pos="2155"/>
      </w:tabs>
      <w:ind w:left="2155" w:hanging="879"/>
    </w:pPr>
  </w:style>
  <w:style w:type="paragraph" w:styleId="TOC4">
    <w:name w:val="toc 4"/>
    <w:basedOn w:val="TOC3"/>
    <w:semiHidden/>
    <w:rsid w:val="00C879AC"/>
    <w:pPr>
      <w:tabs>
        <w:tab w:val="left" w:pos="3261"/>
      </w:tabs>
      <w:spacing w:before="80"/>
      <w:ind w:left="3261" w:hanging="993"/>
    </w:pPr>
  </w:style>
  <w:style w:type="paragraph" w:styleId="TOC5">
    <w:name w:val="toc 5"/>
    <w:basedOn w:val="TOC4"/>
    <w:semiHidden/>
    <w:rsid w:val="00C879AC"/>
  </w:style>
  <w:style w:type="paragraph" w:styleId="TOC6">
    <w:name w:val="toc 6"/>
    <w:basedOn w:val="TOC4"/>
    <w:semiHidden/>
    <w:rsid w:val="00C879AC"/>
  </w:style>
  <w:style w:type="paragraph" w:styleId="TOC7">
    <w:name w:val="toc 7"/>
    <w:basedOn w:val="TOC4"/>
    <w:semiHidden/>
    <w:rsid w:val="00C879AC"/>
  </w:style>
  <w:style w:type="paragraph" w:styleId="TOC8">
    <w:name w:val="toc 8"/>
    <w:basedOn w:val="TOC4"/>
    <w:semiHidden/>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uiPriority w:val="99"/>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paragraph" w:customStyle="1" w:styleId="AnnexNo">
    <w:name w:val="Annex_No"/>
    <w:basedOn w:val="Normal"/>
    <w:next w:val="Normal"/>
    <w:rsid w:val="002C7AD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C7AD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2C7AD8"/>
  </w:style>
  <w:style w:type="paragraph" w:customStyle="1" w:styleId="Appendixtitle">
    <w:name w:val="Appendix_title"/>
    <w:basedOn w:val="Annextitle"/>
    <w:next w:val="Normal"/>
    <w:uiPriority w:val="99"/>
    <w:rsid w:val="002C7AD8"/>
  </w:style>
  <w:style w:type="paragraph" w:customStyle="1" w:styleId="Normalaftertitle0">
    <w:name w:val="Normal after title"/>
    <w:basedOn w:val="Normal"/>
    <w:next w:val="Normal"/>
    <w:rsid w:val="002C7AD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2C7AD8"/>
    <w:rPr>
      <w:sz w:val="24"/>
      <w:lang w:val="fr-FR" w:eastAsia="en-US"/>
    </w:rPr>
  </w:style>
  <w:style w:type="character" w:customStyle="1" w:styleId="EquationChar">
    <w:name w:val="Equation Char"/>
    <w:link w:val="Equation"/>
    <w:locked/>
    <w:rsid w:val="002C7AD8"/>
    <w:rPr>
      <w:sz w:val="24"/>
      <w:lang w:val="fr-FR" w:eastAsia="en-US"/>
    </w:rPr>
  </w:style>
  <w:style w:type="paragraph" w:customStyle="1" w:styleId="Reasons">
    <w:name w:val="Reasons"/>
    <w:basedOn w:val="Normal"/>
    <w:qFormat/>
    <w:rsid w:val="002C7AD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D70F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cid:image001.png@01CFA76E.31298700"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pt.org/Documents/ecc-pt1/18432/ECC-PT1(14)077_Annexes-Fin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201</TotalTime>
  <Pages>13</Pages>
  <Words>2777</Words>
  <Characters>14906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17648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Yonga Omondi, Rose</cp:lastModifiedBy>
  <cp:revision>73</cp:revision>
  <cp:lastPrinted>2015-03-12T13:00:00Z</cp:lastPrinted>
  <dcterms:created xsi:type="dcterms:W3CDTF">2015-03-11T12:38:00Z</dcterms:created>
  <dcterms:modified xsi:type="dcterms:W3CDTF">2015-03-12T13:02:00Z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