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A108E"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65pt" o:ole="">
                  <v:imagedata r:id="rId8" o:title=""/>
                </v:shape>
                <o:OLEObject Type="Embed" ProgID="Equation.3" ShapeID="_x0000_i1025" DrawAspect="Content" ObjectID="_1373796034" r:id="rId9"/>
              </w:object>
            </w:r>
          </w:p>
          <w:p w:rsidR="00FE79FE" w:rsidRPr="0004612A" w:rsidRDefault="00FE79FE" w:rsidP="008A108E">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8A108E">
              <w:rPr>
                <w:rFonts w:ascii="Tahoma" w:hAnsi="Tahoma" w:cs="Tahoma"/>
                <w:b/>
                <w:bCs/>
                <w:iCs/>
                <w:color w:val="509141"/>
                <w:sz w:val="36"/>
                <w:szCs w:val="36"/>
                <w:lang w:val="en-US"/>
              </w:rPr>
              <w:t>2216</w:t>
            </w:r>
          </w:p>
          <w:p w:rsidR="00FE79FE" w:rsidRPr="0004612A" w:rsidRDefault="00FE79FE" w:rsidP="008A108E">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CB60A4" w:rsidRPr="0004612A">
              <w:rPr>
                <w:rFonts w:ascii="Tahoma" w:hAnsi="Tahoma" w:cs="Tahoma"/>
                <w:b/>
                <w:bCs/>
                <w:iCs/>
                <w:color w:val="509141"/>
                <w:szCs w:val="24"/>
                <w:lang w:val="en-US"/>
              </w:rPr>
              <w:t>0</w:t>
            </w:r>
            <w:r w:rsidR="008A108E">
              <w:rPr>
                <w:rFonts w:ascii="Tahoma" w:hAnsi="Tahoma" w:cs="Tahoma"/>
                <w:b/>
                <w:bCs/>
                <w:iCs/>
                <w:color w:val="509141"/>
                <w:szCs w:val="24"/>
                <w:lang w:val="en-US"/>
              </w:rPr>
              <w:t>5</w:t>
            </w:r>
            <w:r w:rsidRPr="0004612A">
              <w:rPr>
                <w:rFonts w:ascii="Tahoma" w:hAnsi="Tahoma" w:cs="Tahoma"/>
                <w:b/>
                <w:bCs/>
                <w:iCs/>
                <w:color w:val="509141"/>
                <w:szCs w:val="24"/>
                <w:lang w:val="en-US"/>
              </w:rPr>
              <w:t>/</w:t>
            </w:r>
            <w:r w:rsidR="008A108E">
              <w:rPr>
                <w:rFonts w:ascii="Tahoma" w:hAnsi="Tahoma" w:cs="Tahoma"/>
                <w:b/>
                <w:bCs/>
                <w:iCs/>
                <w:color w:val="509141"/>
                <w:szCs w:val="24"/>
                <w:lang w:val="en-US"/>
              </w:rPr>
              <w:t>2011</w:t>
            </w:r>
            <w:r w:rsidRPr="0004612A">
              <w:rPr>
                <w:rFonts w:ascii="Tahoma" w:hAnsi="Tahoma" w:cs="Tahoma"/>
                <w:b/>
                <w:bCs/>
                <w:iCs/>
                <w:color w:val="509141"/>
                <w:szCs w:val="24"/>
                <w:lang w:val="en-US"/>
              </w:rPr>
              <w:t>)</w:t>
            </w:r>
          </w:p>
        </w:tc>
      </w:tr>
      <w:tr w:rsidR="00FE79FE" w:rsidRPr="00E67699"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8A108E" w:rsidP="008A108E">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A perspective of the hierarchy of digital television image systems based</w:t>
            </w:r>
            <w:r>
              <w:rPr>
                <w:rFonts w:ascii="Tahoma" w:hAnsi="Tahoma" w:cs="Tahoma"/>
                <w:b/>
                <w:bCs/>
                <w:iCs/>
                <w:color w:val="509141"/>
                <w:sz w:val="44"/>
                <w:szCs w:val="44"/>
                <w:lang w:val="en-US"/>
              </w:rPr>
              <w:br/>
              <w:t>on human viewing behaviour</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E67699"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E67699">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E67699">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E67699">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E67699"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1A5259" w:rsidP="0004612A">
            <w:pPr>
              <w:spacing w:after="120"/>
              <w:jc w:val="left"/>
              <w:rPr>
                <w:b/>
                <w:bCs/>
                <w:sz w:val="20"/>
                <w:lang w:val="en-US"/>
              </w:rPr>
            </w:pPr>
            <w:r w:rsidRPr="0004612A">
              <w:rPr>
                <w:i/>
                <w:iCs/>
                <w:sz w:val="20"/>
                <w:lang w:val="en-US"/>
              </w:rPr>
              <w:t xml:space="preserve">            </w:t>
            </w:r>
            <w:r w:rsidR="00CB60A4" w:rsidRPr="0004612A">
              <w:rPr>
                <w:b/>
                <w:bCs/>
                <w:i/>
                <w:iCs/>
                <w:sz w:val="20"/>
                <w:lang w:val="en-US"/>
              </w:rPr>
              <w:t>Note</w:t>
            </w:r>
            <w:r w:rsidR="00CB60A4" w:rsidRPr="0004612A">
              <w:rPr>
                <w:i/>
                <w:iCs/>
                <w:sz w:val="20"/>
                <w:lang w:val="en-US"/>
              </w:rPr>
              <w:t xml:space="preserve">: This ITU-R </w:t>
            </w:r>
            <w:r w:rsidR="00505FB4" w:rsidRPr="0004612A">
              <w:rPr>
                <w:i/>
                <w:iCs/>
                <w:sz w:val="20"/>
                <w:lang w:val="en-US"/>
              </w:rPr>
              <w:t>Report</w:t>
            </w:r>
            <w:r w:rsidR="00CB60A4" w:rsidRPr="0004612A">
              <w:rPr>
                <w:i/>
                <w:iCs/>
                <w:sz w:val="20"/>
                <w:lang w:val="en-US"/>
              </w:rPr>
              <w:t xml:space="preserve"> was approved in English </w:t>
            </w:r>
            <w:r w:rsidRPr="0004612A">
              <w:rPr>
                <w:i/>
                <w:iCs/>
                <w:sz w:val="20"/>
                <w:lang w:val="en-US"/>
              </w:rPr>
              <w:t xml:space="preserve">by the Study Group </w:t>
            </w:r>
            <w:r w:rsidR="00CB60A4" w:rsidRPr="0004612A">
              <w:rPr>
                <w:i/>
                <w:iCs/>
                <w:sz w:val="20"/>
                <w:lang w:val="en-US"/>
              </w:rPr>
              <w:t xml:space="preserve">under the </w:t>
            </w:r>
            <w:r w:rsidRPr="0004612A">
              <w:rPr>
                <w:i/>
                <w:iCs/>
                <w:sz w:val="20"/>
                <w:lang w:val="en-US"/>
              </w:rPr>
              <w:t xml:space="preserve">procedure detailed </w:t>
            </w:r>
            <w:r w:rsidRPr="0004612A">
              <w:rPr>
                <w:i/>
                <w:iCs/>
                <w:sz w:val="20"/>
                <w:lang w:val="en-US"/>
              </w:rPr>
              <w:br/>
              <w:t xml:space="preserve">            in Resolution </w:t>
            </w:r>
            <w:r w:rsidR="00CB60A4" w:rsidRPr="0004612A">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21357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213578">
        <w:rPr>
          <w:sz w:val="20"/>
          <w:lang w:val="en-US"/>
        </w:rPr>
        <w:t>1</w:t>
      </w:r>
    </w:p>
    <w:p w:rsidR="00CB60A4" w:rsidRDefault="00CB60A4" w:rsidP="00213578">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333184">
        <w:rPr>
          <w:sz w:val="20"/>
          <w:lang w:val="en-US"/>
        </w:rPr>
        <w:t>1</w:t>
      </w:r>
      <w:r w:rsidR="00213578">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8A108E" w:rsidP="008A108E">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2216</w:t>
      </w:r>
    </w:p>
    <w:p w:rsidR="008A108E" w:rsidRDefault="008A108E" w:rsidP="008A108E">
      <w:pPr>
        <w:pStyle w:val="Reptitle"/>
        <w:rPr>
          <w:lang w:val="en-US"/>
        </w:rPr>
      </w:pPr>
      <w:r w:rsidRPr="008A108E">
        <w:rPr>
          <w:lang w:val="en-US"/>
        </w:rPr>
        <w:t>A perspective of the hierarchy of digital television image systems</w:t>
      </w:r>
      <w:r w:rsidRPr="008A108E">
        <w:rPr>
          <w:lang w:val="en-US"/>
        </w:rPr>
        <w:br/>
        <w:t>based on human viewing behaviour</w:t>
      </w:r>
    </w:p>
    <w:p w:rsidR="008A108E" w:rsidRDefault="008A108E" w:rsidP="008A108E">
      <w:pPr>
        <w:pStyle w:val="Repdate"/>
        <w:rPr>
          <w:lang w:val="en-US"/>
        </w:rPr>
      </w:pPr>
    </w:p>
    <w:p w:rsidR="008A108E" w:rsidRPr="008A108E" w:rsidRDefault="008A108E" w:rsidP="008A108E">
      <w:pPr>
        <w:pStyle w:val="Repdate"/>
        <w:rPr>
          <w:lang w:val="en-US"/>
        </w:rPr>
      </w:pPr>
      <w:r>
        <w:rPr>
          <w:lang w:val="en-US"/>
        </w:rPr>
        <w:t>(2011)</w:t>
      </w:r>
    </w:p>
    <w:p w:rsidR="00DB751C" w:rsidRDefault="00DB751C" w:rsidP="00DB751C">
      <w:pPr>
        <w:rPr>
          <w:lang w:val="en-US"/>
        </w:rPr>
      </w:pPr>
    </w:p>
    <w:p w:rsidR="008A108E" w:rsidRPr="008A108E" w:rsidRDefault="008A108E" w:rsidP="008A108E">
      <w:pPr>
        <w:pStyle w:val="Heading1"/>
        <w:ind w:left="0" w:firstLine="0"/>
        <w:rPr>
          <w:lang w:val="en-US"/>
        </w:rPr>
      </w:pPr>
      <w:r w:rsidRPr="008A108E">
        <w:rPr>
          <w:lang w:val="en-US"/>
        </w:rPr>
        <w:t>1</w:t>
      </w:r>
      <w:r w:rsidRPr="008A108E">
        <w:rPr>
          <w:lang w:val="en-US"/>
        </w:rPr>
        <w:tab/>
        <w:t>Introduction</w:t>
      </w:r>
    </w:p>
    <w:p w:rsidR="008A108E" w:rsidRDefault="008A108E" w:rsidP="00A24EB8">
      <w:pPr>
        <w:rPr>
          <w:szCs w:val="24"/>
          <w:lang w:val="en-US"/>
        </w:rPr>
      </w:pPr>
      <w:r w:rsidRPr="008A108E">
        <w:rPr>
          <w:szCs w:val="24"/>
          <w:lang w:val="en-US"/>
        </w:rPr>
        <w:t>Recommendations ITU-R BT.601, ITU-R BT.709, ITU-R BT.1201 and ITU-R BT.1769 define a</w:t>
      </w:r>
      <w:r w:rsidR="00A24EB8">
        <w:rPr>
          <w:szCs w:val="24"/>
          <w:lang w:val="en-US"/>
        </w:rPr>
        <w:t xml:space="preserve"> </w:t>
      </w:r>
      <w:r w:rsidRPr="008A108E">
        <w:rPr>
          <w:szCs w:val="24"/>
          <w:lang w:val="en-US"/>
        </w:rPr>
        <w:t xml:space="preserve">hierarchy of digital television image systems. Their pixel counts are recalled in </w:t>
      </w:r>
      <w:r w:rsidR="00A24EB8">
        <w:rPr>
          <w:szCs w:val="24"/>
          <w:lang w:val="en-US"/>
        </w:rPr>
        <w:t>T</w:t>
      </w:r>
      <w:r w:rsidRPr="008A108E">
        <w:rPr>
          <w:szCs w:val="24"/>
          <w:lang w:val="en-US"/>
        </w:rPr>
        <w:t>able</w:t>
      </w:r>
      <w:r w:rsidR="00A24EB8">
        <w:rPr>
          <w:szCs w:val="24"/>
          <w:lang w:val="en-US"/>
        </w:rPr>
        <w:t xml:space="preserve"> 1</w:t>
      </w:r>
      <w:r w:rsidRPr="008A108E">
        <w:rPr>
          <w:szCs w:val="24"/>
          <w:lang w:val="en-US"/>
        </w:rPr>
        <w:t>; they stand to each other as multiples of 2 based on the use of square pixels, except for SDTV systems.</w:t>
      </w:r>
    </w:p>
    <w:p w:rsidR="00DB751C" w:rsidRPr="008A108E" w:rsidRDefault="00DB751C" w:rsidP="00A24EB8">
      <w:pPr>
        <w:rPr>
          <w:szCs w:val="24"/>
          <w:lang w:val="en-US"/>
        </w:rPr>
      </w:pPr>
    </w:p>
    <w:p w:rsidR="008A108E" w:rsidRPr="006538F8" w:rsidRDefault="00A24EB8" w:rsidP="008A108E">
      <w:pPr>
        <w:pStyle w:val="TableNo"/>
        <w:rPr>
          <w:lang w:val="en-AU" w:eastAsia="ja-JP"/>
        </w:rPr>
      </w:pPr>
      <w:r>
        <w:rPr>
          <w:lang w:val="en-AU" w:eastAsia="ja-JP"/>
        </w:rPr>
        <w:t>TABLE 1</w:t>
      </w:r>
    </w:p>
    <w:p w:rsidR="008A108E" w:rsidRPr="006538F8" w:rsidRDefault="008A108E" w:rsidP="008A108E">
      <w:pPr>
        <w:pStyle w:val="Tabletitle"/>
        <w:rPr>
          <w:lang w:val="en-AU"/>
        </w:rPr>
      </w:pPr>
      <w:r w:rsidRPr="000459F8">
        <w:rPr>
          <w:lang w:val="en-AU"/>
        </w:rPr>
        <w:t xml:space="preserve">Hierarchy of digital </w:t>
      </w:r>
      <w:r w:rsidRPr="008A108E">
        <w:rPr>
          <w:lang w:val="en-US"/>
        </w:rPr>
        <w:t>television</w:t>
      </w:r>
      <w:r w:rsidRPr="000459F8">
        <w:rPr>
          <w:lang w:val="en-AU"/>
        </w:rPr>
        <w:t xml:space="preserve"> image systems based on spatial resolution </w:t>
      </w:r>
    </w:p>
    <w:tbl>
      <w:tblPr>
        <w:tblW w:w="0" w:type="auto"/>
        <w:jc w:val="center"/>
        <w:tblLayout w:type="fixed"/>
        <w:tblLook w:val="0000" w:firstRow="0" w:lastRow="0" w:firstColumn="0" w:lastColumn="0" w:noHBand="0" w:noVBand="0"/>
      </w:tblPr>
      <w:tblGrid>
        <w:gridCol w:w="1928"/>
        <w:gridCol w:w="1928"/>
        <w:gridCol w:w="1928"/>
        <w:gridCol w:w="1928"/>
        <w:gridCol w:w="1928"/>
      </w:tblGrid>
      <w:tr w:rsidR="008A108E" w:rsidRPr="006538F8" w:rsidTr="00A24EB8">
        <w:trPr>
          <w:cantSplit/>
          <w:jc w:val="center"/>
        </w:trPr>
        <w:tc>
          <w:tcPr>
            <w:tcW w:w="1928" w:type="dxa"/>
            <w:tcBorders>
              <w:top w:val="single" w:sz="6" w:space="0" w:color="auto"/>
              <w:left w:val="single" w:sz="6" w:space="0" w:color="auto"/>
              <w:bottom w:val="single" w:sz="6" w:space="0" w:color="auto"/>
              <w:right w:val="single" w:sz="6" w:space="0" w:color="auto"/>
            </w:tcBorders>
          </w:tcPr>
          <w:p w:rsidR="008A108E" w:rsidRPr="008A108E" w:rsidRDefault="008A108E" w:rsidP="006B59E8">
            <w:pPr>
              <w:pStyle w:val="Tablehead"/>
              <w:rPr>
                <w:rFonts w:eastAsiaTheme="minorEastAsia"/>
                <w:lang w:val="en-US"/>
              </w:rPr>
            </w:pPr>
          </w:p>
        </w:tc>
        <w:tc>
          <w:tcPr>
            <w:tcW w:w="1928" w:type="dxa"/>
            <w:tcBorders>
              <w:top w:val="single" w:sz="6" w:space="0" w:color="auto"/>
              <w:left w:val="single" w:sz="6" w:space="0" w:color="auto"/>
              <w:bottom w:val="single" w:sz="6" w:space="0" w:color="auto"/>
              <w:right w:val="single" w:sz="6" w:space="0" w:color="auto"/>
            </w:tcBorders>
          </w:tcPr>
          <w:p w:rsidR="008A108E" w:rsidRPr="006538F8" w:rsidRDefault="008A108E" w:rsidP="006B59E8">
            <w:pPr>
              <w:pStyle w:val="Tablehead"/>
              <w:rPr>
                <w:rFonts w:eastAsiaTheme="minorEastAsia"/>
              </w:rPr>
            </w:pPr>
            <w:r w:rsidRPr="000459F8">
              <w:rPr>
                <w:rFonts w:eastAsiaTheme="minorEastAsia"/>
              </w:rPr>
              <w:t>SDTV</w:t>
            </w:r>
          </w:p>
        </w:tc>
        <w:tc>
          <w:tcPr>
            <w:tcW w:w="1928" w:type="dxa"/>
            <w:tcBorders>
              <w:top w:val="single" w:sz="6" w:space="0" w:color="auto"/>
              <w:left w:val="single" w:sz="6" w:space="0" w:color="auto"/>
              <w:bottom w:val="single" w:sz="6" w:space="0" w:color="auto"/>
              <w:right w:val="single" w:sz="6" w:space="0" w:color="auto"/>
            </w:tcBorders>
          </w:tcPr>
          <w:p w:rsidR="008A108E" w:rsidRPr="006538F8" w:rsidRDefault="008A108E" w:rsidP="006B59E8">
            <w:pPr>
              <w:pStyle w:val="Tablehead"/>
              <w:rPr>
                <w:rFonts w:eastAsiaTheme="minorEastAsia"/>
              </w:rPr>
            </w:pPr>
            <w:r w:rsidRPr="000459F8">
              <w:rPr>
                <w:rFonts w:eastAsiaTheme="minorEastAsia"/>
              </w:rPr>
              <w:t>HDTV</w:t>
            </w:r>
          </w:p>
        </w:tc>
        <w:tc>
          <w:tcPr>
            <w:tcW w:w="1928" w:type="dxa"/>
            <w:tcBorders>
              <w:top w:val="single" w:sz="6" w:space="0" w:color="auto"/>
              <w:left w:val="single" w:sz="6" w:space="0" w:color="auto"/>
              <w:bottom w:val="single" w:sz="6" w:space="0" w:color="auto"/>
              <w:right w:val="single" w:sz="6" w:space="0" w:color="auto"/>
            </w:tcBorders>
          </w:tcPr>
          <w:p w:rsidR="008A108E" w:rsidRPr="006538F8" w:rsidRDefault="008A108E" w:rsidP="006B59E8">
            <w:pPr>
              <w:pStyle w:val="Tablehead"/>
              <w:rPr>
                <w:rFonts w:eastAsiaTheme="minorEastAsia"/>
              </w:rPr>
            </w:pPr>
            <w:r w:rsidRPr="000459F8">
              <w:rPr>
                <w:rFonts w:eastAsiaTheme="minorEastAsia"/>
              </w:rPr>
              <w:t>EHRI-1</w:t>
            </w:r>
          </w:p>
        </w:tc>
        <w:tc>
          <w:tcPr>
            <w:tcW w:w="1928" w:type="dxa"/>
            <w:tcBorders>
              <w:top w:val="single" w:sz="6" w:space="0" w:color="auto"/>
              <w:left w:val="single" w:sz="6" w:space="0" w:color="auto"/>
              <w:bottom w:val="single" w:sz="6" w:space="0" w:color="auto"/>
              <w:right w:val="single" w:sz="6" w:space="0" w:color="auto"/>
            </w:tcBorders>
          </w:tcPr>
          <w:p w:rsidR="008A108E" w:rsidRPr="006538F8" w:rsidRDefault="008A108E" w:rsidP="006B59E8">
            <w:pPr>
              <w:pStyle w:val="Tablehead"/>
              <w:rPr>
                <w:rFonts w:eastAsiaTheme="minorEastAsia"/>
              </w:rPr>
            </w:pPr>
            <w:r w:rsidRPr="000459F8">
              <w:rPr>
                <w:rFonts w:eastAsiaTheme="minorEastAsia"/>
              </w:rPr>
              <w:t>EHRI-3</w:t>
            </w:r>
          </w:p>
        </w:tc>
      </w:tr>
      <w:tr w:rsidR="008A108E" w:rsidRPr="006538F8" w:rsidTr="00A24EB8">
        <w:trPr>
          <w:cantSplit/>
          <w:jc w:val="center"/>
        </w:trPr>
        <w:tc>
          <w:tcPr>
            <w:tcW w:w="1928" w:type="dxa"/>
            <w:tcBorders>
              <w:top w:val="single" w:sz="6" w:space="0" w:color="auto"/>
              <w:left w:val="single" w:sz="6" w:space="0" w:color="auto"/>
              <w:bottom w:val="single" w:sz="6" w:space="0" w:color="auto"/>
              <w:right w:val="single" w:sz="6" w:space="0" w:color="auto"/>
            </w:tcBorders>
          </w:tcPr>
          <w:p w:rsidR="008A108E" w:rsidRPr="008A108E" w:rsidRDefault="008A108E" w:rsidP="006B59E8">
            <w:pPr>
              <w:pStyle w:val="Tabletext"/>
              <w:jc w:val="center"/>
              <w:rPr>
                <w:rFonts w:eastAsiaTheme="minorEastAsia"/>
                <w:bCs/>
                <w:lang w:val="en-US"/>
              </w:rPr>
            </w:pPr>
            <w:r w:rsidRPr="008A108E">
              <w:rPr>
                <w:rFonts w:eastAsiaTheme="minorEastAsia"/>
                <w:bCs/>
                <w:lang w:val="en-US"/>
              </w:rPr>
              <w:t>Spatial resolution</w:t>
            </w:r>
            <w:r w:rsidRPr="008A108E">
              <w:rPr>
                <w:rFonts w:eastAsiaTheme="minorEastAsia"/>
                <w:bCs/>
                <w:lang w:val="en-US"/>
              </w:rPr>
              <w:br/>
              <w:t>(number of samples)</w:t>
            </w:r>
          </w:p>
        </w:tc>
        <w:tc>
          <w:tcPr>
            <w:tcW w:w="1928" w:type="dxa"/>
            <w:tcBorders>
              <w:top w:val="single" w:sz="6" w:space="0" w:color="auto"/>
              <w:left w:val="single" w:sz="6" w:space="0" w:color="auto"/>
              <w:bottom w:val="single" w:sz="6" w:space="0" w:color="auto"/>
              <w:right w:val="single" w:sz="6" w:space="0" w:color="auto"/>
            </w:tcBorders>
          </w:tcPr>
          <w:p w:rsidR="008A108E" w:rsidRDefault="008A108E" w:rsidP="006B59E8">
            <w:pPr>
              <w:pStyle w:val="Tabletext"/>
              <w:jc w:val="center"/>
              <w:rPr>
                <w:rFonts w:eastAsiaTheme="minorEastAsia"/>
                <w:lang w:eastAsia="ja-JP"/>
              </w:rPr>
            </w:pPr>
            <w:r>
              <w:rPr>
                <w:rFonts w:eastAsiaTheme="minorEastAsia"/>
              </w:rPr>
              <w:t xml:space="preserve">720 × </w:t>
            </w:r>
            <w:r>
              <w:rPr>
                <w:rFonts w:eastAsiaTheme="minorEastAsia"/>
                <w:lang w:eastAsia="ja-JP"/>
              </w:rPr>
              <w:t>576</w:t>
            </w:r>
            <w:r>
              <w:rPr>
                <w:rFonts w:eastAsiaTheme="minorEastAsia"/>
                <w:lang w:eastAsia="ja-JP"/>
              </w:rPr>
              <w:br/>
              <w:t>or</w:t>
            </w:r>
            <w:r>
              <w:rPr>
                <w:rFonts w:eastAsiaTheme="minorEastAsia"/>
                <w:lang w:eastAsia="ja-JP"/>
              </w:rPr>
              <w:br/>
              <w:t xml:space="preserve">720 </w:t>
            </w:r>
            <w:r>
              <w:rPr>
                <w:rFonts w:eastAsiaTheme="minorEastAsia"/>
              </w:rPr>
              <w:t>×</w:t>
            </w:r>
            <w:r>
              <w:rPr>
                <w:rFonts w:eastAsiaTheme="minorEastAsia"/>
                <w:lang w:eastAsia="ja-JP"/>
              </w:rPr>
              <w:t xml:space="preserve"> 480-486</w:t>
            </w:r>
          </w:p>
        </w:tc>
        <w:tc>
          <w:tcPr>
            <w:tcW w:w="1928" w:type="dxa"/>
            <w:tcBorders>
              <w:top w:val="single" w:sz="6" w:space="0" w:color="auto"/>
              <w:left w:val="single" w:sz="6" w:space="0" w:color="auto"/>
              <w:bottom w:val="single" w:sz="6" w:space="0" w:color="auto"/>
              <w:right w:val="single" w:sz="6" w:space="0" w:color="auto"/>
            </w:tcBorders>
          </w:tcPr>
          <w:p w:rsidR="008A108E" w:rsidRDefault="008A108E" w:rsidP="006B59E8">
            <w:pPr>
              <w:pStyle w:val="Tabletext"/>
              <w:jc w:val="center"/>
              <w:rPr>
                <w:rFonts w:eastAsiaTheme="minorEastAsia"/>
              </w:rPr>
            </w:pPr>
            <w:r>
              <w:rPr>
                <w:rFonts w:eastAsiaTheme="minorEastAsia"/>
              </w:rPr>
              <w:t>1 920 × 1 080</w:t>
            </w:r>
          </w:p>
        </w:tc>
        <w:tc>
          <w:tcPr>
            <w:tcW w:w="1928" w:type="dxa"/>
            <w:tcBorders>
              <w:top w:val="single" w:sz="6" w:space="0" w:color="auto"/>
              <w:left w:val="single" w:sz="6" w:space="0" w:color="auto"/>
              <w:bottom w:val="single" w:sz="6" w:space="0" w:color="auto"/>
              <w:right w:val="single" w:sz="6" w:space="0" w:color="auto"/>
            </w:tcBorders>
          </w:tcPr>
          <w:p w:rsidR="008A108E" w:rsidRDefault="008A108E" w:rsidP="006B59E8">
            <w:pPr>
              <w:pStyle w:val="Tabletext"/>
              <w:jc w:val="center"/>
              <w:rPr>
                <w:rFonts w:eastAsiaTheme="minorEastAsia"/>
              </w:rPr>
            </w:pPr>
            <w:r>
              <w:rPr>
                <w:rFonts w:eastAsiaTheme="minorEastAsia"/>
              </w:rPr>
              <w:t>3 840 × 2 160</w:t>
            </w:r>
          </w:p>
        </w:tc>
        <w:tc>
          <w:tcPr>
            <w:tcW w:w="1928" w:type="dxa"/>
            <w:tcBorders>
              <w:top w:val="single" w:sz="6" w:space="0" w:color="auto"/>
              <w:left w:val="single" w:sz="6" w:space="0" w:color="auto"/>
              <w:bottom w:val="single" w:sz="6" w:space="0" w:color="auto"/>
              <w:right w:val="single" w:sz="6" w:space="0" w:color="auto"/>
            </w:tcBorders>
          </w:tcPr>
          <w:p w:rsidR="008A108E" w:rsidRDefault="008A108E" w:rsidP="006B59E8">
            <w:pPr>
              <w:pStyle w:val="Tabletext"/>
              <w:jc w:val="center"/>
              <w:rPr>
                <w:rFonts w:eastAsiaTheme="minorEastAsia"/>
              </w:rPr>
            </w:pPr>
            <w:r>
              <w:rPr>
                <w:rFonts w:eastAsiaTheme="minorEastAsia"/>
              </w:rPr>
              <w:t>7 680 × 4 320</w:t>
            </w:r>
          </w:p>
        </w:tc>
      </w:tr>
      <w:tr w:rsidR="008A108E" w:rsidRPr="006538F8" w:rsidTr="00A24EB8">
        <w:trPr>
          <w:cantSplit/>
          <w:jc w:val="center"/>
        </w:trPr>
        <w:tc>
          <w:tcPr>
            <w:tcW w:w="1928" w:type="dxa"/>
            <w:tcBorders>
              <w:top w:val="single" w:sz="6" w:space="0" w:color="auto"/>
              <w:left w:val="single" w:sz="6" w:space="0" w:color="auto"/>
              <w:bottom w:val="single" w:sz="6" w:space="0" w:color="auto"/>
              <w:right w:val="single" w:sz="6" w:space="0" w:color="auto"/>
            </w:tcBorders>
          </w:tcPr>
          <w:p w:rsidR="008A108E" w:rsidRPr="006538F8" w:rsidRDefault="008A108E" w:rsidP="006B59E8">
            <w:pPr>
              <w:pStyle w:val="Tabletext"/>
              <w:jc w:val="center"/>
              <w:rPr>
                <w:rFonts w:eastAsiaTheme="minorEastAsia"/>
                <w:bCs/>
              </w:rPr>
            </w:pPr>
            <w:r w:rsidRPr="000459F8">
              <w:rPr>
                <w:rFonts w:eastAsiaTheme="minorEastAsia"/>
                <w:bCs/>
              </w:rPr>
              <w:t>Optimal horizontal viewing angle</w:t>
            </w:r>
            <w:r w:rsidRPr="000459F8">
              <w:rPr>
                <w:rStyle w:val="FootnoteReference"/>
                <w:rFonts w:eastAsiaTheme="minorEastAsia"/>
                <w:bCs/>
              </w:rPr>
              <w:footnoteReference w:id="1"/>
            </w:r>
          </w:p>
        </w:tc>
        <w:tc>
          <w:tcPr>
            <w:tcW w:w="1928" w:type="dxa"/>
            <w:tcBorders>
              <w:top w:val="single" w:sz="6" w:space="0" w:color="auto"/>
              <w:left w:val="single" w:sz="6" w:space="0" w:color="auto"/>
              <w:bottom w:val="single" w:sz="6" w:space="0" w:color="auto"/>
              <w:right w:val="single" w:sz="6" w:space="0" w:color="auto"/>
            </w:tcBorders>
          </w:tcPr>
          <w:p w:rsidR="008A108E" w:rsidRPr="006538F8" w:rsidRDefault="008A108E" w:rsidP="006B59E8">
            <w:pPr>
              <w:pStyle w:val="Tabletext"/>
              <w:jc w:val="center"/>
              <w:rPr>
                <w:rFonts w:eastAsiaTheme="minorEastAsia"/>
              </w:rPr>
            </w:pPr>
            <w:r w:rsidRPr="000459F8">
              <w:rPr>
                <w:rFonts w:eastAsiaTheme="minorEastAsia"/>
              </w:rPr>
              <w:t>12°</w:t>
            </w:r>
          </w:p>
        </w:tc>
        <w:tc>
          <w:tcPr>
            <w:tcW w:w="1928" w:type="dxa"/>
            <w:tcBorders>
              <w:top w:val="single" w:sz="6" w:space="0" w:color="auto"/>
              <w:left w:val="single" w:sz="6" w:space="0" w:color="auto"/>
              <w:bottom w:val="single" w:sz="6" w:space="0" w:color="auto"/>
              <w:right w:val="single" w:sz="6" w:space="0" w:color="auto"/>
            </w:tcBorders>
          </w:tcPr>
          <w:p w:rsidR="008A108E" w:rsidRDefault="008A108E" w:rsidP="006B59E8">
            <w:pPr>
              <w:pStyle w:val="Tabletext"/>
              <w:jc w:val="center"/>
              <w:rPr>
                <w:rFonts w:eastAsiaTheme="minorEastAsia"/>
              </w:rPr>
            </w:pPr>
            <w:r w:rsidRPr="000459F8">
              <w:rPr>
                <w:rFonts w:eastAsiaTheme="minorEastAsia"/>
              </w:rPr>
              <w:t>32°</w:t>
            </w:r>
          </w:p>
        </w:tc>
        <w:tc>
          <w:tcPr>
            <w:tcW w:w="1928" w:type="dxa"/>
            <w:tcBorders>
              <w:top w:val="single" w:sz="6" w:space="0" w:color="auto"/>
              <w:left w:val="single" w:sz="6" w:space="0" w:color="auto"/>
              <w:bottom w:val="single" w:sz="6" w:space="0" w:color="auto"/>
              <w:right w:val="single" w:sz="6" w:space="0" w:color="auto"/>
            </w:tcBorders>
          </w:tcPr>
          <w:p w:rsidR="008A108E" w:rsidRDefault="008A108E" w:rsidP="006B59E8">
            <w:pPr>
              <w:pStyle w:val="Tabletext"/>
              <w:jc w:val="center"/>
              <w:rPr>
                <w:rFonts w:eastAsiaTheme="minorEastAsia"/>
              </w:rPr>
            </w:pPr>
            <w:r w:rsidRPr="000459F8">
              <w:rPr>
                <w:rFonts w:eastAsiaTheme="minorEastAsia"/>
              </w:rPr>
              <w:t>58°</w:t>
            </w:r>
          </w:p>
        </w:tc>
        <w:tc>
          <w:tcPr>
            <w:tcW w:w="1928" w:type="dxa"/>
            <w:tcBorders>
              <w:top w:val="single" w:sz="6" w:space="0" w:color="auto"/>
              <w:left w:val="single" w:sz="6" w:space="0" w:color="auto"/>
              <w:bottom w:val="single" w:sz="6" w:space="0" w:color="auto"/>
              <w:right w:val="single" w:sz="6" w:space="0" w:color="auto"/>
            </w:tcBorders>
          </w:tcPr>
          <w:p w:rsidR="008A108E" w:rsidRDefault="008A108E" w:rsidP="006B59E8">
            <w:pPr>
              <w:pStyle w:val="Tabletext"/>
              <w:jc w:val="center"/>
              <w:rPr>
                <w:rFonts w:eastAsiaTheme="minorEastAsia"/>
              </w:rPr>
            </w:pPr>
            <w:r w:rsidRPr="000459F8">
              <w:rPr>
                <w:rFonts w:eastAsiaTheme="minorEastAsia"/>
              </w:rPr>
              <w:t>96°</w:t>
            </w:r>
          </w:p>
        </w:tc>
      </w:tr>
      <w:tr w:rsidR="008A108E" w:rsidRPr="006538F8" w:rsidTr="00A24EB8">
        <w:trPr>
          <w:cantSplit/>
          <w:jc w:val="center"/>
        </w:trPr>
        <w:tc>
          <w:tcPr>
            <w:tcW w:w="1928" w:type="dxa"/>
            <w:tcBorders>
              <w:top w:val="single" w:sz="6" w:space="0" w:color="auto"/>
              <w:left w:val="single" w:sz="6" w:space="0" w:color="auto"/>
              <w:bottom w:val="single" w:sz="6" w:space="0" w:color="auto"/>
              <w:right w:val="single" w:sz="6" w:space="0" w:color="auto"/>
            </w:tcBorders>
          </w:tcPr>
          <w:p w:rsidR="008A108E" w:rsidRPr="000459F8" w:rsidRDefault="008A108E" w:rsidP="006B59E8">
            <w:pPr>
              <w:pStyle w:val="Tabletext"/>
              <w:jc w:val="center"/>
              <w:rPr>
                <w:rFonts w:eastAsiaTheme="minorEastAsia"/>
                <w:bCs/>
              </w:rPr>
            </w:pPr>
            <w:r>
              <w:rPr>
                <w:rFonts w:eastAsiaTheme="minorEastAsia"/>
                <w:bCs/>
              </w:rPr>
              <w:t>Aspect ratio</w:t>
            </w:r>
          </w:p>
        </w:tc>
        <w:tc>
          <w:tcPr>
            <w:tcW w:w="1928" w:type="dxa"/>
            <w:tcBorders>
              <w:top w:val="single" w:sz="6" w:space="0" w:color="auto"/>
              <w:left w:val="single" w:sz="6" w:space="0" w:color="auto"/>
              <w:bottom w:val="single" w:sz="6" w:space="0" w:color="auto"/>
              <w:right w:val="single" w:sz="6" w:space="0" w:color="auto"/>
            </w:tcBorders>
          </w:tcPr>
          <w:p w:rsidR="008A108E" w:rsidRPr="000459F8" w:rsidRDefault="008A108E" w:rsidP="006B59E8">
            <w:pPr>
              <w:pStyle w:val="Tabletext"/>
              <w:jc w:val="center"/>
              <w:rPr>
                <w:rFonts w:eastAsiaTheme="minorEastAsia"/>
              </w:rPr>
            </w:pPr>
            <w:r>
              <w:rPr>
                <w:rFonts w:eastAsiaTheme="minorEastAsia"/>
              </w:rPr>
              <w:t>4:3</w:t>
            </w:r>
          </w:p>
        </w:tc>
        <w:tc>
          <w:tcPr>
            <w:tcW w:w="1928" w:type="dxa"/>
            <w:tcBorders>
              <w:top w:val="single" w:sz="6" w:space="0" w:color="auto"/>
              <w:left w:val="single" w:sz="6" w:space="0" w:color="auto"/>
              <w:bottom w:val="single" w:sz="6" w:space="0" w:color="auto"/>
              <w:right w:val="single" w:sz="6" w:space="0" w:color="auto"/>
            </w:tcBorders>
          </w:tcPr>
          <w:p w:rsidR="008A108E" w:rsidRPr="000459F8" w:rsidRDefault="008A108E" w:rsidP="006B59E8">
            <w:pPr>
              <w:pStyle w:val="Tabletext"/>
              <w:jc w:val="center"/>
              <w:rPr>
                <w:rFonts w:eastAsiaTheme="minorEastAsia"/>
              </w:rPr>
            </w:pPr>
            <w:r>
              <w:rPr>
                <w:rFonts w:eastAsiaTheme="minorEastAsia"/>
              </w:rPr>
              <w:t>16:9</w:t>
            </w:r>
          </w:p>
        </w:tc>
        <w:tc>
          <w:tcPr>
            <w:tcW w:w="1928" w:type="dxa"/>
            <w:tcBorders>
              <w:top w:val="single" w:sz="6" w:space="0" w:color="auto"/>
              <w:left w:val="single" w:sz="6" w:space="0" w:color="auto"/>
              <w:bottom w:val="single" w:sz="6" w:space="0" w:color="auto"/>
              <w:right w:val="single" w:sz="6" w:space="0" w:color="auto"/>
            </w:tcBorders>
          </w:tcPr>
          <w:p w:rsidR="008A108E" w:rsidRPr="000459F8" w:rsidRDefault="008A108E" w:rsidP="006B59E8">
            <w:pPr>
              <w:pStyle w:val="Tabletext"/>
              <w:jc w:val="center"/>
              <w:rPr>
                <w:rFonts w:eastAsiaTheme="minorEastAsia"/>
              </w:rPr>
            </w:pPr>
            <w:r>
              <w:rPr>
                <w:rFonts w:eastAsiaTheme="minorEastAsia"/>
              </w:rPr>
              <w:t>16:9</w:t>
            </w:r>
          </w:p>
        </w:tc>
        <w:tc>
          <w:tcPr>
            <w:tcW w:w="1928" w:type="dxa"/>
            <w:tcBorders>
              <w:top w:val="single" w:sz="6" w:space="0" w:color="auto"/>
              <w:left w:val="single" w:sz="6" w:space="0" w:color="auto"/>
              <w:bottom w:val="single" w:sz="6" w:space="0" w:color="auto"/>
              <w:right w:val="single" w:sz="6" w:space="0" w:color="auto"/>
            </w:tcBorders>
          </w:tcPr>
          <w:p w:rsidR="008A108E" w:rsidRPr="000459F8" w:rsidRDefault="008A108E" w:rsidP="006B59E8">
            <w:pPr>
              <w:pStyle w:val="Tabletext"/>
              <w:jc w:val="center"/>
              <w:rPr>
                <w:rFonts w:eastAsiaTheme="minorEastAsia"/>
              </w:rPr>
            </w:pPr>
            <w:r>
              <w:rPr>
                <w:rFonts w:eastAsiaTheme="minorEastAsia"/>
              </w:rPr>
              <w:t>16:9</w:t>
            </w:r>
          </w:p>
        </w:tc>
      </w:tr>
    </w:tbl>
    <w:p w:rsidR="00A24EB8" w:rsidRDefault="00A24EB8" w:rsidP="00A24EB8">
      <w:pPr>
        <w:pStyle w:val="Tablefin"/>
      </w:pPr>
    </w:p>
    <w:p w:rsidR="00DB751C" w:rsidRPr="00DB751C" w:rsidRDefault="00DB751C" w:rsidP="00DB751C">
      <w:pPr>
        <w:rPr>
          <w:lang w:val="en-GB"/>
        </w:rPr>
      </w:pPr>
    </w:p>
    <w:p w:rsidR="008A108E" w:rsidRPr="008A108E" w:rsidRDefault="008A108E" w:rsidP="008A108E">
      <w:pPr>
        <w:rPr>
          <w:szCs w:val="24"/>
          <w:lang w:val="en-US"/>
        </w:rPr>
      </w:pPr>
      <w:r w:rsidRPr="008A108E">
        <w:rPr>
          <w:szCs w:val="24"/>
          <w:lang w:val="en-US"/>
        </w:rPr>
        <w:t>This text provides a perspective of those digital television image systems, based on four possible viewing behaviours of humans, related to the human field of view</w:t>
      </w:r>
      <w:r w:rsidRPr="000459F8">
        <w:rPr>
          <w:rStyle w:val="FootnoteReference"/>
          <w:szCs w:val="24"/>
        </w:rPr>
        <w:footnoteReference w:id="2"/>
      </w:r>
      <w:r w:rsidRPr="008A108E">
        <w:rPr>
          <w:szCs w:val="24"/>
          <w:lang w:val="en-US"/>
        </w:rPr>
        <w:t xml:space="preserve">. </w:t>
      </w:r>
    </w:p>
    <w:p w:rsidR="008A108E" w:rsidRPr="008A108E" w:rsidRDefault="008A108E" w:rsidP="008A108E">
      <w:pPr>
        <w:pStyle w:val="Heading1"/>
        <w:rPr>
          <w:lang w:val="en-US"/>
        </w:rPr>
      </w:pPr>
      <w:r w:rsidRPr="008A108E">
        <w:rPr>
          <w:lang w:val="en-US"/>
        </w:rPr>
        <w:t>2</w:t>
      </w:r>
      <w:r w:rsidRPr="008A108E">
        <w:rPr>
          <w:lang w:val="en-US"/>
        </w:rPr>
        <w:tab/>
        <w:t>The four viewing behaviours</w:t>
      </w:r>
    </w:p>
    <w:p w:rsidR="008A108E" w:rsidRPr="008A108E" w:rsidRDefault="008A108E" w:rsidP="008A108E">
      <w:pPr>
        <w:rPr>
          <w:szCs w:val="24"/>
          <w:lang w:val="en-US"/>
        </w:rPr>
      </w:pPr>
      <w:r w:rsidRPr="00F731AE">
        <w:rPr>
          <w:b/>
          <w:bCs/>
          <w:lang w:val="en-US"/>
        </w:rPr>
        <w:t xml:space="preserve">A possible viewing behaviour (viewing behaviour </w:t>
      </w:r>
      <w:r w:rsidRPr="00F731AE">
        <w:rPr>
          <w:b/>
          <w:bCs/>
          <w:szCs w:val="24"/>
          <w:lang w:val="en-US"/>
        </w:rPr>
        <w:t>A)</w:t>
      </w:r>
      <w:r w:rsidRPr="008A108E">
        <w:rPr>
          <w:szCs w:val="24"/>
          <w:lang w:val="en-US"/>
        </w:rPr>
        <w:t xml:space="preserve"> is the one in which the television image at its optimal viewing distance subtends a small enough angle for the viewer to be able to watch it almost without moving his eyes. This happens when the television image on the retina is fully or 525-lines and 625-lines television systems (Recommendation ITU-R BT.601) is respectively 5 and 7 times the picture height. SDTV images thus subtend a nominal horizontal viewing angle of respectively about 11° and 13° at the viewer’s eye (see Recommendation ITU-R BT.1845).</w:t>
      </w:r>
    </w:p>
    <w:p w:rsidR="008A108E" w:rsidRPr="008A108E" w:rsidRDefault="008A108E" w:rsidP="008A108E">
      <w:pPr>
        <w:rPr>
          <w:b/>
          <w:szCs w:val="24"/>
          <w:u w:val="single"/>
          <w:lang w:val="en-US"/>
        </w:rPr>
      </w:pPr>
      <w:r w:rsidRPr="008A108E">
        <w:rPr>
          <w:szCs w:val="24"/>
          <w:lang w:val="en-US"/>
        </w:rPr>
        <w:t>In this viewing behaviour, the edges of the television image fall well within the normal area of highest visual acuity in the viewer’s field of view (the “fovea”). The viewing experience corresponds to watching an action framed through a small window. Applications of SDTV support this viewing behaviour.</w:t>
      </w:r>
    </w:p>
    <w:p w:rsidR="008A108E" w:rsidRPr="008A108E" w:rsidRDefault="008A108E" w:rsidP="008A108E">
      <w:pPr>
        <w:rPr>
          <w:szCs w:val="24"/>
          <w:lang w:val="en-US"/>
        </w:rPr>
      </w:pPr>
      <w:r w:rsidRPr="00F731AE">
        <w:rPr>
          <w:b/>
          <w:bCs/>
          <w:szCs w:val="24"/>
          <w:lang w:val="en-US"/>
        </w:rPr>
        <w:t>Another possible viewing behaviour (viewing behaviour B)</w:t>
      </w:r>
      <w:r w:rsidRPr="008A108E">
        <w:rPr>
          <w:szCs w:val="24"/>
          <w:lang w:val="en-US"/>
        </w:rPr>
        <w:t xml:space="preserve"> is the one in which the television image at its optimal viewing distance subtends an angle large enough for the viewer to be able to watch it by moving his eyes to follow the action, without moving his head. This happens when the television image on the retina extends into near-peripheral vision, subtending for instance an angle of the order of 30° at the viewer’s eye. Since HDTV images (Recommendation ITU-R BT.709) at their optimal viewing distance subtend a horizontal viewing angle of 32° at the viewer’s eye, applications of HDTV may be taken as examples of applications that support viewing behaviour B. </w:t>
      </w:r>
    </w:p>
    <w:p w:rsidR="008A108E" w:rsidRPr="008A108E" w:rsidRDefault="008A108E" w:rsidP="008A108E">
      <w:pPr>
        <w:rPr>
          <w:szCs w:val="24"/>
          <w:lang w:val="en-US"/>
        </w:rPr>
      </w:pPr>
      <w:r w:rsidRPr="008A108E">
        <w:rPr>
          <w:szCs w:val="24"/>
          <w:lang w:val="en-US"/>
        </w:rPr>
        <w:t xml:space="preserve">In this viewing behaviour, the edges of the television image fall within the viewer’s field of view but they are partly outside his area of highest visual acuity. The viewing experience corresponds to watching an action framed through a large window, whose edges may go unnoticed when the viewer’s attention is focused on the centre of the image. </w:t>
      </w:r>
    </w:p>
    <w:p w:rsidR="008A108E" w:rsidRPr="008A108E" w:rsidRDefault="008A108E" w:rsidP="008A108E">
      <w:pPr>
        <w:rPr>
          <w:szCs w:val="24"/>
          <w:lang w:val="en-US"/>
        </w:rPr>
      </w:pPr>
      <w:r w:rsidRPr="00E67699">
        <w:rPr>
          <w:b/>
          <w:bCs/>
          <w:lang w:val="en-US"/>
        </w:rPr>
        <w:t xml:space="preserve">A </w:t>
      </w:r>
      <w:r w:rsidRPr="00F731AE">
        <w:rPr>
          <w:b/>
          <w:bCs/>
          <w:szCs w:val="24"/>
          <w:lang w:val="en-US"/>
        </w:rPr>
        <w:t>further viewing behaviour (viewing behaviour C)</w:t>
      </w:r>
      <w:r w:rsidRPr="008A108E">
        <w:rPr>
          <w:szCs w:val="24"/>
          <w:lang w:val="en-US"/>
        </w:rPr>
        <w:t xml:space="preserve"> is the one in which the television image at its optimal viewing distance subtends an angle wide enough for the viewer to need to watch it by moving his eyes and also slightly moving his head to follow the action. This begins to happen when the television image on the retina extends beyond near-peripheral vision, e.g. when it subtends a 60° horizontal angle. Since television images conforming to the 3 840 </w:t>
      </w:r>
      <w:r w:rsidRPr="000459F8">
        <w:rPr>
          <w:szCs w:val="24"/>
        </w:rPr>
        <w:sym w:font="Symbol" w:char="F0B4"/>
      </w:r>
      <w:r w:rsidRPr="008A108E">
        <w:rPr>
          <w:szCs w:val="24"/>
          <w:lang w:val="en-US"/>
        </w:rPr>
        <w:t xml:space="preserve"> 2 160 member of the LSDI expanded hierarchy (Recommendation ITU-R BT.1769) subtend a nominal horizontal viewing angle of about 58° at the viewer’s eye, applications of this LSDI hierarchy may be taken as examples of applications that support viewing behaviour C. </w:t>
      </w:r>
    </w:p>
    <w:p w:rsidR="008A108E" w:rsidRPr="008A108E" w:rsidRDefault="008A108E" w:rsidP="008A108E">
      <w:pPr>
        <w:rPr>
          <w:szCs w:val="24"/>
          <w:lang w:val="en-US"/>
        </w:rPr>
      </w:pPr>
      <w:r w:rsidRPr="008A108E">
        <w:rPr>
          <w:szCs w:val="24"/>
          <w:lang w:val="en-US"/>
        </w:rPr>
        <w:t>In this viewing behaviour, the viewer can identify moving objects at the edge of the television image but he cannot see them clearly. His induced reflex is to first move his eyes and then also slightly move his head in order to bring the peripheral action into the fovea and see it clearly. The viewing experience corresponds to watching an action framed through a very large window</w:t>
      </w:r>
      <w:r w:rsidRPr="000459F8">
        <w:rPr>
          <w:rStyle w:val="FootnoteReference"/>
          <w:sz w:val="20"/>
        </w:rPr>
        <w:footnoteReference w:id="3"/>
      </w:r>
      <w:r w:rsidRPr="008A108E">
        <w:rPr>
          <w:szCs w:val="24"/>
          <w:lang w:val="en-US"/>
        </w:rPr>
        <w:t>.</w:t>
      </w:r>
    </w:p>
    <w:p w:rsidR="008A108E" w:rsidRPr="008A108E" w:rsidRDefault="008A108E" w:rsidP="008A108E">
      <w:pPr>
        <w:rPr>
          <w:szCs w:val="24"/>
          <w:lang w:val="en-US"/>
        </w:rPr>
      </w:pPr>
      <w:r w:rsidRPr="00F731AE">
        <w:rPr>
          <w:b/>
          <w:bCs/>
          <w:szCs w:val="24"/>
          <w:lang w:val="en-US"/>
        </w:rPr>
        <w:t>Yet a further viewing behaviour (viewing behaviour D)</w:t>
      </w:r>
      <w:r w:rsidRPr="008A108E">
        <w:rPr>
          <w:szCs w:val="24"/>
          <w:lang w:val="en-US"/>
        </w:rPr>
        <w:t xml:space="preserve"> is the one in which the television image at its optimal viewing distance subtends an angle so wide that the viewer needs to watch it by moving his eyes and also widely moving his head to follow the action. This happens when the television image on the retina approaches far-peripheral vision, e.g. it subtends an angle of the order of 120° which is the typical maximum viewing angle for binocular vision. </w:t>
      </w:r>
    </w:p>
    <w:p w:rsidR="008A108E" w:rsidRPr="008A108E" w:rsidRDefault="008A108E" w:rsidP="008A108E">
      <w:pPr>
        <w:rPr>
          <w:szCs w:val="24"/>
          <w:lang w:val="en-US"/>
        </w:rPr>
      </w:pPr>
      <w:r w:rsidRPr="008A108E">
        <w:rPr>
          <w:szCs w:val="24"/>
          <w:lang w:val="en-US"/>
        </w:rPr>
        <w:t xml:space="preserve">Since television images conforming to the 7 680 </w:t>
      </w:r>
      <w:r w:rsidRPr="000459F8">
        <w:rPr>
          <w:szCs w:val="24"/>
        </w:rPr>
        <w:sym w:font="Symbol" w:char="F0B4"/>
      </w:r>
      <w:r w:rsidRPr="008A108E">
        <w:rPr>
          <w:szCs w:val="24"/>
          <w:lang w:val="en-US"/>
        </w:rPr>
        <w:t xml:space="preserve"> 4 320 member of the LSDI expanded hierarchy (Recommendation ITU-R BT.1769) subtend a nominal horizontal angle of about 96° at the viewer’s eye, applications of this hierarchy member may be taken as examples of applications that support a viewing behaviour close to viewing behaviour D. </w:t>
      </w:r>
    </w:p>
    <w:p w:rsidR="008A108E" w:rsidRPr="008A108E" w:rsidRDefault="008A108E" w:rsidP="008A108E">
      <w:pPr>
        <w:rPr>
          <w:szCs w:val="24"/>
          <w:lang w:val="en-US"/>
        </w:rPr>
      </w:pPr>
      <w:r w:rsidRPr="008A108E">
        <w:rPr>
          <w:szCs w:val="24"/>
          <w:lang w:val="en-US"/>
        </w:rPr>
        <w:t xml:space="preserve">In this viewing behaviour, the viewer can detect movement at the edge of his field of view, but he cannot clearly identify the moving objects because his visual acuity is inadequate at the edges of this field of view. Consequently, the viewer’s induced reflex is to move first his eyes and then his head to a sufficient extent to bring the moving objects into the fovea and see them clearly. The viewing experience corresponds to watching an action from a balcony banister, where the walls on both sides of the balcony normally go unnoticed. Similarly, the edges of the television image go unnoticed except when the action happens at the edge of it. </w:t>
      </w:r>
    </w:p>
    <w:p w:rsidR="008A108E" w:rsidRPr="008A108E" w:rsidRDefault="008A108E" w:rsidP="008A108E">
      <w:pPr>
        <w:pStyle w:val="Heading1"/>
        <w:rPr>
          <w:lang w:val="en-US"/>
        </w:rPr>
      </w:pPr>
      <w:r w:rsidRPr="008A108E">
        <w:rPr>
          <w:lang w:val="en-US"/>
        </w:rPr>
        <w:t>3</w:t>
      </w:r>
      <w:r w:rsidRPr="008A108E">
        <w:rPr>
          <w:lang w:val="en-US"/>
        </w:rPr>
        <w:tab/>
        <w:t>Peripheral vision as an expression tool for programme directors</w:t>
      </w:r>
    </w:p>
    <w:p w:rsidR="008A108E" w:rsidRPr="008A108E" w:rsidRDefault="008A108E" w:rsidP="008A108E">
      <w:pPr>
        <w:rPr>
          <w:szCs w:val="24"/>
          <w:lang w:val="en-US"/>
        </w:rPr>
      </w:pPr>
      <w:r w:rsidRPr="008A108E">
        <w:rPr>
          <w:szCs w:val="24"/>
          <w:lang w:val="en-US"/>
        </w:rPr>
        <w:t>Human peripheral vision has comparatively low resolution but it is highly sensitive to movement. The typical reaction to the perception of movement in peripheral vision is to promptly turn one’s eyes and head in that direction, in order to bring the image of the moving objects into the fovea. This may be due to a primeval survival mechanism and it is often coupled to increased alertness and sometimes even anxiety.</w:t>
      </w:r>
    </w:p>
    <w:p w:rsidR="008A108E" w:rsidRPr="008A108E" w:rsidRDefault="008A108E" w:rsidP="008A108E">
      <w:pPr>
        <w:rPr>
          <w:szCs w:val="24"/>
          <w:lang w:val="en-US"/>
        </w:rPr>
      </w:pPr>
      <w:r w:rsidRPr="008A108E">
        <w:rPr>
          <w:lang w:val="en-US"/>
        </w:rPr>
        <w:t>Programme directors can use peripheral vision as a valuable tool in their toolkit, to convey moods and</w:t>
      </w:r>
      <w:r w:rsidRPr="008A108E">
        <w:rPr>
          <w:szCs w:val="24"/>
          <w:lang w:val="en-US"/>
        </w:rPr>
        <w:t xml:space="preserve"> emotions.</w:t>
      </w:r>
    </w:p>
    <w:p w:rsidR="008A108E" w:rsidRPr="008A108E" w:rsidRDefault="008A108E" w:rsidP="008A108E">
      <w:pPr>
        <w:rPr>
          <w:lang w:val="en-US"/>
        </w:rPr>
      </w:pPr>
      <w:r w:rsidRPr="008A108E">
        <w:rPr>
          <w:lang w:val="en-US"/>
        </w:rPr>
        <w:t>Take the tale of Little Red Riding Hood as an example.</w:t>
      </w:r>
    </w:p>
    <w:p w:rsidR="008A108E" w:rsidRPr="008A108E" w:rsidRDefault="008A108E" w:rsidP="008A108E">
      <w:pPr>
        <w:rPr>
          <w:lang w:val="en-US"/>
        </w:rPr>
      </w:pPr>
      <w:r w:rsidRPr="008A108E">
        <w:rPr>
          <w:lang w:val="en-US"/>
        </w:rPr>
        <w:t>If the director is working in SDTV, he may shoot a sequence showing Little Red Riding Hood picking flowers in the wood. He may then cut to a sequence showing the Big Bad Wolf stealing in behind the bushes. The viewer has no choice but to watch what the director shows him. Not a very exciting experience.</w:t>
      </w:r>
    </w:p>
    <w:p w:rsidR="008A108E" w:rsidRPr="008A108E" w:rsidRDefault="008A108E" w:rsidP="008A108E">
      <w:pPr>
        <w:rPr>
          <w:lang w:val="en-US"/>
        </w:rPr>
      </w:pPr>
      <w:r w:rsidRPr="008A108E">
        <w:rPr>
          <w:lang w:val="en-US"/>
        </w:rPr>
        <w:t>If however the director is working in UHDTV, he may produce a sequence showing Little Red Riding Hood picking flowers in the wood on the right side of the image. The viewer will turn his eyes and head to watch Little Red Riding Hood. The director may then bring in the Big Bad Wolf behind the bushes on the left side of the image. The viewer senses some movement in his left peripheral vision, he will turn his eyes and head in that direction and, lo and behold!, he sees the Big Bad Wolf stealing in behind the bushes. A somewhat more exciting viewing experience, which makes the viewer feel emotionally involved in the action, almost as if he were part of it.</w:t>
      </w:r>
    </w:p>
    <w:p w:rsidR="008A108E" w:rsidRPr="008A108E" w:rsidRDefault="008A108E" w:rsidP="008A108E">
      <w:pPr>
        <w:pStyle w:val="Heading1"/>
        <w:rPr>
          <w:lang w:val="en-US"/>
        </w:rPr>
      </w:pPr>
      <w:r w:rsidRPr="008A108E">
        <w:rPr>
          <w:lang w:val="en-US"/>
        </w:rPr>
        <w:t>4</w:t>
      </w:r>
      <w:r w:rsidRPr="008A108E">
        <w:rPr>
          <w:lang w:val="en-US"/>
        </w:rPr>
        <w:tab/>
        <w:t>Tailoring UHDTV programmes for SDTV distribution</w:t>
      </w:r>
    </w:p>
    <w:p w:rsidR="008A108E" w:rsidRPr="008A108E" w:rsidRDefault="008A108E" w:rsidP="008A108E">
      <w:pPr>
        <w:rPr>
          <w:szCs w:val="24"/>
          <w:lang w:val="en-US"/>
        </w:rPr>
      </w:pPr>
      <w:r w:rsidRPr="008A108E">
        <w:rPr>
          <w:szCs w:val="24"/>
          <w:lang w:val="en-US"/>
        </w:rPr>
        <w:t>There are various ways to tailor a UHDTV programme for SDTV distribution, and each one poses some problem. For instance:</w:t>
      </w:r>
    </w:p>
    <w:p w:rsidR="008A108E" w:rsidRPr="008A108E" w:rsidRDefault="008A108E" w:rsidP="008A108E">
      <w:pPr>
        <w:pStyle w:val="enumlev1"/>
        <w:rPr>
          <w:lang w:val="en-US"/>
        </w:rPr>
      </w:pPr>
      <w:r w:rsidRPr="008A108E">
        <w:rPr>
          <w:lang w:val="en-US"/>
        </w:rPr>
        <w:t>–</w:t>
      </w:r>
      <w:r w:rsidRPr="008A108E">
        <w:rPr>
          <w:lang w:val="en-US"/>
        </w:rPr>
        <w:tab/>
        <w:t>the video of the programme could simply be down-sampled. This is technically very simple to do, but it poses the problem that all the small details of the UHDTV image are lost, and those details may contain information that would be important for the appreciation of the programme;</w:t>
      </w:r>
    </w:p>
    <w:p w:rsidR="008A108E" w:rsidRPr="008A108E" w:rsidRDefault="008A108E" w:rsidP="008A108E">
      <w:pPr>
        <w:pStyle w:val="enumlev1"/>
        <w:rPr>
          <w:lang w:val="en-US" w:eastAsia="ja-JP"/>
        </w:rPr>
      </w:pPr>
      <w:r w:rsidRPr="008A108E">
        <w:rPr>
          <w:lang w:val="en-US"/>
        </w:rPr>
        <w:t>–</w:t>
      </w:r>
      <w:r w:rsidRPr="008A108E">
        <w:rPr>
          <w:lang w:val="en-US"/>
        </w:rPr>
        <w:tab/>
        <w:t>the programme could be post-produced by passing the signal through an “intelligent” device programmed to “follow the action”. For example, the device could be programmed to follow the ball in a soccer match. Such devices exist and have been tested in operation. They have the merit of dispensing from the presence of a programme director, but they produce results which are generally below what the viewer would expect in a well-produced programme of the same genre;</w:t>
      </w:r>
    </w:p>
    <w:p w:rsidR="008A108E" w:rsidRPr="008A108E" w:rsidRDefault="008A108E" w:rsidP="00DB751C">
      <w:pPr>
        <w:pStyle w:val="enumlev1"/>
        <w:keepLines/>
        <w:rPr>
          <w:lang w:val="en-US"/>
        </w:rPr>
      </w:pPr>
      <w:r w:rsidRPr="008A108E">
        <w:rPr>
          <w:lang w:val="en-US"/>
        </w:rPr>
        <w:t>–</w:t>
      </w:r>
      <w:r w:rsidRPr="008A108E">
        <w:rPr>
          <w:lang w:val="en-US"/>
        </w:rPr>
        <w:tab/>
        <w:t>the programme could be post-produced, panning over it to only show its most important elements. This requires some post-production effort, and should be done under the supervision of the programme creators, since the choice of the most important part of the image is a matter of creative judgment. Furthermore, repeated panning movements may be annoying for the viewer and may distract his attention away from the story that the director is trying to tell;</w:t>
      </w:r>
    </w:p>
    <w:p w:rsidR="008A108E" w:rsidRPr="008A108E" w:rsidRDefault="008A108E" w:rsidP="008A108E">
      <w:pPr>
        <w:pStyle w:val="enumlev1"/>
        <w:rPr>
          <w:lang w:val="en-US"/>
        </w:rPr>
      </w:pPr>
      <w:r w:rsidRPr="008A108E">
        <w:rPr>
          <w:lang w:val="en-US"/>
        </w:rPr>
        <w:t>–</w:t>
      </w:r>
      <w:r w:rsidRPr="008A108E">
        <w:rPr>
          <w:lang w:val="en-US"/>
        </w:rPr>
        <w:tab/>
        <w:t>the programme could be post-produced by identifying different parts of the original UHDTV image and cutting among them in the same way that one would cut among different cameras. This requires some post-production effort on the part of the programme creators, but the result is more pleasant than the one obtained by panning over the original image.</w:t>
      </w:r>
    </w:p>
    <w:p w:rsidR="008A108E" w:rsidRPr="008A108E" w:rsidRDefault="008A108E" w:rsidP="008A108E">
      <w:pPr>
        <w:pStyle w:val="Heading1"/>
        <w:rPr>
          <w:lang w:val="en-US"/>
        </w:rPr>
      </w:pPr>
      <w:r w:rsidRPr="008A108E">
        <w:rPr>
          <w:lang w:val="en-US"/>
        </w:rPr>
        <w:t>5</w:t>
      </w:r>
      <w:r w:rsidRPr="008A108E">
        <w:rPr>
          <w:lang w:val="en-US"/>
        </w:rPr>
        <w:tab/>
        <w:t>Conclusion</w:t>
      </w:r>
    </w:p>
    <w:p w:rsidR="008A108E" w:rsidRPr="008A108E" w:rsidRDefault="008A108E" w:rsidP="008A108E">
      <w:pPr>
        <w:rPr>
          <w:szCs w:val="24"/>
          <w:lang w:val="en-US"/>
        </w:rPr>
      </w:pPr>
      <w:r w:rsidRPr="008A108E">
        <w:rPr>
          <w:szCs w:val="24"/>
          <w:lang w:val="en-US"/>
        </w:rPr>
        <w:t>This Report has tried to provide a perspective of current and proposed digital television image systems, including UHDTV, based on four different human viewing behaviours that relate to the human field of view and the way humans look to the world around them.</w:t>
      </w:r>
    </w:p>
    <w:p w:rsidR="008A108E" w:rsidRPr="008A108E" w:rsidRDefault="008A108E" w:rsidP="008A108E">
      <w:pPr>
        <w:rPr>
          <w:szCs w:val="24"/>
          <w:lang w:val="en-US"/>
        </w:rPr>
      </w:pPr>
      <w:r w:rsidRPr="008A108E">
        <w:rPr>
          <w:szCs w:val="24"/>
          <w:lang w:val="en-US"/>
        </w:rPr>
        <w:t>It has highlighted some of the opportunities and challenges that UHDTV will offer to programme directors in terms of extended creative options and new creative languages.</w:t>
      </w:r>
    </w:p>
    <w:p w:rsidR="008A108E" w:rsidRPr="008A108E" w:rsidRDefault="008A108E" w:rsidP="008A108E">
      <w:pPr>
        <w:rPr>
          <w:lang w:val="en-US"/>
        </w:rPr>
      </w:pPr>
      <w:r w:rsidRPr="008A108E">
        <w:rPr>
          <w:szCs w:val="24"/>
          <w:lang w:val="en-US"/>
        </w:rPr>
        <w:t>It has also identified some of the challenges in time and complexity attendant to the possible need to tailor UHDTV programmes for distribution in SDTV and possibly also in HDTV.</w:t>
      </w:r>
    </w:p>
    <w:p w:rsidR="008A108E" w:rsidRDefault="008A108E" w:rsidP="008A108E">
      <w:pPr>
        <w:rPr>
          <w:lang w:val="en-US"/>
        </w:rPr>
      </w:pPr>
    </w:p>
    <w:p w:rsidR="008A108E" w:rsidRDefault="008A108E" w:rsidP="008A108E">
      <w:pPr>
        <w:rPr>
          <w:lang w:val="en-US"/>
        </w:rPr>
      </w:pPr>
    </w:p>
    <w:p w:rsidR="008A108E" w:rsidRPr="008A108E" w:rsidRDefault="008A108E" w:rsidP="008A108E">
      <w:pPr>
        <w:pStyle w:val="Line"/>
      </w:pPr>
    </w:p>
    <w:sectPr w:rsidR="008A108E" w:rsidRPr="008A108E" w:rsidSect="007565CC">
      <w:headerReference w:type="even" r:id="rId14"/>
      <w:headerReference w:type="default" r:id="rId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12A" w:rsidRDefault="0004612A">
      <w:r>
        <w:separator/>
      </w:r>
    </w:p>
  </w:endnote>
  <w:endnote w:type="continuationSeparator" w:id="0">
    <w:p w:rsidR="0004612A" w:rsidRDefault="0004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12A" w:rsidRDefault="0004612A">
      <w:r>
        <w:separator/>
      </w:r>
    </w:p>
  </w:footnote>
  <w:footnote w:type="continuationSeparator" w:id="0">
    <w:p w:rsidR="0004612A" w:rsidRDefault="0004612A">
      <w:r>
        <w:continuationSeparator/>
      </w:r>
    </w:p>
  </w:footnote>
  <w:footnote w:id="1">
    <w:p w:rsidR="008A108E" w:rsidRPr="008A108E" w:rsidRDefault="008A108E" w:rsidP="008A108E">
      <w:pPr>
        <w:pStyle w:val="FootnoteText"/>
        <w:rPr>
          <w:lang w:val="en-US"/>
        </w:rPr>
      </w:pPr>
      <w:r>
        <w:rPr>
          <w:rStyle w:val="FootnoteReference"/>
        </w:rPr>
        <w:footnoteRef/>
      </w:r>
      <w:r w:rsidRPr="008A108E">
        <w:rPr>
          <w:lang w:val="en-US"/>
        </w:rPr>
        <w:tab/>
        <w:t>According to Recommendation ITU-R BT.1845, the “optimal horizontal viewing angle” is the horizontal viewing angle under which an image is seen at its optimal viewing distance; the “optimal viewing distance” of a digital image is the viewing distance at which two adjacent pixels of the source image (before it is remapped on the display) subtend an angle of 1 arc-min at the viewer’s eye. Since this definition is related to average measured values of human sight, which has a wide dispersion among different persons, the angles are given as rough indications only and they should not be taken to exactly and indifferently apply to all persons in all circumstances.</w:t>
      </w:r>
    </w:p>
  </w:footnote>
  <w:footnote w:id="2">
    <w:p w:rsidR="008A108E" w:rsidRPr="00983A2E" w:rsidRDefault="008A108E" w:rsidP="008A108E">
      <w:pPr>
        <w:pStyle w:val="FootnoteText"/>
        <w:rPr>
          <w:lang w:val="en-US"/>
        </w:rPr>
      </w:pPr>
      <w:r w:rsidRPr="00983A2E">
        <w:rPr>
          <w:rStyle w:val="FootnoteReference"/>
          <w:sz w:val="20"/>
        </w:rPr>
        <w:footnoteRef/>
      </w:r>
      <w:r w:rsidRPr="008A108E">
        <w:rPr>
          <w:lang w:val="en-US"/>
        </w:rPr>
        <w:tab/>
      </w:r>
      <w:r w:rsidRPr="00983A2E">
        <w:rPr>
          <w:lang w:val="en-US"/>
        </w:rPr>
        <w:t>Th</w:t>
      </w:r>
      <w:r>
        <w:rPr>
          <w:lang w:val="en-US"/>
        </w:rPr>
        <w:t xml:space="preserve">is </w:t>
      </w:r>
      <w:r w:rsidRPr="00983A2E">
        <w:rPr>
          <w:lang w:val="en-US"/>
        </w:rPr>
        <w:t xml:space="preserve">perspective </w:t>
      </w:r>
      <w:r>
        <w:rPr>
          <w:lang w:val="en-US"/>
        </w:rPr>
        <w:t>takes into account</w:t>
      </w:r>
      <w:r w:rsidRPr="00983A2E">
        <w:rPr>
          <w:lang w:val="en-US"/>
        </w:rPr>
        <w:t xml:space="preserve"> some well-know</w:t>
      </w:r>
      <w:r>
        <w:rPr>
          <w:lang w:val="en-US"/>
        </w:rPr>
        <w:t>n</w:t>
      </w:r>
      <w:r w:rsidRPr="00983A2E">
        <w:rPr>
          <w:lang w:val="en-US"/>
        </w:rPr>
        <w:t xml:space="preserve"> characteristics of human sight, namely</w:t>
      </w:r>
      <w:r w:rsidR="00A24EB8">
        <w:rPr>
          <w:lang w:val="en-US"/>
        </w:rPr>
        <w:t>:</w:t>
      </w:r>
    </w:p>
    <w:p w:rsidR="008A108E" w:rsidRPr="00983A2E" w:rsidRDefault="008A108E" w:rsidP="00F731AE">
      <w:pPr>
        <w:pStyle w:val="FootnoteText"/>
        <w:tabs>
          <w:tab w:val="left" w:pos="567"/>
        </w:tabs>
        <w:spacing w:before="0"/>
        <w:ind w:left="567" w:hanging="567"/>
        <w:rPr>
          <w:lang w:val="en-US"/>
        </w:rPr>
      </w:pPr>
      <w:r>
        <w:rPr>
          <w:lang w:val="en-US"/>
        </w:rPr>
        <w:tab/>
        <w:t>–</w:t>
      </w:r>
      <w:r>
        <w:rPr>
          <w:lang w:val="en-US"/>
        </w:rPr>
        <w:tab/>
      </w:r>
      <w:r w:rsidRPr="00983A2E">
        <w:rPr>
          <w:lang w:val="en-US"/>
        </w:rPr>
        <w:t>the image on the fovea covers an area of about 15° of the field of view;</w:t>
      </w:r>
    </w:p>
    <w:p w:rsidR="008A108E" w:rsidRPr="00983A2E" w:rsidRDefault="008A108E" w:rsidP="00F731AE">
      <w:pPr>
        <w:pStyle w:val="FootnoteText"/>
        <w:tabs>
          <w:tab w:val="left" w:pos="567"/>
        </w:tabs>
        <w:spacing w:before="0"/>
        <w:ind w:left="567" w:hanging="567"/>
        <w:rPr>
          <w:lang w:val="en-US"/>
        </w:rPr>
      </w:pPr>
      <w:r>
        <w:rPr>
          <w:lang w:val="en-US"/>
        </w:rPr>
        <w:tab/>
        <w:t>–</w:t>
      </w:r>
      <w:r>
        <w:rPr>
          <w:lang w:val="en-US"/>
        </w:rPr>
        <w:tab/>
      </w:r>
      <w:r w:rsidRPr="00983A2E">
        <w:rPr>
          <w:lang w:val="en-US"/>
        </w:rPr>
        <w:t>the field of view typically extends 60° upward, 75° downward, 95° outward and 60° inward (towards the nose) with respect to the horizontal forward-looking direction;</w:t>
      </w:r>
    </w:p>
    <w:p w:rsidR="008A108E" w:rsidRPr="008A108E" w:rsidRDefault="008A108E" w:rsidP="00F731AE">
      <w:pPr>
        <w:pStyle w:val="FootnoteText"/>
        <w:tabs>
          <w:tab w:val="left" w:pos="567"/>
        </w:tabs>
        <w:spacing w:before="0"/>
        <w:ind w:left="567" w:hanging="567"/>
        <w:rPr>
          <w:lang w:val="en-US"/>
        </w:rPr>
      </w:pPr>
      <w:r>
        <w:rPr>
          <w:lang w:val="en-US"/>
        </w:rPr>
        <w:tab/>
        <w:t>–</w:t>
      </w:r>
      <w:r>
        <w:rPr>
          <w:lang w:val="en-US"/>
        </w:rPr>
        <w:tab/>
      </w:r>
      <w:r w:rsidRPr="008A108E">
        <w:rPr>
          <w:lang w:val="en-US" w:eastAsia="zh-CN"/>
        </w:rPr>
        <w:t>binocular vision typically spans 120° in the horizontal direction.</w:t>
      </w:r>
    </w:p>
  </w:footnote>
  <w:footnote w:id="3">
    <w:p w:rsidR="008A108E" w:rsidRPr="008A108E" w:rsidRDefault="008A108E" w:rsidP="008A108E">
      <w:pPr>
        <w:pStyle w:val="FootnoteText"/>
        <w:rPr>
          <w:lang w:val="en-US"/>
        </w:rPr>
      </w:pPr>
      <w:r w:rsidRPr="00B62EDB">
        <w:rPr>
          <w:rStyle w:val="FootnoteReference"/>
          <w:sz w:val="20"/>
        </w:rPr>
        <w:footnoteRef/>
      </w:r>
      <w:r w:rsidRPr="008A108E">
        <w:rPr>
          <w:lang w:val="en-US"/>
        </w:rPr>
        <w:tab/>
        <w:t>A description of the human head-eye movement coordination mechanism can be found, for instance in H.H.L.M. Goossens and A.J. Van Opstal “Human eye-head coordination in two dimensions under different sensorimotor conditions” - Exp Brain Res (1997) 114:542-560.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04" w:rsidRPr="008A108E" w:rsidRDefault="00F44B7F" w:rsidP="00292604">
    <w:pPr>
      <w:pStyle w:val="Header"/>
      <w:jc w:val="both"/>
      <w:rPr>
        <w:lang w:val="en-US"/>
      </w:rPr>
    </w:pPr>
    <w:r w:rsidRPr="00292604">
      <w:rPr>
        <w:b/>
        <w:bCs/>
      </w:rPr>
      <w:fldChar w:fldCharType="begin"/>
    </w:r>
    <w:r w:rsidR="00292604" w:rsidRPr="00292604">
      <w:rPr>
        <w:b/>
        <w:bCs/>
        <w:lang w:val="en-US"/>
      </w:rPr>
      <w:instrText xml:space="preserve"> PAGE </w:instrText>
    </w:r>
    <w:r w:rsidRPr="00292604">
      <w:rPr>
        <w:b/>
        <w:bCs/>
      </w:rPr>
      <w:fldChar w:fldCharType="separate"/>
    </w:r>
    <w:r w:rsidR="00E67699">
      <w:rPr>
        <w:b/>
        <w:bCs/>
        <w:noProof/>
        <w:lang w:val="en-US"/>
      </w:rPr>
      <w:t>ii</w:t>
    </w:r>
    <w:r w:rsidRPr="00292604">
      <w:fldChar w:fldCharType="end"/>
    </w:r>
    <w:r w:rsidR="00292604" w:rsidRPr="00292604">
      <w:rPr>
        <w:lang w:val="en-US"/>
      </w:rPr>
      <w:tab/>
    </w:r>
    <w:r w:rsidR="00DB751C">
      <w:fldChar w:fldCharType="begin"/>
    </w:r>
    <w:r w:rsidR="00DB751C" w:rsidRPr="008A108E">
      <w:rPr>
        <w:lang w:val="en-US"/>
      </w:rPr>
      <w:instrText xml:space="preserve"> DOCPROPERTY "Header 2" \* MERGEFORMAT </w:instrText>
    </w:r>
    <w:r w:rsidR="00DB751C">
      <w:fldChar w:fldCharType="separate"/>
    </w:r>
    <w:r w:rsidR="00DB751C" w:rsidRPr="00DB751C">
      <w:rPr>
        <w:b/>
        <w:bCs/>
        <w:lang w:val="en-US"/>
      </w:rPr>
      <w:t xml:space="preserve">Rep. </w:t>
    </w:r>
    <w:r w:rsidR="00DB751C">
      <w:rPr>
        <w:b/>
        <w:bCs/>
        <w:lang w:val="en-US"/>
      </w:rPr>
      <w:fldChar w:fldCharType="end"/>
    </w:r>
    <w:r w:rsidR="00292604" w:rsidRPr="008A108E">
      <w:rPr>
        <w:b/>
        <w:bCs/>
        <w:lang w:val="en-US"/>
      </w:rPr>
      <w:t xml:space="preserve"> </w:t>
    </w:r>
    <w:r w:rsidRPr="00292604">
      <w:rPr>
        <w:b/>
        <w:bCs/>
      </w:rPr>
      <w:fldChar w:fldCharType="begin"/>
    </w:r>
    <w:r w:rsidR="00292604" w:rsidRPr="00292604">
      <w:rPr>
        <w:b/>
        <w:bCs/>
        <w:lang w:val="en-US"/>
      </w:rPr>
      <w:instrText>styleref href</w:instrText>
    </w:r>
    <w:r w:rsidRPr="00292604">
      <w:rPr>
        <w:b/>
        <w:bCs/>
      </w:rPr>
      <w:fldChar w:fldCharType="separate"/>
    </w:r>
    <w:r w:rsidR="00E67699">
      <w:rPr>
        <w:b/>
        <w:bCs/>
        <w:noProof/>
      </w:rPr>
      <w:t>ITU-R  BT.2216</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C9" w:rsidRDefault="001E576F"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EB8" w:rsidRPr="008A108E" w:rsidRDefault="00A24EB8"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E67699">
      <w:rPr>
        <w:b/>
        <w:bCs/>
        <w:noProof/>
        <w:lang w:val="en-US"/>
      </w:rPr>
      <w:t>4</w:t>
    </w:r>
    <w:r w:rsidRPr="00292604">
      <w:fldChar w:fldCharType="end"/>
    </w:r>
    <w:r w:rsidRPr="00292604">
      <w:rPr>
        <w:lang w:val="en-US"/>
      </w:rPr>
      <w:tab/>
    </w:r>
    <w:r>
      <w:fldChar w:fldCharType="begin"/>
    </w:r>
    <w:r w:rsidRPr="008A108E">
      <w:rPr>
        <w:lang w:val="en-US"/>
      </w:rPr>
      <w:instrText xml:space="preserve"> DOCPROPERTY "Header 2" \* MERGEFORMAT </w:instrText>
    </w:r>
    <w:r>
      <w:fldChar w:fldCharType="separate"/>
    </w:r>
    <w:r w:rsidR="00DB751C" w:rsidRPr="00DB751C">
      <w:rPr>
        <w:b/>
        <w:bCs/>
        <w:lang w:val="en-US"/>
      </w:rPr>
      <w:t xml:space="preserve">Rep. </w:t>
    </w:r>
    <w:r>
      <w:rPr>
        <w:b/>
        <w:bCs/>
        <w:lang w:val="en-US"/>
      </w:rPr>
      <w:fldChar w:fldCharType="end"/>
    </w:r>
    <w:r w:rsidRPr="008A108E">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67699">
      <w:rPr>
        <w:b/>
        <w:bCs/>
        <w:noProof/>
      </w:rPr>
      <w:t>ITU-R  BT.2216</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04" w:rsidRPr="00292604" w:rsidRDefault="00292604" w:rsidP="00292604">
    <w:pPr>
      <w:pStyle w:val="Header"/>
    </w:pPr>
    <w:r w:rsidRPr="00292604">
      <w:rPr>
        <w:lang w:val="en-US"/>
      </w:rPr>
      <w:tab/>
    </w:r>
    <w:r w:rsidR="00E67699">
      <w:fldChar w:fldCharType="begin"/>
    </w:r>
    <w:r w:rsidR="00E67699">
      <w:instrText xml:space="preserve"> DOCPROPERTY "Header 2" \* MERGEFORMAT </w:instrText>
    </w:r>
    <w:r w:rsidR="00E67699">
      <w:fldChar w:fldCharType="separate"/>
    </w:r>
    <w:r w:rsidR="00DB751C" w:rsidRPr="00DB751C">
      <w:rPr>
        <w:b/>
        <w:bCs/>
        <w:lang w:val="en-US"/>
      </w:rPr>
      <w:t xml:space="preserve">Rep. </w:t>
    </w:r>
    <w:r w:rsidR="00E67699">
      <w:rPr>
        <w:b/>
        <w:bCs/>
        <w:lang w:val="en-US"/>
      </w:rPr>
      <w:fldChar w:fldCharType="end"/>
    </w:r>
    <w:r w:rsidRPr="00292604">
      <w:rPr>
        <w:b/>
        <w:bCs/>
      </w:rPr>
      <w:t xml:space="preserve"> </w:t>
    </w:r>
    <w:r w:rsidR="00F44B7F" w:rsidRPr="00292604">
      <w:rPr>
        <w:b/>
        <w:bCs/>
      </w:rPr>
      <w:fldChar w:fldCharType="begin"/>
    </w:r>
    <w:r w:rsidRPr="00292604">
      <w:rPr>
        <w:b/>
        <w:bCs/>
        <w:lang w:val="en-US"/>
      </w:rPr>
      <w:instrText>styleref href</w:instrText>
    </w:r>
    <w:r w:rsidR="00F44B7F" w:rsidRPr="00292604">
      <w:rPr>
        <w:b/>
        <w:bCs/>
      </w:rPr>
      <w:fldChar w:fldCharType="separate"/>
    </w:r>
    <w:r w:rsidR="00E67699">
      <w:rPr>
        <w:b/>
        <w:bCs/>
        <w:noProof/>
      </w:rPr>
      <w:t>ITU-R  BT.2216</w:t>
    </w:r>
    <w:r w:rsidR="00F44B7F" w:rsidRPr="00292604">
      <w:fldChar w:fldCharType="end"/>
    </w:r>
    <w:r w:rsidRPr="00292604">
      <w:tab/>
    </w:r>
    <w:r w:rsidR="00F44B7F" w:rsidRPr="00292604">
      <w:rPr>
        <w:b/>
        <w:bCs/>
      </w:rPr>
      <w:fldChar w:fldCharType="begin"/>
    </w:r>
    <w:r w:rsidRPr="00292604">
      <w:rPr>
        <w:b/>
        <w:bCs/>
        <w:lang w:val="en-US"/>
      </w:rPr>
      <w:instrText xml:space="preserve"> PAGE </w:instrText>
    </w:r>
    <w:r w:rsidR="00F44B7F" w:rsidRPr="00292604">
      <w:rPr>
        <w:b/>
        <w:bCs/>
      </w:rPr>
      <w:fldChar w:fldCharType="separate"/>
    </w:r>
    <w:r w:rsidR="00E67699">
      <w:rPr>
        <w:b/>
        <w:bCs/>
        <w:noProof/>
        <w:lang w:val="en-US"/>
      </w:rPr>
      <w:t>3</w:t>
    </w:r>
    <w:r w:rsidR="00F44B7F"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4612A"/>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1E576F"/>
    <w:rsid w:val="00201545"/>
    <w:rsid w:val="002058CE"/>
    <w:rsid w:val="00213578"/>
    <w:rsid w:val="002165F1"/>
    <w:rsid w:val="00247681"/>
    <w:rsid w:val="002558DC"/>
    <w:rsid w:val="00276D21"/>
    <w:rsid w:val="00280CD5"/>
    <w:rsid w:val="00292604"/>
    <w:rsid w:val="00296D7F"/>
    <w:rsid w:val="00297D43"/>
    <w:rsid w:val="002B32C9"/>
    <w:rsid w:val="002B3CF6"/>
    <w:rsid w:val="002C768A"/>
    <w:rsid w:val="002D1160"/>
    <w:rsid w:val="002D76C4"/>
    <w:rsid w:val="00333184"/>
    <w:rsid w:val="00351573"/>
    <w:rsid w:val="003571CE"/>
    <w:rsid w:val="00357282"/>
    <w:rsid w:val="00362ED1"/>
    <w:rsid w:val="00382E8A"/>
    <w:rsid w:val="00420DFD"/>
    <w:rsid w:val="004319C1"/>
    <w:rsid w:val="00470E28"/>
    <w:rsid w:val="004720FC"/>
    <w:rsid w:val="004934C5"/>
    <w:rsid w:val="00505FB4"/>
    <w:rsid w:val="00526063"/>
    <w:rsid w:val="00556548"/>
    <w:rsid w:val="005600C9"/>
    <w:rsid w:val="00586EF8"/>
    <w:rsid w:val="005A791E"/>
    <w:rsid w:val="005B49AB"/>
    <w:rsid w:val="005B50E7"/>
    <w:rsid w:val="005E7B4F"/>
    <w:rsid w:val="00607D68"/>
    <w:rsid w:val="006149B1"/>
    <w:rsid w:val="00680D2B"/>
    <w:rsid w:val="00681B32"/>
    <w:rsid w:val="006A1F02"/>
    <w:rsid w:val="006B0B82"/>
    <w:rsid w:val="006E203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70342"/>
    <w:rsid w:val="0087251C"/>
    <w:rsid w:val="008815AC"/>
    <w:rsid w:val="008A108E"/>
    <w:rsid w:val="008B2CC6"/>
    <w:rsid w:val="008C7848"/>
    <w:rsid w:val="008D3D8D"/>
    <w:rsid w:val="009030CC"/>
    <w:rsid w:val="00917AF2"/>
    <w:rsid w:val="0092418A"/>
    <w:rsid w:val="00934ED7"/>
    <w:rsid w:val="009474D9"/>
    <w:rsid w:val="009543C3"/>
    <w:rsid w:val="00966E1B"/>
    <w:rsid w:val="009A351D"/>
    <w:rsid w:val="009F2D2C"/>
    <w:rsid w:val="00A24EB8"/>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E5B84"/>
    <w:rsid w:val="00BF15C3"/>
    <w:rsid w:val="00BF487A"/>
    <w:rsid w:val="00C46BD9"/>
    <w:rsid w:val="00C55258"/>
    <w:rsid w:val="00C728FC"/>
    <w:rsid w:val="00C73560"/>
    <w:rsid w:val="00C7761D"/>
    <w:rsid w:val="00C93B65"/>
    <w:rsid w:val="00CB0F14"/>
    <w:rsid w:val="00CB47A0"/>
    <w:rsid w:val="00CB60A4"/>
    <w:rsid w:val="00CD58B5"/>
    <w:rsid w:val="00CD659B"/>
    <w:rsid w:val="00CD7A62"/>
    <w:rsid w:val="00CE4858"/>
    <w:rsid w:val="00CF0D45"/>
    <w:rsid w:val="00CF34B5"/>
    <w:rsid w:val="00D0034D"/>
    <w:rsid w:val="00D10CF1"/>
    <w:rsid w:val="00D503C9"/>
    <w:rsid w:val="00D50B43"/>
    <w:rsid w:val="00D57367"/>
    <w:rsid w:val="00D73FBE"/>
    <w:rsid w:val="00D8150A"/>
    <w:rsid w:val="00D83331"/>
    <w:rsid w:val="00D91F7F"/>
    <w:rsid w:val="00DB4F6A"/>
    <w:rsid w:val="00DB751C"/>
    <w:rsid w:val="00DF087C"/>
    <w:rsid w:val="00DF4176"/>
    <w:rsid w:val="00E17240"/>
    <w:rsid w:val="00E1785F"/>
    <w:rsid w:val="00E67699"/>
    <w:rsid w:val="00E7610E"/>
    <w:rsid w:val="00E83CDE"/>
    <w:rsid w:val="00ED683F"/>
    <w:rsid w:val="00F103A9"/>
    <w:rsid w:val="00F20231"/>
    <w:rsid w:val="00F30C9B"/>
    <w:rsid w:val="00F354B1"/>
    <w:rsid w:val="00F44B7F"/>
    <w:rsid w:val="00F545E6"/>
    <w:rsid w:val="00F72869"/>
    <w:rsid w:val="00F731AE"/>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4E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24EB8"/>
    <w:pPr>
      <w:keepNext/>
      <w:keepLines/>
      <w:spacing w:before="480"/>
      <w:ind w:left="794" w:hanging="794"/>
      <w:outlineLvl w:val="0"/>
    </w:pPr>
    <w:rPr>
      <w:b/>
    </w:rPr>
  </w:style>
  <w:style w:type="paragraph" w:styleId="Heading2">
    <w:name w:val="heading 2"/>
    <w:basedOn w:val="Heading1"/>
    <w:next w:val="Normal"/>
    <w:qFormat/>
    <w:rsid w:val="00A24EB8"/>
    <w:pPr>
      <w:spacing w:before="320"/>
      <w:outlineLvl w:val="1"/>
    </w:pPr>
  </w:style>
  <w:style w:type="paragraph" w:styleId="Heading3">
    <w:name w:val="heading 3"/>
    <w:basedOn w:val="Heading1"/>
    <w:next w:val="Normal"/>
    <w:qFormat/>
    <w:rsid w:val="00A24EB8"/>
    <w:pPr>
      <w:spacing w:before="200"/>
      <w:outlineLvl w:val="2"/>
    </w:pPr>
  </w:style>
  <w:style w:type="paragraph" w:styleId="Heading4">
    <w:name w:val="heading 4"/>
    <w:basedOn w:val="Heading3"/>
    <w:next w:val="Normal"/>
    <w:qFormat/>
    <w:rsid w:val="00A24EB8"/>
    <w:pPr>
      <w:tabs>
        <w:tab w:val="clear" w:pos="794"/>
        <w:tab w:val="left" w:pos="992"/>
      </w:tabs>
      <w:ind w:left="992" w:hanging="992"/>
      <w:outlineLvl w:val="3"/>
    </w:pPr>
  </w:style>
  <w:style w:type="paragraph" w:styleId="Heading5">
    <w:name w:val="heading 5"/>
    <w:basedOn w:val="Heading4"/>
    <w:next w:val="Normal"/>
    <w:qFormat/>
    <w:rsid w:val="00A24EB8"/>
    <w:pPr>
      <w:outlineLvl w:val="4"/>
    </w:pPr>
  </w:style>
  <w:style w:type="paragraph" w:styleId="Heading6">
    <w:name w:val="heading 6"/>
    <w:basedOn w:val="Heading4"/>
    <w:next w:val="Normal"/>
    <w:qFormat/>
    <w:rsid w:val="00A24EB8"/>
    <w:pPr>
      <w:tabs>
        <w:tab w:val="clear" w:pos="992"/>
        <w:tab w:val="clear" w:pos="1191"/>
      </w:tabs>
      <w:ind w:left="1588" w:hanging="1588"/>
      <w:outlineLvl w:val="5"/>
    </w:pPr>
  </w:style>
  <w:style w:type="paragraph" w:styleId="Heading7">
    <w:name w:val="heading 7"/>
    <w:basedOn w:val="Heading6"/>
    <w:next w:val="Normal"/>
    <w:qFormat/>
    <w:rsid w:val="00A24EB8"/>
    <w:pPr>
      <w:outlineLvl w:val="6"/>
    </w:pPr>
  </w:style>
  <w:style w:type="paragraph" w:styleId="Heading8">
    <w:name w:val="heading 8"/>
    <w:basedOn w:val="Heading6"/>
    <w:next w:val="Normal"/>
    <w:qFormat/>
    <w:rsid w:val="00A24EB8"/>
    <w:pPr>
      <w:outlineLvl w:val="7"/>
    </w:pPr>
  </w:style>
  <w:style w:type="paragraph" w:styleId="Heading9">
    <w:name w:val="heading 9"/>
    <w:basedOn w:val="Heading6"/>
    <w:next w:val="Normal"/>
    <w:qFormat/>
    <w:rsid w:val="00A24E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24EB8"/>
    <w:pPr>
      <w:keepNext/>
      <w:keepLines/>
      <w:spacing w:after="280"/>
      <w:jc w:val="center"/>
    </w:pPr>
  </w:style>
  <w:style w:type="paragraph" w:customStyle="1" w:styleId="Blanc">
    <w:name w:val="Blanc"/>
    <w:basedOn w:val="Normal"/>
    <w:next w:val="Tabletext"/>
    <w:rsid w:val="00A24EB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A24E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A24E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24E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24EB8"/>
  </w:style>
  <w:style w:type="paragraph" w:customStyle="1" w:styleId="Headingb">
    <w:name w:val="Heading_b"/>
    <w:basedOn w:val="Heading3"/>
    <w:next w:val="Normal"/>
    <w:rsid w:val="00A24EB8"/>
    <w:pPr>
      <w:spacing w:before="160"/>
      <w:ind w:left="0" w:firstLine="0"/>
      <w:outlineLvl w:val="9"/>
    </w:pPr>
  </w:style>
  <w:style w:type="paragraph" w:customStyle="1" w:styleId="Headingi">
    <w:name w:val="Heading_i"/>
    <w:basedOn w:val="Heading3"/>
    <w:next w:val="Normal"/>
    <w:rsid w:val="00A24EB8"/>
    <w:pPr>
      <w:spacing w:before="160"/>
      <w:ind w:left="0" w:firstLine="0"/>
    </w:pPr>
    <w:rPr>
      <w:b w:val="0"/>
      <w:i/>
    </w:rPr>
  </w:style>
  <w:style w:type="character" w:customStyle="1" w:styleId="href">
    <w:name w:val="href"/>
    <w:basedOn w:val="DefaultParagraphFont"/>
    <w:rsid w:val="00A24EB8"/>
  </w:style>
  <w:style w:type="paragraph" w:customStyle="1" w:styleId="AnnexNoTitle">
    <w:name w:val="Annex_NoTitle"/>
    <w:basedOn w:val="Normal"/>
    <w:next w:val="Normalaftertitle"/>
    <w:rsid w:val="00A24EB8"/>
    <w:pPr>
      <w:keepNext/>
      <w:keepLines/>
      <w:spacing w:before="480" w:after="80"/>
      <w:jc w:val="center"/>
    </w:pPr>
    <w:rPr>
      <w:b/>
      <w:sz w:val="28"/>
    </w:rPr>
  </w:style>
  <w:style w:type="paragraph" w:customStyle="1" w:styleId="enumlev1">
    <w:name w:val="enumlev1"/>
    <w:basedOn w:val="Normal"/>
    <w:rsid w:val="00A24EB8"/>
    <w:pPr>
      <w:spacing w:before="80"/>
      <w:ind w:left="794" w:hanging="794"/>
    </w:pPr>
  </w:style>
  <w:style w:type="paragraph" w:customStyle="1" w:styleId="Equation">
    <w:name w:val="Equation"/>
    <w:basedOn w:val="Normal"/>
    <w:rsid w:val="00A24EB8"/>
    <w:pPr>
      <w:tabs>
        <w:tab w:val="clear" w:pos="1191"/>
        <w:tab w:val="clear" w:pos="1588"/>
        <w:tab w:val="clear" w:pos="1985"/>
        <w:tab w:val="center" w:pos="4820"/>
        <w:tab w:val="right" w:pos="9639"/>
      </w:tabs>
    </w:pPr>
  </w:style>
  <w:style w:type="paragraph" w:customStyle="1" w:styleId="enumlev2">
    <w:name w:val="enumlev2"/>
    <w:basedOn w:val="enumlev1"/>
    <w:rsid w:val="00A24EB8"/>
    <w:pPr>
      <w:ind w:left="1191" w:hanging="397"/>
    </w:pPr>
  </w:style>
  <w:style w:type="paragraph" w:styleId="FootnoteText">
    <w:name w:val="footnote text"/>
    <w:basedOn w:val="Normal"/>
    <w:link w:val="FootnoteTextChar"/>
    <w:rsid w:val="00A24EB8"/>
    <w:pPr>
      <w:keepLines/>
      <w:tabs>
        <w:tab w:val="left" w:pos="255"/>
      </w:tabs>
      <w:ind w:left="255" w:hanging="255"/>
    </w:pPr>
    <w:rPr>
      <w:sz w:val="22"/>
    </w:rPr>
  </w:style>
  <w:style w:type="paragraph" w:customStyle="1" w:styleId="Normalaftertitle">
    <w:name w:val="Normal_after_title"/>
    <w:basedOn w:val="Normal"/>
    <w:next w:val="Normal"/>
    <w:rsid w:val="00A24EB8"/>
    <w:pPr>
      <w:spacing w:before="320"/>
    </w:pPr>
  </w:style>
  <w:style w:type="paragraph" w:customStyle="1" w:styleId="enumlev3">
    <w:name w:val="enumlev3"/>
    <w:basedOn w:val="enumlev2"/>
    <w:rsid w:val="00A24EB8"/>
    <w:pPr>
      <w:ind w:left="1588"/>
    </w:pPr>
  </w:style>
  <w:style w:type="paragraph" w:customStyle="1" w:styleId="Note">
    <w:name w:val="Note"/>
    <w:basedOn w:val="Normal"/>
    <w:rsid w:val="00A24E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24EB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24EB8"/>
    <w:pPr>
      <w:keepNext/>
      <w:keepLines/>
      <w:spacing w:before="240"/>
      <w:jc w:val="center"/>
    </w:pPr>
    <w:rPr>
      <w:b/>
      <w:sz w:val="28"/>
    </w:rPr>
  </w:style>
  <w:style w:type="paragraph" w:customStyle="1" w:styleId="Recref">
    <w:name w:val="Rec_ref"/>
    <w:basedOn w:val="Normal"/>
    <w:next w:val="Recdate"/>
    <w:rsid w:val="00A24EB8"/>
    <w:pPr>
      <w:jc w:val="center"/>
    </w:pPr>
  </w:style>
  <w:style w:type="paragraph" w:customStyle="1" w:styleId="Recdate">
    <w:name w:val="Rec_date"/>
    <w:basedOn w:val="Recref"/>
    <w:next w:val="Normalaftertitle"/>
    <w:rsid w:val="00A24EB8"/>
    <w:pPr>
      <w:jc w:val="right"/>
    </w:pPr>
  </w:style>
  <w:style w:type="paragraph" w:customStyle="1" w:styleId="HeadingSum">
    <w:name w:val="Heading_Sum"/>
    <w:basedOn w:val="Headingb"/>
    <w:next w:val="Normal"/>
    <w:rsid w:val="00A24EB8"/>
    <w:pPr>
      <w:spacing w:before="240"/>
    </w:pPr>
    <w:rPr>
      <w:sz w:val="22"/>
      <w:lang w:val="es-ES_tradnl"/>
    </w:rPr>
  </w:style>
  <w:style w:type="paragraph" w:customStyle="1" w:styleId="AppendixNoTitle">
    <w:name w:val="Appendix_NoTitle"/>
    <w:basedOn w:val="AnnexNoTitle"/>
    <w:next w:val="Normal"/>
    <w:rsid w:val="00A24EB8"/>
  </w:style>
  <w:style w:type="paragraph" w:customStyle="1" w:styleId="Tablefin">
    <w:name w:val="Table_fin"/>
    <w:basedOn w:val="Normal"/>
    <w:next w:val="Normal"/>
    <w:rsid w:val="00A24EB8"/>
    <w:pPr>
      <w:spacing w:before="0"/>
    </w:pPr>
    <w:rPr>
      <w:sz w:val="20"/>
      <w:lang w:val="en-GB"/>
    </w:rPr>
  </w:style>
  <w:style w:type="paragraph" w:customStyle="1" w:styleId="Tablehead">
    <w:name w:val="Table_head"/>
    <w:basedOn w:val="Normal"/>
    <w:next w:val="Normal"/>
    <w:rsid w:val="00A24E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24E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24EB8"/>
    <w:pPr>
      <w:keepNext/>
      <w:spacing w:before="360" w:after="120"/>
      <w:jc w:val="center"/>
    </w:pPr>
  </w:style>
  <w:style w:type="paragraph" w:customStyle="1" w:styleId="Equationlegend">
    <w:name w:val="Equation_legend"/>
    <w:basedOn w:val="NormalIndent"/>
    <w:rsid w:val="00A24E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24EB8"/>
    <w:pPr>
      <w:ind w:left="794"/>
    </w:pPr>
  </w:style>
  <w:style w:type="paragraph" w:customStyle="1" w:styleId="Figurelegend">
    <w:name w:val="Figure_legend"/>
    <w:basedOn w:val="Normal"/>
    <w:rsid w:val="00A24E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24EB8"/>
    <w:pPr>
      <w:keepNext/>
      <w:keepLines/>
      <w:spacing w:before="480" w:after="80"/>
      <w:jc w:val="center"/>
    </w:pPr>
    <w:rPr>
      <w:caps/>
      <w:sz w:val="18"/>
    </w:rPr>
  </w:style>
  <w:style w:type="paragraph" w:customStyle="1" w:styleId="Figuretitle">
    <w:name w:val="Figure_title"/>
    <w:basedOn w:val="Normal"/>
    <w:next w:val="Figure"/>
    <w:rsid w:val="00A24EB8"/>
    <w:pPr>
      <w:keepNext/>
      <w:spacing w:before="0" w:after="120"/>
      <w:jc w:val="center"/>
    </w:pPr>
    <w:rPr>
      <w:rFonts w:ascii="Times New Roman Bold" w:hAnsi="Times New Roman Bold"/>
      <w:b/>
      <w:sz w:val="18"/>
    </w:rPr>
  </w:style>
  <w:style w:type="paragraph" w:customStyle="1" w:styleId="Figure">
    <w:name w:val="Figure"/>
    <w:basedOn w:val="FigureNo"/>
    <w:next w:val="Normal"/>
    <w:rsid w:val="00A24EB8"/>
    <w:pPr>
      <w:keepNext w:val="0"/>
      <w:spacing w:before="0" w:after="240"/>
    </w:pPr>
  </w:style>
  <w:style w:type="paragraph" w:customStyle="1" w:styleId="tocpart">
    <w:name w:val="tocpart"/>
    <w:basedOn w:val="Normal"/>
    <w:rsid w:val="00A24E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24EB8"/>
    <w:pPr>
      <w:keepNext/>
      <w:keepLines/>
      <w:spacing w:before="480"/>
      <w:jc w:val="center"/>
    </w:pPr>
    <w:rPr>
      <w:sz w:val="28"/>
    </w:rPr>
  </w:style>
  <w:style w:type="paragraph" w:customStyle="1" w:styleId="Arttitle">
    <w:name w:val="Art_title"/>
    <w:basedOn w:val="Normal"/>
    <w:next w:val="Normalaftertitle"/>
    <w:rsid w:val="00A24EB8"/>
    <w:pPr>
      <w:keepNext/>
      <w:keepLines/>
      <w:spacing w:before="240"/>
      <w:jc w:val="center"/>
    </w:pPr>
    <w:rPr>
      <w:b/>
      <w:sz w:val="28"/>
    </w:rPr>
  </w:style>
  <w:style w:type="paragraph" w:customStyle="1" w:styleId="ASN1">
    <w:name w:val="ASN.1"/>
    <w:basedOn w:val="Normal"/>
    <w:next w:val="Normal"/>
    <w:rsid w:val="00A24E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24EB8"/>
    <w:pPr>
      <w:keepNext/>
      <w:keepLines/>
      <w:spacing w:before="160"/>
      <w:ind w:left="794"/>
    </w:pPr>
    <w:rPr>
      <w:i/>
    </w:rPr>
  </w:style>
  <w:style w:type="paragraph" w:customStyle="1" w:styleId="ChapNo">
    <w:name w:val="Chap_No"/>
    <w:basedOn w:val="ArtNo"/>
    <w:next w:val="Normal"/>
    <w:rsid w:val="00A24EB8"/>
    <w:rPr>
      <w:b/>
    </w:rPr>
  </w:style>
  <w:style w:type="character" w:styleId="FootnoteReference">
    <w:name w:val="footnote reference"/>
    <w:basedOn w:val="DefaultParagraphFont"/>
    <w:rsid w:val="00A24EB8"/>
    <w:rPr>
      <w:position w:val="6"/>
      <w:sz w:val="18"/>
    </w:rPr>
  </w:style>
  <w:style w:type="paragraph" w:styleId="Index1">
    <w:name w:val="index 1"/>
    <w:basedOn w:val="Normal"/>
    <w:next w:val="Normal"/>
    <w:semiHidden/>
    <w:rsid w:val="00A24EB8"/>
  </w:style>
  <w:style w:type="paragraph" w:styleId="Index2">
    <w:name w:val="index 2"/>
    <w:basedOn w:val="Normal"/>
    <w:next w:val="Normal"/>
    <w:semiHidden/>
    <w:rsid w:val="00A24EB8"/>
    <w:pPr>
      <w:ind w:left="283"/>
    </w:pPr>
  </w:style>
  <w:style w:type="paragraph" w:styleId="Index3">
    <w:name w:val="index 3"/>
    <w:basedOn w:val="Normal"/>
    <w:next w:val="Normal"/>
    <w:semiHidden/>
    <w:rsid w:val="00A24EB8"/>
    <w:pPr>
      <w:ind w:left="566"/>
    </w:pPr>
  </w:style>
  <w:style w:type="paragraph" w:styleId="IndexHeading">
    <w:name w:val="index heading"/>
    <w:basedOn w:val="Normal"/>
    <w:next w:val="Index1"/>
    <w:semiHidden/>
    <w:rsid w:val="00A24EB8"/>
  </w:style>
  <w:style w:type="paragraph" w:customStyle="1" w:styleId="Line">
    <w:name w:val="Line"/>
    <w:basedOn w:val="Normal"/>
    <w:next w:val="Normal"/>
    <w:rsid w:val="00A24E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24E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24EB8"/>
  </w:style>
  <w:style w:type="paragraph" w:customStyle="1" w:styleId="Partref">
    <w:name w:val="Part_ref"/>
    <w:basedOn w:val="Normal"/>
    <w:next w:val="Normal"/>
    <w:rsid w:val="00A24EB8"/>
    <w:pPr>
      <w:keepNext/>
      <w:keepLines/>
      <w:spacing w:after="280"/>
      <w:jc w:val="center"/>
    </w:pPr>
  </w:style>
  <w:style w:type="paragraph" w:customStyle="1" w:styleId="Parttitle">
    <w:name w:val="Part_title"/>
    <w:basedOn w:val="Normal"/>
    <w:next w:val="Normalaftertitle"/>
    <w:rsid w:val="00A24E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24EB8"/>
  </w:style>
  <w:style w:type="paragraph" w:customStyle="1" w:styleId="QuestionNo">
    <w:name w:val="Question_No"/>
    <w:basedOn w:val="RecNo"/>
    <w:next w:val="Normal"/>
    <w:rsid w:val="00A24EB8"/>
  </w:style>
  <w:style w:type="paragraph" w:customStyle="1" w:styleId="Questionref">
    <w:name w:val="Question_ref"/>
    <w:basedOn w:val="Recref"/>
    <w:next w:val="Questiondate"/>
    <w:rsid w:val="00A24EB8"/>
  </w:style>
  <w:style w:type="paragraph" w:customStyle="1" w:styleId="Questiontitle">
    <w:name w:val="Question_title"/>
    <w:basedOn w:val="Normal"/>
    <w:next w:val="Questionref"/>
    <w:rsid w:val="00A24EB8"/>
  </w:style>
  <w:style w:type="paragraph" w:customStyle="1" w:styleId="Reftext">
    <w:name w:val="Ref_text"/>
    <w:basedOn w:val="Normal"/>
    <w:rsid w:val="00A24EB8"/>
    <w:pPr>
      <w:ind w:left="794" w:hanging="794"/>
    </w:pPr>
    <w:rPr>
      <w:sz w:val="22"/>
    </w:rPr>
  </w:style>
  <w:style w:type="paragraph" w:customStyle="1" w:styleId="Reftitle">
    <w:name w:val="Ref_title"/>
    <w:basedOn w:val="Normal"/>
    <w:next w:val="Reftext"/>
    <w:rsid w:val="00A24E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24EB8"/>
  </w:style>
  <w:style w:type="paragraph" w:customStyle="1" w:styleId="RepNo">
    <w:name w:val="Rep_No"/>
    <w:basedOn w:val="RecNo"/>
    <w:next w:val="Reptitle"/>
    <w:rsid w:val="00A24EB8"/>
  </w:style>
  <w:style w:type="paragraph" w:customStyle="1" w:styleId="Reptitle">
    <w:name w:val="Rep_title"/>
    <w:basedOn w:val="Rectitle"/>
    <w:next w:val="Repref"/>
    <w:rsid w:val="00A24EB8"/>
  </w:style>
  <w:style w:type="paragraph" w:customStyle="1" w:styleId="Repref">
    <w:name w:val="Rep_ref"/>
    <w:basedOn w:val="Recref"/>
    <w:next w:val="Repdate"/>
    <w:rsid w:val="00A24EB8"/>
  </w:style>
  <w:style w:type="paragraph" w:customStyle="1" w:styleId="Resdate">
    <w:name w:val="Res_date"/>
    <w:basedOn w:val="Recdate"/>
    <w:next w:val="Normalaftertitle"/>
    <w:rsid w:val="00A24EB8"/>
  </w:style>
  <w:style w:type="paragraph" w:customStyle="1" w:styleId="ResNo">
    <w:name w:val="Res_No"/>
    <w:basedOn w:val="RecNo"/>
    <w:next w:val="Restitle"/>
    <w:rsid w:val="00A24EB8"/>
  </w:style>
  <w:style w:type="paragraph" w:customStyle="1" w:styleId="Restitle">
    <w:name w:val="Res_title"/>
    <w:basedOn w:val="Normal"/>
    <w:next w:val="Resref"/>
    <w:rsid w:val="00A24EB8"/>
    <w:pPr>
      <w:spacing w:before="240"/>
      <w:jc w:val="center"/>
    </w:pPr>
    <w:rPr>
      <w:b/>
      <w:sz w:val="28"/>
    </w:rPr>
  </w:style>
  <w:style w:type="paragraph" w:customStyle="1" w:styleId="Resref">
    <w:name w:val="Res_ref"/>
    <w:basedOn w:val="Recref"/>
    <w:next w:val="Resdate"/>
    <w:rsid w:val="00A24EB8"/>
  </w:style>
  <w:style w:type="paragraph" w:customStyle="1" w:styleId="SectionNo">
    <w:name w:val="Section_No"/>
    <w:basedOn w:val="Normal"/>
    <w:next w:val="Normal"/>
    <w:rsid w:val="00A24EB8"/>
  </w:style>
  <w:style w:type="paragraph" w:customStyle="1" w:styleId="Sectiontitle">
    <w:name w:val="Section_title"/>
    <w:basedOn w:val="Normal"/>
    <w:next w:val="Normalaftertitle"/>
    <w:rsid w:val="00A24E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24EB8"/>
    <w:pPr>
      <w:tabs>
        <w:tab w:val="clear" w:pos="794"/>
        <w:tab w:val="clear" w:pos="1191"/>
        <w:tab w:val="clear" w:pos="1588"/>
        <w:tab w:val="clear" w:pos="1985"/>
        <w:tab w:val="right" w:pos="9611"/>
      </w:tabs>
    </w:pPr>
    <w:rPr>
      <w:i/>
    </w:rPr>
  </w:style>
  <w:style w:type="paragraph" w:styleId="TOC1">
    <w:name w:val="toc 1"/>
    <w:basedOn w:val="Normal"/>
    <w:semiHidden/>
    <w:rsid w:val="00A24E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24EB8"/>
    <w:pPr>
      <w:tabs>
        <w:tab w:val="clear" w:pos="567"/>
        <w:tab w:val="left" w:pos="1276"/>
      </w:tabs>
      <w:spacing w:before="160"/>
      <w:ind w:left="1276" w:hanging="709"/>
    </w:pPr>
  </w:style>
  <w:style w:type="paragraph" w:styleId="TOC3">
    <w:name w:val="toc 3"/>
    <w:basedOn w:val="TOC2"/>
    <w:semiHidden/>
    <w:rsid w:val="00A24EB8"/>
    <w:pPr>
      <w:tabs>
        <w:tab w:val="clear" w:pos="1276"/>
        <w:tab w:val="left" w:pos="2155"/>
      </w:tabs>
      <w:ind w:left="2155" w:hanging="879"/>
    </w:pPr>
  </w:style>
  <w:style w:type="paragraph" w:styleId="TOC4">
    <w:name w:val="toc 4"/>
    <w:basedOn w:val="TOC3"/>
    <w:semiHidden/>
    <w:rsid w:val="00A24EB8"/>
    <w:pPr>
      <w:tabs>
        <w:tab w:val="left" w:pos="3261"/>
      </w:tabs>
      <w:spacing w:before="80"/>
      <w:ind w:left="3261" w:hanging="993"/>
    </w:pPr>
  </w:style>
  <w:style w:type="paragraph" w:styleId="TOC5">
    <w:name w:val="toc 5"/>
    <w:basedOn w:val="TOC4"/>
    <w:semiHidden/>
    <w:rsid w:val="00A24EB8"/>
  </w:style>
  <w:style w:type="paragraph" w:styleId="TOC6">
    <w:name w:val="toc 6"/>
    <w:basedOn w:val="TOC4"/>
    <w:semiHidden/>
    <w:rsid w:val="00A24EB8"/>
  </w:style>
  <w:style w:type="paragraph" w:styleId="TOC7">
    <w:name w:val="toc 7"/>
    <w:basedOn w:val="TOC4"/>
    <w:semiHidden/>
    <w:rsid w:val="00A24EB8"/>
  </w:style>
  <w:style w:type="paragraph" w:styleId="TOC8">
    <w:name w:val="toc 8"/>
    <w:basedOn w:val="TOC4"/>
    <w:semiHidden/>
    <w:rsid w:val="00A24EB8"/>
  </w:style>
  <w:style w:type="paragraph" w:customStyle="1" w:styleId="Appendixref">
    <w:name w:val="Appendix_ref"/>
    <w:basedOn w:val="Annexref"/>
    <w:next w:val="Normalaftertitle"/>
    <w:rsid w:val="00A24EB8"/>
  </w:style>
  <w:style w:type="paragraph" w:customStyle="1" w:styleId="Tabletitle">
    <w:name w:val="Table_title"/>
    <w:basedOn w:val="Normal"/>
    <w:next w:val="Tablehead"/>
    <w:link w:val="TabletitleChar"/>
    <w:rsid w:val="00A24EB8"/>
    <w:pPr>
      <w:keepNext/>
      <w:spacing w:before="0" w:after="120"/>
      <w:jc w:val="center"/>
    </w:pPr>
    <w:rPr>
      <w:b/>
    </w:rPr>
  </w:style>
  <w:style w:type="paragraph" w:customStyle="1" w:styleId="Summary">
    <w:name w:val="Summary"/>
    <w:basedOn w:val="Normal"/>
    <w:next w:val="Normalaftertitle"/>
    <w:rsid w:val="00A24EB8"/>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noteTextChar">
    <w:name w:val="Footnote Text Char"/>
    <w:basedOn w:val="DefaultParagraphFont"/>
    <w:link w:val="FootnoteText"/>
    <w:rsid w:val="008A108E"/>
    <w:rPr>
      <w:sz w:val="22"/>
      <w:lang w:val="fr-FR" w:eastAsia="en-US"/>
    </w:rPr>
  </w:style>
  <w:style w:type="character" w:customStyle="1" w:styleId="TabletitleChar">
    <w:name w:val="Table_title Char"/>
    <w:link w:val="Tabletitle"/>
    <w:locked/>
    <w:rsid w:val="008A108E"/>
    <w:rPr>
      <w:b/>
      <w:sz w:val="24"/>
      <w:lang w:val="fr-FR" w:eastAsia="en-US"/>
    </w:rPr>
  </w:style>
  <w:style w:type="paragraph" w:customStyle="1" w:styleId="Chaptitle">
    <w:name w:val="Chap_title"/>
    <w:basedOn w:val="Arttitle"/>
    <w:next w:val="Normalaftertitle"/>
    <w:rsid w:val="00A24EB8"/>
  </w:style>
  <w:style w:type="paragraph" w:customStyle="1" w:styleId="TableLegendNote">
    <w:name w:val="Table_Legend_Note"/>
    <w:basedOn w:val="Tablelegend"/>
    <w:next w:val="Tablelegend"/>
    <w:rsid w:val="00A24EB8"/>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4E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24EB8"/>
    <w:pPr>
      <w:keepNext/>
      <w:keepLines/>
      <w:spacing w:before="480"/>
      <w:ind w:left="794" w:hanging="794"/>
      <w:outlineLvl w:val="0"/>
    </w:pPr>
    <w:rPr>
      <w:b/>
    </w:rPr>
  </w:style>
  <w:style w:type="paragraph" w:styleId="Heading2">
    <w:name w:val="heading 2"/>
    <w:basedOn w:val="Heading1"/>
    <w:next w:val="Normal"/>
    <w:qFormat/>
    <w:rsid w:val="00A24EB8"/>
    <w:pPr>
      <w:spacing w:before="320"/>
      <w:outlineLvl w:val="1"/>
    </w:pPr>
  </w:style>
  <w:style w:type="paragraph" w:styleId="Heading3">
    <w:name w:val="heading 3"/>
    <w:basedOn w:val="Heading1"/>
    <w:next w:val="Normal"/>
    <w:qFormat/>
    <w:rsid w:val="00A24EB8"/>
    <w:pPr>
      <w:spacing w:before="200"/>
      <w:outlineLvl w:val="2"/>
    </w:pPr>
  </w:style>
  <w:style w:type="paragraph" w:styleId="Heading4">
    <w:name w:val="heading 4"/>
    <w:basedOn w:val="Heading3"/>
    <w:next w:val="Normal"/>
    <w:qFormat/>
    <w:rsid w:val="00A24EB8"/>
    <w:pPr>
      <w:tabs>
        <w:tab w:val="clear" w:pos="794"/>
        <w:tab w:val="left" w:pos="992"/>
      </w:tabs>
      <w:ind w:left="992" w:hanging="992"/>
      <w:outlineLvl w:val="3"/>
    </w:pPr>
  </w:style>
  <w:style w:type="paragraph" w:styleId="Heading5">
    <w:name w:val="heading 5"/>
    <w:basedOn w:val="Heading4"/>
    <w:next w:val="Normal"/>
    <w:qFormat/>
    <w:rsid w:val="00A24EB8"/>
    <w:pPr>
      <w:outlineLvl w:val="4"/>
    </w:pPr>
  </w:style>
  <w:style w:type="paragraph" w:styleId="Heading6">
    <w:name w:val="heading 6"/>
    <w:basedOn w:val="Heading4"/>
    <w:next w:val="Normal"/>
    <w:qFormat/>
    <w:rsid w:val="00A24EB8"/>
    <w:pPr>
      <w:tabs>
        <w:tab w:val="clear" w:pos="992"/>
        <w:tab w:val="clear" w:pos="1191"/>
      </w:tabs>
      <w:ind w:left="1588" w:hanging="1588"/>
      <w:outlineLvl w:val="5"/>
    </w:pPr>
  </w:style>
  <w:style w:type="paragraph" w:styleId="Heading7">
    <w:name w:val="heading 7"/>
    <w:basedOn w:val="Heading6"/>
    <w:next w:val="Normal"/>
    <w:qFormat/>
    <w:rsid w:val="00A24EB8"/>
    <w:pPr>
      <w:outlineLvl w:val="6"/>
    </w:pPr>
  </w:style>
  <w:style w:type="paragraph" w:styleId="Heading8">
    <w:name w:val="heading 8"/>
    <w:basedOn w:val="Heading6"/>
    <w:next w:val="Normal"/>
    <w:qFormat/>
    <w:rsid w:val="00A24EB8"/>
    <w:pPr>
      <w:outlineLvl w:val="7"/>
    </w:pPr>
  </w:style>
  <w:style w:type="paragraph" w:styleId="Heading9">
    <w:name w:val="heading 9"/>
    <w:basedOn w:val="Heading6"/>
    <w:next w:val="Normal"/>
    <w:qFormat/>
    <w:rsid w:val="00A24E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24EB8"/>
    <w:pPr>
      <w:keepNext/>
      <w:keepLines/>
      <w:spacing w:after="280"/>
      <w:jc w:val="center"/>
    </w:pPr>
  </w:style>
  <w:style w:type="paragraph" w:customStyle="1" w:styleId="Blanc">
    <w:name w:val="Blanc"/>
    <w:basedOn w:val="Normal"/>
    <w:next w:val="Tabletext"/>
    <w:rsid w:val="00A24EB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A24E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A24E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24E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24EB8"/>
  </w:style>
  <w:style w:type="paragraph" w:customStyle="1" w:styleId="Headingb">
    <w:name w:val="Heading_b"/>
    <w:basedOn w:val="Heading3"/>
    <w:next w:val="Normal"/>
    <w:rsid w:val="00A24EB8"/>
    <w:pPr>
      <w:spacing w:before="160"/>
      <w:ind w:left="0" w:firstLine="0"/>
      <w:outlineLvl w:val="9"/>
    </w:pPr>
  </w:style>
  <w:style w:type="paragraph" w:customStyle="1" w:styleId="Headingi">
    <w:name w:val="Heading_i"/>
    <w:basedOn w:val="Heading3"/>
    <w:next w:val="Normal"/>
    <w:rsid w:val="00A24EB8"/>
    <w:pPr>
      <w:spacing w:before="160"/>
      <w:ind w:left="0" w:firstLine="0"/>
    </w:pPr>
    <w:rPr>
      <w:b w:val="0"/>
      <w:i/>
    </w:rPr>
  </w:style>
  <w:style w:type="character" w:customStyle="1" w:styleId="href">
    <w:name w:val="href"/>
    <w:basedOn w:val="DefaultParagraphFont"/>
    <w:rsid w:val="00A24EB8"/>
  </w:style>
  <w:style w:type="paragraph" w:customStyle="1" w:styleId="AnnexNoTitle">
    <w:name w:val="Annex_NoTitle"/>
    <w:basedOn w:val="Normal"/>
    <w:next w:val="Normalaftertitle"/>
    <w:rsid w:val="00A24EB8"/>
    <w:pPr>
      <w:keepNext/>
      <w:keepLines/>
      <w:spacing w:before="480" w:after="80"/>
      <w:jc w:val="center"/>
    </w:pPr>
    <w:rPr>
      <w:b/>
      <w:sz w:val="28"/>
    </w:rPr>
  </w:style>
  <w:style w:type="paragraph" w:customStyle="1" w:styleId="enumlev1">
    <w:name w:val="enumlev1"/>
    <w:basedOn w:val="Normal"/>
    <w:rsid w:val="00A24EB8"/>
    <w:pPr>
      <w:spacing w:before="80"/>
      <w:ind w:left="794" w:hanging="794"/>
    </w:pPr>
  </w:style>
  <w:style w:type="paragraph" w:customStyle="1" w:styleId="Equation">
    <w:name w:val="Equation"/>
    <w:basedOn w:val="Normal"/>
    <w:rsid w:val="00A24EB8"/>
    <w:pPr>
      <w:tabs>
        <w:tab w:val="clear" w:pos="1191"/>
        <w:tab w:val="clear" w:pos="1588"/>
        <w:tab w:val="clear" w:pos="1985"/>
        <w:tab w:val="center" w:pos="4820"/>
        <w:tab w:val="right" w:pos="9639"/>
      </w:tabs>
    </w:pPr>
  </w:style>
  <w:style w:type="paragraph" w:customStyle="1" w:styleId="enumlev2">
    <w:name w:val="enumlev2"/>
    <w:basedOn w:val="enumlev1"/>
    <w:rsid w:val="00A24EB8"/>
    <w:pPr>
      <w:ind w:left="1191" w:hanging="397"/>
    </w:pPr>
  </w:style>
  <w:style w:type="paragraph" w:styleId="FootnoteText">
    <w:name w:val="footnote text"/>
    <w:basedOn w:val="Normal"/>
    <w:link w:val="FootnoteTextChar"/>
    <w:rsid w:val="00A24EB8"/>
    <w:pPr>
      <w:keepLines/>
      <w:tabs>
        <w:tab w:val="left" w:pos="255"/>
      </w:tabs>
      <w:ind w:left="255" w:hanging="255"/>
    </w:pPr>
    <w:rPr>
      <w:sz w:val="22"/>
    </w:rPr>
  </w:style>
  <w:style w:type="paragraph" w:customStyle="1" w:styleId="Normalaftertitle">
    <w:name w:val="Normal_after_title"/>
    <w:basedOn w:val="Normal"/>
    <w:next w:val="Normal"/>
    <w:rsid w:val="00A24EB8"/>
    <w:pPr>
      <w:spacing w:before="320"/>
    </w:pPr>
  </w:style>
  <w:style w:type="paragraph" w:customStyle="1" w:styleId="enumlev3">
    <w:name w:val="enumlev3"/>
    <w:basedOn w:val="enumlev2"/>
    <w:rsid w:val="00A24EB8"/>
    <w:pPr>
      <w:ind w:left="1588"/>
    </w:pPr>
  </w:style>
  <w:style w:type="paragraph" w:customStyle="1" w:styleId="Note">
    <w:name w:val="Note"/>
    <w:basedOn w:val="Normal"/>
    <w:rsid w:val="00A24E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24EB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24EB8"/>
    <w:pPr>
      <w:keepNext/>
      <w:keepLines/>
      <w:spacing w:before="240"/>
      <w:jc w:val="center"/>
    </w:pPr>
    <w:rPr>
      <w:b/>
      <w:sz w:val="28"/>
    </w:rPr>
  </w:style>
  <w:style w:type="paragraph" w:customStyle="1" w:styleId="Recref">
    <w:name w:val="Rec_ref"/>
    <w:basedOn w:val="Normal"/>
    <w:next w:val="Recdate"/>
    <w:rsid w:val="00A24EB8"/>
    <w:pPr>
      <w:jc w:val="center"/>
    </w:pPr>
  </w:style>
  <w:style w:type="paragraph" w:customStyle="1" w:styleId="Recdate">
    <w:name w:val="Rec_date"/>
    <w:basedOn w:val="Recref"/>
    <w:next w:val="Normalaftertitle"/>
    <w:rsid w:val="00A24EB8"/>
    <w:pPr>
      <w:jc w:val="right"/>
    </w:pPr>
  </w:style>
  <w:style w:type="paragraph" w:customStyle="1" w:styleId="HeadingSum">
    <w:name w:val="Heading_Sum"/>
    <w:basedOn w:val="Headingb"/>
    <w:next w:val="Normal"/>
    <w:rsid w:val="00A24EB8"/>
    <w:pPr>
      <w:spacing w:before="240"/>
    </w:pPr>
    <w:rPr>
      <w:sz w:val="22"/>
      <w:lang w:val="es-ES_tradnl"/>
    </w:rPr>
  </w:style>
  <w:style w:type="paragraph" w:customStyle="1" w:styleId="AppendixNoTitle">
    <w:name w:val="Appendix_NoTitle"/>
    <w:basedOn w:val="AnnexNoTitle"/>
    <w:next w:val="Normal"/>
    <w:rsid w:val="00A24EB8"/>
  </w:style>
  <w:style w:type="paragraph" w:customStyle="1" w:styleId="Tablefin">
    <w:name w:val="Table_fin"/>
    <w:basedOn w:val="Normal"/>
    <w:next w:val="Normal"/>
    <w:rsid w:val="00A24EB8"/>
    <w:pPr>
      <w:spacing w:before="0"/>
    </w:pPr>
    <w:rPr>
      <w:sz w:val="20"/>
      <w:lang w:val="en-GB"/>
    </w:rPr>
  </w:style>
  <w:style w:type="paragraph" w:customStyle="1" w:styleId="Tablehead">
    <w:name w:val="Table_head"/>
    <w:basedOn w:val="Normal"/>
    <w:next w:val="Normal"/>
    <w:rsid w:val="00A24E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24E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24EB8"/>
    <w:pPr>
      <w:keepNext/>
      <w:spacing w:before="360" w:after="120"/>
      <w:jc w:val="center"/>
    </w:pPr>
  </w:style>
  <w:style w:type="paragraph" w:customStyle="1" w:styleId="Equationlegend">
    <w:name w:val="Equation_legend"/>
    <w:basedOn w:val="NormalIndent"/>
    <w:rsid w:val="00A24E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24EB8"/>
    <w:pPr>
      <w:ind w:left="794"/>
    </w:pPr>
  </w:style>
  <w:style w:type="paragraph" w:customStyle="1" w:styleId="Figurelegend">
    <w:name w:val="Figure_legend"/>
    <w:basedOn w:val="Normal"/>
    <w:rsid w:val="00A24E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24EB8"/>
    <w:pPr>
      <w:keepNext/>
      <w:keepLines/>
      <w:spacing w:before="480" w:after="80"/>
      <w:jc w:val="center"/>
    </w:pPr>
    <w:rPr>
      <w:caps/>
      <w:sz w:val="18"/>
    </w:rPr>
  </w:style>
  <w:style w:type="paragraph" w:customStyle="1" w:styleId="Figuretitle">
    <w:name w:val="Figure_title"/>
    <w:basedOn w:val="Normal"/>
    <w:next w:val="Figure"/>
    <w:rsid w:val="00A24EB8"/>
    <w:pPr>
      <w:keepNext/>
      <w:spacing w:before="0" w:after="120"/>
      <w:jc w:val="center"/>
    </w:pPr>
    <w:rPr>
      <w:rFonts w:ascii="Times New Roman Bold" w:hAnsi="Times New Roman Bold"/>
      <w:b/>
      <w:sz w:val="18"/>
    </w:rPr>
  </w:style>
  <w:style w:type="paragraph" w:customStyle="1" w:styleId="Figure">
    <w:name w:val="Figure"/>
    <w:basedOn w:val="FigureNo"/>
    <w:next w:val="Normal"/>
    <w:rsid w:val="00A24EB8"/>
    <w:pPr>
      <w:keepNext w:val="0"/>
      <w:spacing w:before="0" w:after="240"/>
    </w:pPr>
  </w:style>
  <w:style w:type="paragraph" w:customStyle="1" w:styleId="tocpart">
    <w:name w:val="tocpart"/>
    <w:basedOn w:val="Normal"/>
    <w:rsid w:val="00A24E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24EB8"/>
    <w:pPr>
      <w:keepNext/>
      <w:keepLines/>
      <w:spacing w:before="480"/>
      <w:jc w:val="center"/>
    </w:pPr>
    <w:rPr>
      <w:sz w:val="28"/>
    </w:rPr>
  </w:style>
  <w:style w:type="paragraph" w:customStyle="1" w:styleId="Arttitle">
    <w:name w:val="Art_title"/>
    <w:basedOn w:val="Normal"/>
    <w:next w:val="Normalaftertitle"/>
    <w:rsid w:val="00A24EB8"/>
    <w:pPr>
      <w:keepNext/>
      <w:keepLines/>
      <w:spacing w:before="240"/>
      <w:jc w:val="center"/>
    </w:pPr>
    <w:rPr>
      <w:b/>
      <w:sz w:val="28"/>
    </w:rPr>
  </w:style>
  <w:style w:type="paragraph" w:customStyle="1" w:styleId="ASN1">
    <w:name w:val="ASN.1"/>
    <w:basedOn w:val="Normal"/>
    <w:next w:val="Normal"/>
    <w:rsid w:val="00A24E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24EB8"/>
    <w:pPr>
      <w:keepNext/>
      <w:keepLines/>
      <w:spacing w:before="160"/>
      <w:ind w:left="794"/>
    </w:pPr>
    <w:rPr>
      <w:i/>
    </w:rPr>
  </w:style>
  <w:style w:type="paragraph" w:customStyle="1" w:styleId="ChapNo">
    <w:name w:val="Chap_No"/>
    <w:basedOn w:val="ArtNo"/>
    <w:next w:val="Normal"/>
    <w:rsid w:val="00A24EB8"/>
    <w:rPr>
      <w:b/>
    </w:rPr>
  </w:style>
  <w:style w:type="character" w:styleId="FootnoteReference">
    <w:name w:val="footnote reference"/>
    <w:basedOn w:val="DefaultParagraphFont"/>
    <w:rsid w:val="00A24EB8"/>
    <w:rPr>
      <w:position w:val="6"/>
      <w:sz w:val="18"/>
    </w:rPr>
  </w:style>
  <w:style w:type="paragraph" w:styleId="Index1">
    <w:name w:val="index 1"/>
    <w:basedOn w:val="Normal"/>
    <w:next w:val="Normal"/>
    <w:semiHidden/>
    <w:rsid w:val="00A24EB8"/>
  </w:style>
  <w:style w:type="paragraph" w:styleId="Index2">
    <w:name w:val="index 2"/>
    <w:basedOn w:val="Normal"/>
    <w:next w:val="Normal"/>
    <w:semiHidden/>
    <w:rsid w:val="00A24EB8"/>
    <w:pPr>
      <w:ind w:left="283"/>
    </w:pPr>
  </w:style>
  <w:style w:type="paragraph" w:styleId="Index3">
    <w:name w:val="index 3"/>
    <w:basedOn w:val="Normal"/>
    <w:next w:val="Normal"/>
    <w:semiHidden/>
    <w:rsid w:val="00A24EB8"/>
    <w:pPr>
      <w:ind w:left="566"/>
    </w:pPr>
  </w:style>
  <w:style w:type="paragraph" w:styleId="IndexHeading">
    <w:name w:val="index heading"/>
    <w:basedOn w:val="Normal"/>
    <w:next w:val="Index1"/>
    <w:semiHidden/>
    <w:rsid w:val="00A24EB8"/>
  </w:style>
  <w:style w:type="paragraph" w:customStyle="1" w:styleId="Line">
    <w:name w:val="Line"/>
    <w:basedOn w:val="Normal"/>
    <w:next w:val="Normal"/>
    <w:rsid w:val="00A24E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24E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24EB8"/>
  </w:style>
  <w:style w:type="paragraph" w:customStyle="1" w:styleId="Partref">
    <w:name w:val="Part_ref"/>
    <w:basedOn w:val="Normal"/>
    <w:next w:val="Normal"/>
    <w:rsid w:val="00A24EB8"/>
    <w:pPr>
      <w:keepNext/>
      <w:keepLines/>
      <w:spacing w:after="280"/>
      <w:jc w:val="center"/>
    </w:pPr>
  </w:style>
  <w:style w:type="paragraph" w:customStyle="1" w:styleId="Parttitle">
    <w:name w:val="Part_title"/>
    <w:basedOn w:val="Normal"/>
    <w:next w:val="Normalaftertitle"/>
    <w:rsid w:val="00A24E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24EB8"/>
  </w:style>
  <w:style w:type="paragraph" w:customStyle="1" w:styleId="QuestionNo">
    <w:name w:val="Question_No"/>
    <w:basedOn w:val="RecNo"/>
    <w:next w:val="Normal"/>
    <w:rsid w:val="00A24EB8"/>
  </w:style>
  <w:style w:type="paragraph" w:customStyle="1" w:styleId="Questionref">
    <w:name w:val="Question_ref"/>
    <w:basedOn w:val="Recref"/>
    <w:next w:val="Questiondate"/>
    <w:rsid w:val="00A24EB8"/>
  </w:style>
  <w:style w:type="paragraph" w:customStyle="1" w:styleId="Questiontitle">
    <w:name w:val="Question_title"/>
    <w:basedOn w:val="Normal"/>
    <w:next w:val="Questionref"/>
    <w:rsid w:val="00A24EB8"/>
  </w:style>
  <w:style w:type="paragraph" w:customStyle="1" w:styleId="Reftext">
    <w:name w:val="Ref_text"/>
    <w:basedOn w:val="Normal"/>
    <w:rsid w:val="00A24EB8"/>
    <w:pPr>
      <w:ind w:left="794" w:hanging="794"/>
    </w:pPr>
    <w:rPr>
      <w:sz w:val="22"/>
    </w:rPr>
  </w:style>
  <w:style w:type="paragraph" w:customStyle="1" w:styleId="Reftitle">
    <w:name w:val="Ref_title"/>
    <w:basedOn w:val="Normal"/>
    <w:next w:val="Reftext"/>
    <w:rsid w:val="00A24E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24EB8"/>
  </w:style>
  <w:style w:type="paragraph" w:customStyle="1" w:styleId="RepNo">
    <w:name w:val="Rep_No"/>
    <w:basedOn w:val="RecNo"/>
    <w:next w:val="Reptitle"/>
    <w:rsid w:val="00A24EB8"/>
  </w:style>
  <w:style w:type="paragraph" w:customStyle="1" w:styleId="Reptitle">
    <w:name w:val="Rep_title"/>
    <w:basedOn w:val="Rectitle"/>
    <w:next w:val="Repref"/>
    <w:rsid w:val="00A24EB8"/>
  </w:style>
  <w:style w:type="paragraph" w:customStyle="1" w:styleId="Repref">
    <w:name w:val="Rep_ref"/>
    <w:basedOn w:val="Recref"/>
    <w:next w:val="Repdate"/>
    <w:rsid w:val="00A24EB8"/>
  </w:style>
  <w:style w:type="paragraph" w:customStyle="1" w:styleId="Resdate">
    <w:name w:val="Res_date"/>
    <w:basedOn w:val="Recdate"/>
    <w:next w:val="Normalaftertitle"/>
    <w:rsid w:val="00A24EB8"/>
  </w:style>
  <w:style w:type="paragraph" w:customStyle="1" w:styleId="ResNo">
    <w:name w:val="Res_No"/>
    <w:basedOn w:val="RecNo"/>
    <w:next w:val="Restitle"/>
    <w:rsid w:val="00A24EB8"/>
  </w:style>
  <w:style w:type="paragraph" w:customStyle="1" w:styleId="Restitle">
    <w:name w:val="Res_title"/>
    <w:basedOn w:val="Normal"/>
    <w:next w:val="Resref"/>
    <w:rsid w:val="00A24EB8"/>
    <w:pPr>
      <w:spacing w:before="240"/>
      <w:jc w:val="center"/>
    </w:pPr>
    <w:rPr>
      <w:b/>
      <w:sz w:val="28"/>
    </w:rPr>
  </w:style>
  <w:style w:type="paragraph" w:customStyle="1" w:styleId="Resref">
    <w:name w:val="Res_ref"/>
    <w:basedOn w:val="Recref"/>
    <w:next w:val="Resdate"/>
    <w:rsid w:val="00A24EB8"/>
  </w:style>
  <w:style w:type="paragraph" w:customStyle="1" w:styleId="SectionNo">
    <w:name w:val="Section_No"/>
    <w:basedOn w:val="Normal"/>
    <w:next w:val="Normal"/>
    <w:rsid w:val="00A24EB8"/>
  </w:style>
  <w:style w:type="paragraph" w:customStyle="1" w:styleId="Sectiontitle">
    <w:name w:val="Section_title"/>
    <w:basedOn w:val="Normal"/>
    <w:next w:val="Normalaftertitle"/>
    <w:rsid w:val="00A24E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24EB8"/>
    <w:pPr>
      <w:tabs>
        <w:tab w:val="clear" w:pos="794"/>
        <w:tab w:val="clear" w:pos="1191"/>
        <w:tab w:val="clear" w:pos="1588"/>
        <w:tab w:val="clear" w:pos="1985"/>
        <w:tab w:val="right" w:pos="9611"/>
      </w:tabs>
    </w:pPr>
    <w:rPr>
      <w:i/>
    </w:rPr>
  </w:style>
  <w:style w:type="paragraph" w:styleId="TOC1">
    <w:name w:val="toc 1"/>
    <w:basedOn w:val="Normal"/>
    <w:semiHidden/>
    <w:rsid w:val="00A24E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24EB8"/>
    <w:pPr>
      <w:tabs>
        <w:tab w:val="clear" w:pos="567"/>
        <w:tab w:val="left" w:pos="1276"/>
      </w:tabs>
      <w:spacing w:before="160"/>
      <w:ind w:left="1276" w:hanging="709"/>
    </w:pPr>
  </w:style>
  <w:style w:type="paragraph" w:styleId="TOC3">
    <w:name w:val="toc 3"/>
    <w:basedOn w:val="TOC2"/>
    <w:semiHidden/>
    <w:rsid w:val="00A24EB8"/>
    <w:pPr>
      <w:tabs>
        <w:tab w:val="clear" w:pos="1276"/>
        <w:tab w:val="left" w:pos="2155"/>
      </w:tabs>
      <w:ind w:left="2155" w:hanging="879"/>
    </w:pPr>
  </w:style>
  <w:style w:type="paragraph" w:styleId="TOC4">
    <w:name w:val="toc 4"/>
    <w:basedOn w:val="TOC3"/>
    <w:semiHidden/>
    <w:rsid w:val="00A24EB8"/>
    <w:pPr>
      <w:tabs>
        <w:tab w:val="left" w:pos="3261"/>
      </w:tabs>
      <w:spacing w:before="80"/>
      <w:ind w:left="3261" w:hanging="993"/>
    </w:pPr>
  </w:style>
  <w:style w:type="paragraph" w:styleId="TOC5">
    <w:name w:val="toc 5"/>
    <w:basedOn w:val="TOC4"/>
    <w:semiHidden/>
    <w:rsid w:val="00A24EB8"/>
  </w:style>
  <w:style w:type="paragraph" w:styleId="TOC6">
    <w:name w:val="toc 6"/>
    <w:basedOn w:val="TOC4"/>
    <w:semiHidden/>
    <w:rsid w:val="00A24EB8"/>
  </w:style>
  <w:style w:type="paragraph" w:styleId="TOC7">
    <w:name w:val="toc 7"/>
    <w:basedOn w:val="TOC4"/>
    <w:semiHidden/>
    <w:rsid w:val="00A24EB8"/>
  </w:style>
  <w:style w:type="paragraph" w:styleId="TOC8">
    <w:name w:val="toc 8"/>
    <w:basedOn w:val="TOC4"/>
    <w:semiHidden/>
    <w:rsid w:val="00A24EB8"/>
  </w:style>
  <w:style w:type="paragraph" w:customStyle="1" w:styleId="Appendixref">
    <w:name w:val="Appendix_ref"/>
    <w:basedOn w:val="Annexref"/>
    <w:next w:val="Normalaftertitle"/>
    <w:rsid w:val="00A24EB8"/>
  </w:style>
  <w:style w:type="paragraph" w:customStyle="1" w:styleId="Tabletitle">
    <w:name w:val="Table_title"/>
    <w:basedOn w:val="Normal"/>
    <w:next w:val="Tablehead"/>
    <w:link w:val="TabletitleChar"/>
    <w:rsid w:val="00A24EB8"/>
    <w:pPr>
      <w:keepNext/>
      <w:spacing w:before="0" w:after="120"/>
      <w:jc w:val="center"/>
    </w:pPr>
    <w:rPr>
      <w:b/>
    </w:rPr>
  </w:style>
  <w:style w:type="paragraph" w:customStyle="1" w:styleId="Summary">
    <w:name w:val="Summary"/>
    <w:basedOn w:val="Normal"/>
    <w:next w:val="Normalaftertitle"/>
    <w:rsid w:val="00A24EB8"/>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noteTextChar">
    <w:name w:val="Footnote Text Char"/>
    <w:basedOn w:val="DefaultParagraphFont"/>
    <w:link w:val="FootnoteText"/>
    <w:rsid w:val="008A108E"/>
    <w:rPr>
      <w:sz w:val="22"/>
      <w:lang w:val="fr-FR" w:eastAsia="en-US"/>
    </w:rPr>
  </w:style>
  <w:style w:type="character" w:customStyle="1" w:styleId="TabletitleChar">
    <w:name w:val="Table_title Char"/>
    <w:link w:val="Tabletitle"/>
    <w:locked/>
    <w:rsid w:val="008A108E"/>
    <w:rPr>
      <w:b/>
      <w:sz w:val="24"/>
      <w:lang w:val="fr-FR" w:eastAsia="en-US"/>
    </w:rPr>
  </w:style>
  <w:style w:type="paragraph" w:customStyle="1" w:styleId="Chaptitle">
    <w:name w:val="Chap_title"/>
    <w:basedOn w:val="Arttitle"/>
    <w:next w:val="Normalaftertitle"/>
    <w:rsid w:val="00A24EB8"/>
  </w:style>
  <w:style w:type="paragraph" w:customStyle="1" w:styleId="TableLegendNote">
    <w:name w:val="Table_Legend_Note"/>
    <w:basedOn w:val="Tablelegend"/>
    <w:next w:val="Tablelegend"/>
    <w:rsid w:val="00A24EB8"/>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6</Pages>
  <Words>1853</Words>
  <Characters>9538</Characters>
  <Application>Microsoft Office Word</Application>
  <DocSecurity>0</DocSecurity>
  <Lines>236</Lines>
  <Paragraphs>99</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11334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02.08.2011, MS-106344</dc:description>
  <cp:lastModifiedBy>soby</cp:lastModifiedBy>
  <cp:revision>6</cp:revision>
  <cp:lastPrinted>2009-07-02T14:41:00Z</cp:lastPrinted>
  <dcterms:created xsi:type="dcterms:W3CDTF">2011-07-27T07:53:00Z</dcterms:created>
  <dcterms:modified xsi:type="dcterms:W3CDTF">2011-08-02T11:13:00Z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mardi, 2. août 2011</vt:lpwstr>
  </property>
</Properties>
</file>