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90767" w:rsidTr="0004612A">
        <w:tc>
          <w:tcPr>
            <w:tcW w:w="10089" w:type="dxa"/>
          </w:tcPr>
          <w:p w:rsidR="00276D21" w:rsidRPr="0004612A" w:rsidRDefault="00D73FBE" w:rsidP="0004612A">
            <w:pPr>
              <w:spacing w:before="380" w:line="280" w:lineRule="exact"/>
              <w:jc w:val="right"/>
              <w:rPr>
                <w:rFonts w:ascii="Tahoma" w:hAnsi="Tahoma" w:cs="Tahoma"/>
                <w:b/>
                <w:bCs/>
                <w:iCs/>
                <w:color w:val="509141"/>
                <w:sz w:val="32"/>
                <w:szCs w:val="32"/>
                <w:lang w:val="en-US"/>
              </w:rPr>
            </w:pPr>
            <w:r w:rsidRPr="0004612A">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6.65pt" o:ole="">
                  <v:imagedata r:id="rId7" o:title=""/>
                </v:shape>
                <o:OLEObject Type="Embed" ProgID="Equation.3" ShapeID="_x0000_i1025" DrawAspect="Content" ObjectID="_1541508580" r:id="rId8"/>
              </w:object>
            </w:r>
          </w:p>
          <w:p w:rsidR="00FE79FE" w:rsidRPr="0004612A" w:rsidRDefault="00FE79FE" w:rsidP="00B04ACB">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w:t>
            </w:r>
            <w:r w:rsidR="00526063" w:rsidRPr="0004612A">
              <w:rPr>
                <w:rFonts w:ascii="Tahoma" w:hAnsi="Tahoma" w:cs="Tahoma"/>
                <w:b/>
                <w:bCs/>
                <w:iCs/>
                <w:color w:val="509141"/>
                <w:sz w:val="36"/>
                <w:szCs w:val="36"/>
                <w:lang w:val="en-US"/>
              </w:rPr>
              <w:t>eport</w:t>
            </w:r>
            <w:r w:rsidRPr="0004612A">
              <w:rPr>
                <w:rFonts w:ascii="Tahoma" w:hAnsi="Tahoma" w:cs="Tahoma"/>
                <w:b/>
                <w:bCs/>
                <w:iCs/>
                <w:color w:val="509141"/>
                <w:sz w:val="36"/>
                <w:szCs w:val="36"/>
                <w:lang w:val="en-US"/>
              </w:rPr>
              <w:t xml:space="preserve">  ITU-R  </w:t>
            </w:r>
            <w:r w:rsidR="00CB60A4" w:rsidRPr="0004612A">
              <w:rPr>
                <w:rFonts w:ascii="Tahoma" w:hAnsi="Tahoma" w:cs="Tahoma"/>
                <w:b/>
                <w:bCs/>
                <w:iCs/>
                <w:color w:val="509141"/>
                <w:sz w:val="36"/>
                <w:szCs w:val="36"/>
                <w:lang w:val="en-US"/>
              </w:rPr>
              <w:t>BT</w:t>
            </w:r>
            <w:r w:rsidRPr="0004612A">
              <w:rPr>
                <w:rFonts w:ascii="Tahoma" w:hAnsi="Tahoma" w:cs="Tahoma"/>
                <w:b/>
                <w:bCs/>
                <w:iCs/>
                <w:color w:val="509141"/>
                <w:sz w:val="36"/>
                <w:szCs w:val="36"/>
                <w:lang w:val="en-US"/>
              </w:rPr>
              <w:t>.</w:t>
            </w:r>
            <w:r w:rsidR="00490767">
              <w:rPr>
                <w:rFonts w:ascii="Tahoma" w:hAnsi="Tahoma" w:cs="Tahoma"/>
                <w:b/>
                <w:bCs/>
                <w:iCs/>
                <w:color w:val="509141"/>
                <w:sz w:val="36"/>
                <w:szCs w:val="36"/>
                <w:lang w:val="en-US"/>
              </w:rPr>
              <w:t>2301-</w:t>
            </w:r>
            <w:r w:rsidR="00B04ACB">
              <w:rPr>
                <w:rFonts w:ascii="Tahoma" w:hAnsi="Tahoma" w:cs="Tahoma"/>
                <w:b/>
                <w:bCs/>
                <w:iCs/>
                <w:color w:val="509141"/>
                <w:sz w:val="36"/>
                <w:szCs w:val="36"/>
                <w:lang w:val="en-US"/>
              </w:rPr>
              <w:t>2</w:t>
            </w:r>
          </w:p>
          <w:p w:rsidR="00FE79FE" w:rsidRPr="0004612A" w:rsidRDefault="00FE79FE" w:rsidP="00B04ACB">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w:t>
            </w:r>
            <w:r w:rsidR="00B04ACB">
              <w:rPr>
                <w:rFonts w:ascii="Tahoma" w:hAnsi="Tahoma" w:cs="Tahoma"/>
                <w:b/>
                <w:bCs/>
                <w:iCs/>
                <w:color w:val="509141"/>
                <w:szCs w:val="24"/>
                <w:lang w:val="en-US"/>
              </w:rPr>
              <w:t>10</w:t>
            </w:r>
            <w:r w:rsidRPr="0004612A">
              <w:rPr>
                <w:rFonts w:ascii="Tahoma" w:hAnsi="Tahoma" w:cs="Tahoma"/>
                <w:b/>
                <w:bCs/>
                <w:iCs/>
                <w:color w:val="509141"/>
                <w:szCs w:val="24"/>
                <w:lang w:val="en-US"/>
              </w:rPr>
              <w:t>/</w:t>
            </w:r>
            <w:r w:rsidR="002D5105">
              <w:rPr>
                <w:rFonts w:ascii="Tahoma" w:hAnsi="Tahoma" w:cs="Tahoma"/>
                <w:b/>
                <w:bCs/>
                <w:iCs/>
                <w:color w:val="509141"/>
                <w:szCs w:val="24"/>
                <w:lang w:val="en-US"/>
              </w:rPr>
              <w:t>201</w:t>
            </w:r>
            <w:r w:rsidR="00B04ACB">
              <w:rPr>
                <w:rFonts w:ascii="Tahoma" w:hAnsi="Tahoma" w:cs="Tahoma"/>
                <w:b/>
                <w:bCs/>
                <w:iCs/>
                <w:color w:val="509141"/>
                <w:szCs w:val="24"/>
                <w:lang w:val="en-US"/>
              </w:rPr>
              <w:t>6</w:t>
            </w:r>
            <w:r w:rsidRPr="0004612A">
              <w:rPr>
                <w:rFonts w:ascii="Tahoma" w:hAnsi="Tahoma" w:cs="Tahoma"/>
                <w:b/>
                <w:bCs/>
                <w:iCs/>
                <w:color w:val="509141"/>
                <w:szCs w:val="24"/>
                <w:lang w:val="en-US"/>
              </w:rPr>
              <w:t>)</w:t>
            </w:r>
          </w:p>
        </w:tc>
      </w:tr>
      <w:tr w:rsidR="00FE79FE" w:rsidRPr="00E72F11" w:rsidTr="0004612A">
        <w:tc>
          <w:tcPr>
            <w:tcW w:w="10089" w:type="dxa"/>
          </w:tcPr>
          <w:p w:rsidR="00013002" w:rsidRPr="0004612A" w:rsidRDefault="00013002" w:rsidP="0004612A">
            <w:pPr>
              <w:spacing w:before="80" w:line="500" w:lineRule="exact"/>
              <w:jc w:val="right"/>
              <w:rPr>
                <w:rFonts w:ascii="Tahoma" w:hAnsi="Tahoma" w:cs="Tahoma"/>
                <w:b/>
                <w:bCs/>
                <w:iCs/>
                <w:color w:val="509141"/>
                <w:sz w:val="44"/>
                <w:szCs w:val="44"/>
                <w:lang w:val="en-US"/>
              </w:rPr>
            </w:pPr>
          </w:p>
          <w:p w:rsidR="00D8150A" w:rsidRPr="0004612A" w:rsidRDefault="003E3EF6" w:rsidP="003E3EF6">
            <w:pPr>
              <w:spacing w:before="80" w:line="500" w:lineRule="exact"/>
              <w:jc w:val="right"/>
              <w:rPr>
                <w:rFonts w:ascii="Tahoma" w:hAnsi="Tahoma" w:cs="Tahoma"/>
                <w:b/>
                <w:bCs/>
                <w:iCs/>
                <w:color w:val="509141"/>
                <w:sz w:val="44"/>
                <w:szCs w:val="44"/>
                <w:lang w:val="en-US"/>
              </w:rPr>
            </w:pPr>
            <w:r w:rsidRPr="003E3EF6">
              <w:rPr>
                <w:rFonts w:ascii="Tahoma" w:hAnsi="Tahoma" w:cs="Tahoma"/>
                <w:b/>
                <w:bCs/>
                <w:iCs/>
                <w:color w:val="509141"/>
                <w:sz w:val="44"/>
                <w:szCs w:val="44"/>
                <w:lang w:val="en-US"/>
              </w:rPr>
              <w:t xml:space="preserve">National field reports on the introduction </w:t>
            </w:r>
            <w:r w:rsidR="000C32F1">
              <w:rPr>
                <w:rFonts w:ascii="Tahoma" w:hAnsi="Tahoma" w:cs="Tahoma"/>
                <w:b/>
                <w:bCs/>
                <w:iCs/>
                <w:color w:val="509141"/>
                <w:sz w:val="44"/>
                <w:szCs w:val="44"/>
                <w:lang w:val="en-US"/>
              </w:rPr>
              <w:br/>
            </w:r>
            <w:r w:rsidRPr="003E3EF6">
              <w:rPr>
                <w:rFonts w:ascii="Tahoma" w:hAnsi="Tahoma" w:cs="Tahoma"/>
                <w:b/>
                <w:bCs/>
                <w:iCs/>
                <w:color w:val="509141"/>
                <w:sz w:val="44"/>
                <w:szCs w:val="44"/>
                <w:lang w:val="en-US"/>
              </w:rPr>
              <w:t xml:space="preserve">of IMT in the bands with co-primary allocation to the broadcasting </w:t>
            </w:r>
            <w:r w:rsidR="000C32F1">
              <w:rPr>
                <w:rFonts w:ascii="Tahoma" w:hAnsi="Tahoma" w:cs="Tahoma"/>
                <w:b/>
                <w:bCs/>
                <w:iCs/>
                <w:color w:val="509141"/>
                <w:sz w:val="44"/>
                <w:szCs w:val="44"/>
                <w:lang w:val="en-US"/>
              </w:rPr>
              <w:br/>
            </w:r>
            <w:r w:rsidRPr="003E3EF6">
              <w:rPr>
                <w:rFonts w:ascii="Tahoma" w:hAnsi="Tahoma" w:cs="Tahoma"/>
                <w:b/>
                <w:bCs/>
                <w:iCs/>
                <w:color w:val="509141"/>
                <w:sz w:val="44"/>
                <w:szCs w:val="44"/>
                <w:lang w:val="en-US"/>
              </w:rPr>
              <w:t>and the mobile services</w:t>
            </w:r>
          </w:p>
          <w:p w:rsidR="00FE79FE" w:rsidRPr="0004612A" w:rsidRDefault="00AD26B8" w:rsidP="0004612A">
            <w:pPr>
              <w:spacing w:before="80" w:line="500" w:lineRule="exact"/>
              <w:jc w:val="right"/>
              <w:rPr>
                <w:rFonts w:ascii="Tahoma" w:hAnsi="Tahoma" w:cs="Tahoma"/>
                <w:b/>
                <w:bCs/>
                <w:iCs/>
                <w:color w:val="509141"/>
                <w:sz w:val="44"/>
                <w:szCs w:val="44"/>
                <w:lang w:val="en-US"/>
              </w:rPr>
            </w:pPr>
            <w:r w:rsidRPr="0004612A">
              <w:rPr>
                <w:rFonts w:ascii="Tahoma" w:hAnsi="Tahoma" w:cs="Tahoma"/>
                <w:b/>
                <w:bCs/>
                <w:iCs/>
                <w:color w:val="509141"/>
                <w:sz w:val="44"/>
                <w:szCs w:val="44"/>
                <w:lang w:val="en-US"/>
              </w:rPr>
              <w:t xml:space="preserve">  </w:t>
            </w:r>
          </w:p>
        </w:tc>
      </w:tr>
      <w:tr w:rsidR="00FE79FE" w:rsidRPr="00E72F11" w:rsidTr="0004612A">
        <w:tc>
          <w:tcPr>
            <w:tcW w:w="10089" w:type="dxa"/>
          </w:tcPr>
          <w:p w:rsidR="007B203C" w:rsidRPr="0004612A" w:rsidRDefault="007B203C" w:rsidP="0004612A">
            <w:pPr>
              <w:spacing w:before="80" w:line="280" w:lineRule="exact"/>
              <w:ind w:right="640"/>
              <w:rPr>
                <w:rFonts w:ascii="Tahoma" w:hAnsi="Tahoma" w:cs="Tahoma"/>
                <w:b/>
                <w:bCs/>
                <w:iCs/>
                <w:color w:val="243285"/>
                <w:sz w:val="32"/>
                <w:szCs w:val="32"/>
                <w:lang w:val="en-US"/>
              </w:rPr>
            </w:pPr>
          </w:p>
          <w:p w:rsidR="007B203C" w:rsidRPr="0004612A" w:rsidRDefault="007B203C" w:rsidP="0004612A">
            <w:pPr>
              <w:spacing w:before="80" w:line="280" w:lineRule="exact"/>
              <w:ind w:right="640"/>
              <w:rPr>
                <w:rFonts w:ascii="Tahoma" w:hAnsi="Tahoma" w:cs="Tahoma"/>
                <w:b/>
                <w:bCs/>
                <w:iCs/>
                <w:color w:val="243285"/>
                <w:sz w:val="32"/>
                <w:szCs w:val="32"/>
                <w:lang w:val="en-US"/>
              </w:rPr>
            </w:pPr>
          </w:p>
          <w:p w:rsidR="007B203C" w:rsidRPr="0004612A" w:rsidRDefault="007B203C" w:rsidP="0004612A">
            <w:pPr>
              <w:spacing w:before="80" w:line="280" w:lineRule="exact"/>
              <w:ind w:right="640"/>
              <w:rPr>
                <w:rFonts w:ascii="Tahoma" w:hAnsi="Tahoma" w:cs="Tahoma"/>
                <w:b/>
                <w:bCs/>
                <w:iCs/>
                <w:color w:val="243285"/>
                <w:sz w:val="32"/>
                <w:szCs w:val="32"/>
                <w:lang w:val="en-US"/>
              </w:rPr>
            </w:pPr>
          </w:p>
          <w:p w:rsidR="007B203C" w:rsidRPr="0004612A" w:rsidRDefault="007B203C" w:rsidP="0004612A">
            <w:pPr>
              <w:spacing w:before="80" w:after="180" w:line="360" w:lineRule="exact"/>
              <w:jc w:val="right"/>
              <w:rPr>
                <w:rFonts w:ascii="Tahoma" w:hAnsi="Tahoma" w:cs="Tahoma"/>
                <w:b/>
                <w:bCs/>
                <w:iCs/>
                <w:color w:val="243285"/>
                <w:sz w:val="36"/>
                <w:szCs w:val="36"/>
                <w:lang w:val="en-US"/>
              </w:rPr>
            </w:pPr>
          </w:p>
          <w:p w:rsidR="00013002" w:rsidRPr="0004612A" w:rsidRDefault="00CB60A4" w:rsidP="0004612A">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w:t>
            </w:r>
            <w:r w:rsidR="00FE79FE" w:rsidRPr="0004612A">
              <w:rPr>
                <w:rFonts w:ascii="Tahoma" w:hAnsi="Tahoma" w:cs="Tahoma"/>
                <w:b/>
                <w:bCs/>
                <w:iCs/>
                <w:color w:val="509141"/>
                <w:sz w:val="36"/>
                <w:szCs w:val="36"/>
                <w:lang w:val="en-US"/>
              </w:rPr>
              <w:t xml:space="preserve"> Series</w:t>
            </w:r>
          </w:p>
          <w:p w:rsidR="00C93B65" w:rsidRPr="0004612A" w:rsidRDefault="00CB60A4" w:rsidP="0004612A">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rsidR="00FE79FE" w:rsidRPr="0004612A" w:rsidRDefault="00CB60A4" w:rsidP="0004612A">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9"/>
          <w:headerReference w:type="default" r:id="rId10"/>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r>
        <w:rPr>
          <w:szCs w:val="24"/>
          <w:lang w:val="en-US"/>
        </w:rPr>
        <w:t>Policy on Intellectual Property Right (IPR)</w:t>
      </w:r>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E72F11">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E72F11">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8D3D8D">
        <w:tc>
          <w:tcPr>
            <w:tcW w:w="1140" w:type="dxa"/>
            <w:tcBorders>
              <w:top w:val="nil"/>
              <w:left w:val="single" w:sz="12" w:space="0" w:color="000080"/>
              <w:bottom w:val="nil"/>
              <w:right w:val="nil"/>
            </w:tcBorders>
            <w:shd w:val="clear" w:color="auto" w:fill="F3F3F3"/>
          </w:tcPr>
          <w:p w:rsidR="00CB60A4" w:rsidRPr="008D3D8D" w:rsidRDefault="00CB60A4">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6B0B82">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E72F11">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E72F11" w:rsidTr="0004612A">
        <w:tc>
          <w:tcPr>
            <w:tcW w:w="9360" w:type="dxa"/>
            <w:tcBorders>
              <w:top w:val="single" w:sz="12" w:space="0" w:color="000080"/>
              <w:left w:val="single" w:sz="12" w:space="0" w:color="000080"/>
              <w:bottom w:val="single" w:sz="12" w:space="0" w:color="000080"/>
              <w:right w:val="single" w:sz="12" w:space="0" w:color="000080"/>
            </w:tcBorders>
          </w:tcPr>
          <w:p w:rsidR="00CB60A4" w:rsidRPr="0004612A" w:rsidRDefault="00CB60A4" w:rsidP="00CB2BE1">
            <w:pPr>
              <w:spacing w:after="120"/>
              <w:jc w:val="left"/>
              <w:rPr>
                <w:b/>
                <w:bCs/>
                <w:sz w:val="20"/>
                <w:lang w:val="en-US"/>
              </w:rPr>
            </w:pPr>
            <w:r w:rsidRPr="0004612A">
              <w:rPr>
                <w:b/>
                <w:bCs/>
                <w:i/>
                <w:iCs/>
                <w:sz w:val="20"/>
                <w:lang w:val="en-US"/>
              </w:rPr>
              <w:t>Note</w:t>
            </w:r>
            <w:r w:rsidRPr="0004612A">
              <w:rPr>
                <w:i/>
                <w:iCs/>
                <w:sz w:val="20"/>
                <w:lang w:val="en-US"/>
              </w:rPr>
              <w:t xml:space="preserve">: This ITU-R </w:t>
            </w:r>
            <w:r w:rsidR="00505FB4" w:rsidRPr="0004612A">
              <w:rPr>
                <w:i/>
                <w:iCs/>
                <w:sz w:val="20"/>
                <w:lang w:val="en-US"/>
              </w:rPr>
              <w:t>Report</w:t>
            </w:r>
            <w:r w:rsidRPr="0004612A">
              <w:rPr>
                <w:i/>
                <w:iCs/>
                <w:sz w:val="20"/>
                <w:lang w:val="en-US"/>
              </w:rPr>
              <w:t xml:space="preserve"> was approved in English </w:t>
            </w:r>
            <w:r w:rsidR="001A5259" w:rsidRPr="0004612A">
              <w:rPr>
                <w:i/>
                <w:iCs/>
                <w:sz w:val="20"/>
                <w:lang w:val="en-US"/>
              </w:rPr>
              <w:t xml:space="preserve">by the Study Group </w:t>
            </w:r>
            <w:r w:rsidRPr="0004612A">
              <w:rPr>
                <w:i/>
                <w:iCs/>
                <w:sz w:val="20"/>
                <w:lang w:val="en-US"/>
              </w:rPr>
              <w:t xml:space="preserve">under the </w:t>
            </w:r>
            <w:r w:rsidR="001A5259" w:rsidRPr="0004612A">
              <w:rPr>
                <w:i/>
                <w:iCs/>
                <w:sz w:val="20"/>
                <w:lang w:val="en-US"/>
              </w:rPr>
              <w:t>procedure detailed in Resolution</w:t>
            </w:r>
            <w:r w:rsidR="00CB2BE1">
              <w:rPr>
                <w:i/>
                <w:iCs/>
                <w:sz w:val="20"/>
                <w:lang w:val="en-US"/>
              </w:rPr>
              <w:t> </w:t>
            </w:r>
            <w:r w:rsidRPr="0004612A">
              <w:rPr>
                <w:i/>
                <w:iCs/>
                <w:sz w:val="20"/>
                <w:lang w:val="en-US"/>
              </w:rPr>
              <w:t>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B04ACB">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333184">
        <w:rPr>
          <w:sz w:val="20"/>
          <w:lang w:val="en-US"/>
        </w:rPr>
        <w:t>1</w:t>
      </w:r>
      <w:r w:rsidR="00B04ACB">
        <w:rPr>
          <w:sz w:val="20"/>
          <w:lang w:val="en-US"/>
        </w:rPr>
        <w:t>6</w:t>
      </w:r>
    </w:p>
    <w:p w:rsidR="00CB60A4" w:rsidRDefault="00CB60A4" w:rsidP="00F43F15">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w:t>
      </w:r>
      <w:r w:rsidR="00333184">
        <w:rPr>
          <w:sz w:val="20"/>
          <w:lang w:val="en-US"/>
        </w:rPr>
        <w:t>1</w:t>
      </w:r>
      <w:r w:rsidR="00F43F15">
        <w:rPr>
          <w:sz w:val="20"/>
          <w:lang w:val="en-US"/>
        </w:rPr>
        <w:t>6</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934ED7" w:rsidRPr="003E3EF6" w:rsidRDefault="00934ED7" w:rsidP="00F43F15">
      <w:pPr>
        <w:pStyle w:val="RepNo"/>
        <w:tabs>
          <w:tab w:val="left" w:pos="1701"/>
        </w:tabs>
        <w:spacing w:before="0"/>
        <w:rPr>
          <w:lang w:val="en-US"/>
        </w:rPr>
      </w:pPr>
      <w:bookmarkStart w:id="2" w:name="irecnoe"/>
      <w:bookmarkEnd w:id="2"/>
      <w:r w:rsidRPr="008D3D8D">
        <w:rPr>
          <w:lang w:val="en-US"/>
        </w:rPr>
        <w:lastRenderedPageBreak/>
        <w:t>R</w:t>
      </w:r>
      <w:r w:rsidR="008D3D8D" w:rsidRPr="008D3D8D">
        <w:rPr>
          <w:lang w:val="en-US"/>
        </w:rPr>
        <w:t>EPORT</w:t>
      </w:r>
      <w:r w:rsidRPr="008D3D8D">
        <w:rPr>
          <w:lang w:val="en-US"/>
        </w:rPr>
        <w:t xml:space="preserve">  </w:t>
      </w:r>
      <w:r w:rsidRPr="008D3D8D">
        <w:rPr>
          <w:rStyle w:val="href"/>
          <w:lang w:val="en-US"/>
        </w:rPr>
        <w:t xml:space="preserve">ITU-R  </w:t>
      </w:r>
      <w:r w:rsidR="008D3D8D" w:rsidRPr="008D3D8D">
        <w:rPr>
          <w:rStyle w:val="href"/>
          <w:lang w:val="en-US"/>
        </w:rPr>
        <w:t>BT.</w:t>
      </w:r>
      <w:r w:rsidR="003E3EF6">
        <w:rPr>
          <w:rStyle w:val="href"/>
          <w:lang w:val="en-US"/>
        </w:rPr>
        <w:t>2301-</w:t>
      </w:r>
      <w:r w:rsidR="00B04ACB">
        <w:rPr>
          <w:rStyle w:val="href"/>
          <w:lang w:val="en-US"/>
        </w:rPr>
        <w:t>2</w:t>
      </w:r>
    </w:p>
    <w:p w:rsidR="003E3EF6" w:rsidRDefault="003E3EF6" w:rsidP="003E3EF6">
      <w:pPr>
        <w:pStyle w:val="Reptitle"/>
        <w:rPr>
          <w:lang w:val="en-US"/>
        </w:rPr>
      </w:pPr>
      <w:r w:rsidRPr="003E3EF6">
        <w:rPr>
          <w:lang w:val="en-US"/>
        </w:rPr>
        <w:t>National field reports on the introduction of IMT in the bands with co-primary allocation to the broadcasting and the mobile services</w:t>
      </w:r>
    </w:p>
    <w:p w:rsidR="003E3EF6" w:rsidRDefault="003E3EF6" w:rsidP="003E3EF6">
      <w:pPr>
        <w:pStyle w:val="Repdate"/>
        <w:rPr>
          <w:lang w:val="en-US"/>
        </w:rPr>
      </w:pPr>
      <w:r w:rsidRPr="003E3EF6">
        <w:rPr>
          <w:lang w:val="en-US"/>
        </w:rPr>
        <w:t>(2014</w:t>
      </w:r>
      <w:r w:rsidR="0046332B">
        <w:rPr>
          <w:lang w:val="en-US"/>
        </w:rPr>
        <w:t>-2015</w:t>
      </w:r>
      <w:r w:rsidR="00F43F15">
        <w:rPr>
          <w:lang w:val="en-US"/>
        </w:rPr>
        <w:t>-2016</w:t>
      </w:r>
      <w:r w:rsidRPr="003E3EF6">
        <w:rPr>
          <w:lang w:val="en-US"/>
        </w:rPr>
        <w:t>)</w:t>
      </w:r>
    </w:p>
    <w:p w:rsidR="001C63BC" w:rsidRPr="002A2440" w:rsidRDefault="001C63BC" w:rsidP="00D7254E">
      <w:pPr>
        <w:pStyle w:val="Headingb"/>
        <w:rPr>
          <w:lang w:val="en-US"/>
        </w:rPr>
      </w:pPr>
      <w:r w:rsidRPr="00490767">
        <w:rPr>
          <w:lang w:val="en-US"/>
        </w:rPr>
        <w:t>Introduction</w:t>
      </w:r>
    </w:p>
    <w:p w:rsidR="001C63BC" w:rsidRDefault="001C63BC" w:rsidP="001C63BC">
      <w:pPr>
        <w:rPr>
          <w:szCs w:val="24"/>
          <w:lang w:val="en-US" w:eastAsia="zh-CN"/>
        </w:rPr>
      </w:pPr>
      <w:r>
        <w:rPr>
          <w:szCs w:val="24"/>
          <w:lang w:val="en-US" w:eastAsia="zh-CN"/>
        </w:rPr>
        <w:t xml:space="preserve">A number of countries have recently introduced new mobile services in the parts of the UHF band in which they have a co-primary allocation to the broadcasting and the mobile services, in particular </w:t>
      </w:r>
      <w:r w:rsidR="00DC3515">
        <w:rPr>
          <w:szCs w:val="24"/>
          <w:lang w:val="en-US" w:eastAsia="zh-CN"/>
        </w:rPr>
        <w:t>international mobile telecommunications (</w:t>
      </w:r>
      <w:r>
        <w:rPr>
          <w:szCs w:val="24"/>
          <w:lang w:val="en-US" w:eastAsia="zh-CN"/>
        </w:rPr>
        <w:t>IMT</w:t>
      </w:r>
      <w:r w:rsidR="00DC3515">
        <w:rPr>
          <w:szCs w:val="24"/>
          <w:lang w:val="en-US" w:eastAsia="zh-CN"/>
        </w:rPr>
        <w:t>)</w:t>
      </w:r>
      <w:r>
        <w:rPr>
          <w:szCs w:val="24"/>
          <w:lang w:val="en-US" w:eastAsia="zh-CN"/>
        </w:rPr>
        <w:t xml:space="preserve"> systems utilizing</w:t>
      </w:r>
      <w:r w:rsidR="00DC3515">
        <w:rPr>
          <w:szCs w:val="24"/>
          <w:lang w:val="en-US" w:eastAsia="zh-CN"/>
        </w:rPr>
        <w:t xml:space="preserve"> long-term evolution</w:t>
      </w:r>
      <w:r>
        <w:rPr>
          <w:szCs w:val="24"/>
          <w:lang w:val="en-US" w:eastAsia="zh-CN"/>
        </w:rPr>
        <w:t xml:space="preserve"> </w:t>
      </w:r>
      <w:r w:rsidR="00DC3515">
        <w:rPr>
          <w:szCs w:val="24"/>
          <w:lang w:val="en-US" w:eastAsia="zh-CN"/>
        </w:rPr>
        <w:t>(</w:t>
      </w:r>
      <w:r>
        <w:rPr>
          <w:szCs w:val="24"/>
          <w:lang w:val="en-US" w:eastAsia="zh-CN"/>
        </w:rPr>
        <w:t>LTE</w:t>
      </w:r>
      <w:r w:rsidR="00DC3515">
        <w:rPr>
          <w:szCs w:val="24"/>
          <w:lang w:val="en-US" w:eastAsia="zh-CN"/>
        </w:rPr>
        <w:t>)</w:t>
      </w:r>
      <w:r>
        <w:rPr>
          <w:szCs w:val="24"/>
          <w:lang w:val="en-US" w:eastAsia="zh-CN"/>
        </w:rPr>
        <w:t xml:space="preserve"> technology.</w:t>
      </w:r>
    </w:p>
    <w:p w:rsidR="001C63BC" w:rsidRPr="00294DB6" w:rsidRDefault="000C32F1" w:rsidP="000C32F1">
      <w:pPr>
        <w:rPr>
          <w:szCs w:val="24"/>
          <w:lang w:val="en-US" w:eastAsia="zh-CN"/>
        </w:rPr>
      </w:pPr>
      <w:r>
        <w:rPr>
          <w:szCs w:val="24"/>
          <w:lang w:val="en-US" w:eastAsia="zh-CN"/>
        </w:rPr>
        <w:t>The annexes in this R</w:t>
      </w:r>
      <w:r w:rsidR="001C63BC">
        <w:rPr>
          <w:szCs w:val="24"/>
          <w:lang w:val="en-US" w:eastAsia="zh-CN"/>
        </w:rPr>
        <w:t>eport provide a compilation of national approaches/best practices and their experiences so far in the protection of DTTB Services in conjunction with the introduction of LTE.</w:t>
      </w:r>
    </w:p>
    <w:p w:rsidR="001C63BC" w:rsidRDefault="001C63BC" w:rsidP="001C63BC">
      <w:pPr>
        <w:rPr>
          <w:szCs w:val="24"/>
          <w:lang w:val="en-US" w:eastAsia="zh-CN"/>
        </w:rPr>
      </w:pPr>
      <w:r w:rsidRPr="00294DB6">
        <w:rPr>
          <w:szCs w:val="24"/>
          <w:lang w:val="en-US" w:eastAsia="zh-CN"/>
        </w:rPr>
        <w:t xml:space="preserve">The national field reports </w:t>
      </w:r>
      <w:r>
        <w:rPr>
          <w:szCs w:val="24"/>
          <w:lang w:val="en-US" w:eastAsia="zh-CN"/>
        </w:rPr>
        <w:t xml:space="preserve">(initial or final) in Annexes 1, 2 and 3 </w:t>
      </w:r>
      <w:r w:rsidRPr="00294DB6">
        <w:rPr>
          <w:szCs w:val="24"/>
          <w:lang w:val="en-US" w:eastAsia="zh-CN"/>
        </w:rPr>
        <w:t xml:space="preserve">hereafter are </w:t>
      </w:r>
      <w:r>
        <w:rPr>
          <w:szCs w:val="24"/>
          <w:lang w:val="en-US" w:eastAsia="zh-CN"/>
        </w:rPr>
        <w:t xml:space="preserve">related to the introduction of LTE </w:t>
      </w:r>
      <w:r w:rsidRPr="00294DB6">
        <w:rPr>
          <w:szCs w:val="24"/>
          <w:lang w:val="en-US" w:eastAsia="zh-CN"/>
        </w:rPr>
        <w:t>in the 800 MHz Band using the reverse duplex arrangement.</w:t>
      </w:r>
      <w:r>
        <w:rPr>
          <w:szCs w:val="24"/>
          <w:lang w:val="en-US" w:eastAsia="zh-CN"/>
        </w:rPr>
        <w:t xml:space="preserve"> They are </w:t>
      </w:r>
      <w:r w:rsidRPr="00294DB6">
        <w:rPr>
          <w:szCs w:val="24"/>
          <w:lang w:val="en-US" w:eastAsia="zh-CN"/>
        </w:rPr>
        <w:t xml:space="preserve">based on data available </w:t>
      </w:r>
      <w:r>
        <w:rPr>
          <w:szCs w:val="24"/>
          <w:lang w:val="en-US" w:eastAsia="zh-CN"/>
        </w:rPr>
        <w:t>at the date of their inclusion.</w:t>
      </w:r>
    </w:p>
    <w:p w:rsidR="001C63BC" w:rsidRPr="00294DB6" w:rsidRDefault="001C63BC" w:rsidP="001C63BC">
      <w:pPr>
        <w:rPr>
          <w:szCs w:val="24"/>
          <w:lang w:val="en-US" w:eastAsia="zh-CN"/>
        </w:rPr>
      </w:pPr>
      <w:r w:rsidRPr="00294DB6">
        <w:rPr>
          <w:szCs w:val="24"/>
          <w:lang w:val="en-US" w:eastAsia="zh-CN"/>
        </w:rPr>
        <w:t>When new data becomes available these reports could be updated, if appropriate.</w:t>
      </w:r>
    </w:p>
    <w:p w:rsidR="001C63BC" w:rsidRPr="00294DB6" w:rsidRDefault="001C63BC" w:rsidP="001C63BC">
      <w:pPr>
        <w:rPr>
          <w:szCs w:val="24"/>
          <w:lang w:val="en-US" w:eastAsia="zh-CN"/>
        </w:rPr>
      </w:pPr>
      <w:r>
        <w:rPr>
          <w:szCs w:val="24"/>
          <w:lang w:val="en-US" w:eastAsia="zh-CN"/>
        </w:rPr>
        <w:t xml:space="preserve">It is </w:t>
      </w:r>
      <w:r w:rsidRPr="00294DB6">
        <w:rPr>
          <w:szCs w:val="24"/>
          <w:lang w:val="en-US" w:eastAsia="zh-CN"/>
        </w:rPr>
        <w:t>intended to include further national approaches/best practices as they</w:t>
      </w:r>
      <w:r w:rsidR="00FD7C2D">
        <w:rPr>
          <w:szCs w:val="24"/>
          <w:lang w:val="en-US" w:eastAsia="zh-CN"/>
        </w:rPr>
        <w:t xml:space="preserve"> are made available by members.</w:t>
      </w:r>
    </w:p>
    <w:p w:rsidR="001C63BC" w:rsidRDefault="001C63BC" w:rsidP="001C63BC">
      <w:pPr>
        <w:rPr>
          <w:szCs w:val="24"/>
          <w:lang w:val="en-US" w:eastAsia="zh-CN"/>
        </w:rPr>
      </w:pPr>
    </w:p>
    <w:p w:rsidR="001C63BC" w:rsidRDefault="001C63BC" w:rsidP="00E72F11">
      <w:pPr>
        <w:spacing w:before="240"/>
        <w:rPr>
          <w:lang w:val="en-US" w:eastAsia="zh-CN"/>
        </w:rPr>
      </w:pPr>
      <w:r>
        <w:rPr>
          <w:lang w:val="en-US" w:eastAsia="zh-CN"/>
        </w:rPr>
        <w:t>A</w:t>
      </w:r>
      <w:r w:rsidR="00E24C9D">
        <w:rPr>
          <w:lang w:val="en-US" w:eastAsia="zh-CN"/>
        </w:rPr>
        <w:t>nnex</w:t>
      </w:r>
      <w:r>
        <w:rPr>
          <w:lang w:val="en-US" w:eastAsia="zh-CN"/>
        </w:rPr>
        <w:t xml:space="preserve"> 1</w:t>
      </w:r>
      <w:r w:rsidR="00FD7C2D">
        <w:rPr>
          <w:lang w:val="en-US" w:eastAsia="zh-CN"/>
        </w:rPr>
        <w:t xml:space="preserve"> </w:t>
      </w:r>
      <w:r w:rsidR="00FD7C2D" w:rsidRPr="00FD7C2D">
        <w:rPr>
          <w:lang w:val="en-US" w:eastAsia="zh-CN"/>
        </w:rPr>
        <w:t>–</w:t>
      </w:r>
      <w:r w:rsidR="00FD7C2D">
        <w:rPr>
          <w:lang w:val="en-US" w:eastAsia="zh-CN"/>
        </w:rPr>
        <w:t xml:space="preserve"> </w:t>
      </w:r>
      <w:r>
        <w:rPr>
          <w:lang w:val="en-US" w:eastAsia="zh-CN"/>
        </w:rPr>
        <w:t xml:space="preserve">Field </w:t>
      </w:r>
      <w:r w:rsidR="00E72F11">
        <w:rPr>
          <w:lang w:val="en-US" w:eastAsia="zh-CN"/>
        </w:rPr>
        <w:t>r</w:t>
      </w:r>
      <w:r w:rsidRPr="00C61E35">
        <w:rPr>
          <w:lang w:val="en-US" w:eastAsia="zh-CN"/>
        </w:rPr>
        <w:t>eport</w:t>
      </w:r>
      <w:r>
        <w:rPr>
          <w:lang w:val="en-US" w:eastAsia="zh-CN"/>
        </w:rPr>
        <w:t xml:space="preserve"> from Germany with regard to the 800 MHz band</w:t>
      </w:r>
    </w:p>
    <w:p w:rsidR="001C63BC" w:rsidRDefault="001C63BC" w:rsidP="00E72F11">
      <w:pPr>
        <w:rPr>
          <w:lang w:val="en-US" w:eastAsia="zh-CN"/>
        </w:rPr>
      </w:pPr>
      <w:r>
        <w:rPr>
          <w:lang w:val="en-US" w:eastAsia="zh-CN"/>
        </w:rPr>
        <w:t>A</w:t>
      </w:r>
      <w:r w:rsidR="00E24C9D">
        <w:rPr>
          <w:lang w:val="en-US" w:eastAsia="zh-CN"/>
        </w:rPr>
        <w:t>nnex</w:t>
      </w:r>
      <w:r>
        <w:rPr>
          <w:lang w:val="en-US" w:eastAsia="zh-CN"/>
        </w:rPr>
        <w:t xml:space="preserve"> 2</w:t>
      </w:r>
      <w:r w:rsidR="00FD7C2D">
        <w:rPr>
          <w:lang w:val="en-US" w:eastAsia="zh-CN"/>
        </w:rPr>
        <w:t xml:space="preserve"> </w:t>
      </w:r>
      <w:r w:rsidR="00FD7C2D" w:rsidRPr="00FD7C2D">
        <w:rPr>
          <w:lang w:val="en-US" w:eastAsia="zh-CN"/>
        </w:rPr>
        <w:t>–</w:t>
      </w:r>
      <w:r w:rsidR="00FD7C2D">
        <w:rPr>
          <w:lang w:val="en-US" w:eastAsia="zh-CN"/>
        </w:rPr>
        <w:t xml:space="preserve"> </w:t>
      </w:r>
      <w:r w:rsidR="00E72F11" w:rsidRPr="00E72F11">
        <w:rPr>
          <w:lang w:val="en-US"/>
        </w:rPr>
        <w:t>Interim national field report on the introduction of IMT downlinks</w:t>
      </w:r>
      <w:r w:rsidR="00E72F11">
        <w:rPr>
          <w:lang w:val="en-US"/>
        </w:rPr>
        <w:t xml:space="preserve"> </w:t>
      </w:r>
      <w:r w:rsidR="00E72F11" w:rsidRPr="00E72F11">
        <w:rPr>
          <w:lang w:val="en-US"/>
        </w:rPr>
        <w:t>in the 800 MHz band with co-primary allocation to the</w:t>
      </w:r>
      <w:r w:rsidR="00E72F11">
        <w:rPr>
          <w:lang w:val="en-US"/>
        </w:rPr>
        <w:t xml:space="preserve"> </w:t>
      </w:r>
      <w:r w:rsidR="00E72F11" w:rsidRPr="00E72F11">
        <w:rPr>
          <w:lang w:val="en-US"/>
        </w:rPr>
        <w:t>broadcasting and the mobile services in France</w:t>
      </w:r>
    </w:p>
    <w:p w:rsidR="001C63BC" w:rsidRDefault="001C63BC" w:rsidP="00FD7C2D">
      <w:pPr>
        <w:rPr>
          <w:lang w:val="en-US" w:eastAsia="zh-CN"/>
        </w:rPr>
      </w:pPr>
      <w:r>
        <w:rPr>
          <w:lang w:val="en-US" w:eastAsia="zh-CN"/>
        </w:rPr>
        <w:t>A</w:t>
      </w:r>
      <w:r w:rsidR="00E24C9D">
        <w:rPr>
          <w:lang w:val="en-US" w:eastAsia="zh-CN"/>
        </w:rPr>
        <w:t>nnex</w:t>
      </w:r>
      <w:r>
        <w:rPr>
          <w:lang w:val="en-US" w:eastAsia="zh-CN"/>
        </w:rPr>
        <w:t xml:space="preserve"> 3</w:t>
      </w:r>
      <w:r w:rsidR="00FD7C2D">
        <w:rPr>
          <w:lang w:val="en-US" w:eastAsia="zh-CN"/>
        </w:rPr>
        <w:t xml:space="preserve"> </w:t>
      </w:r>
      <w:r w:rsidR="00FD7C2D" w:rsidRPr="00FD7C2D">
        <w:rPr>
          <w:lang w:val="en-US" w:eastAsia="zh-CN"/>
        </w:rPr>
        <w:t>–</w:t>
      </w:r>
      <w:r w:rsidR="00FD7C2D">
        <w:rPr>
          <w:lang w:val="en-US" w:eastAsia="zh-CN"/>
        </w:rPr>
        <w:t xml:space="preserve"> </w:t>
      </w:r>
      <w:r w:rsidRPr="0060093B">
        <w:rPr>
          <w:lang w:val="en-US"/>
        </w:rPr>
        <w:t>Interim</w:t>
      </w:r>
      <w:r>
        <w:rPr>
          <w:lang w:val="en-US" w:eastAsia="zh-CN"/>
        </w:rPr>
        <w:t xml:space="preserve"> Field Report from Netherlands with regard to the 800 MHz band</w:t>
      </w:r>
    </w:p>
    <w:p w:rsidR="00490767" w:rsidRDefault="00490767" w:rsidP="00490767">
      <w:pPr>
        <w:ind w:left="1080" w:hanging="1080"/>
        <w:rPr>
          <w:lang w:val="en-US" w:eastAsia="zh-CN"/>
        </w:rPr>
      </w:pPr>
      <w:r w:rsidRPr="00490767">
        <w:rPr>
          <w:lang w:val="en-US" w:eastAsia="zh-CN"/>
        </w:rPr>
        <w:t>Annex 4 – Field report on interference to 800 MHz band IMT base stations in Portugal from DTTB transmissions in Spain</w:t>
      </w:r>
    </w:p>
    <w:p w:rsidR="001C63BC" w:rsidRDefault="001C63BC" w:rsidP="001C63BC">
      <w:pPr>
        <w:overflowPunct/>
        <w:autoSpaceDE/>
        <w:autoSpaceDN/>
        <w:adjustRightInd/>
        <w:spacing w:before="0"/>
        <w:textAlignment w:val="auto"/>
        <w:rPr>
          <w:szCs w:val="24"/>
          <w:lang w:val="en-US" w:eastAsia="zh-CN"/>
        </w:rPr>
      </w:pPr>
      <w:r>
        <w:rPr>
          <w:szCs w:val="24"/>
          <w:lang w:val="en-US" w:eastAsia="zh-CN"/>
        </w:rPr>
        <w:br w:type="page"/>
      </w:r>
    </w:p>
    <w:p w:rsidR="001C63BC" w:rsidRPr="00DB6E03" w:rsidRDefault="001C63BC" w:rsidP="00EF3D72">
      <w:pPr>
        <w:pStyle w:val="AnnexNoTitle"/>
        <w:rPr>
          <w:lang w:val="en-US"/>
        </w:rPr>
      </w:pPr>
      <w:r w:rsidRPr="00EF3D72">
        <w:rPr>
          <w:lang w:val="en-US"/>
        </w:rPr>
        <w:lastRenderedPageBreak/>
        <w:t>Annex 1</w:t>
      </w:r>
      <w:r w:rsidR="00EF3D72" w:rsidRPr="00EF3D72">
        <w:rPr>
          <w:lang w:val="en-US"/>
        </w:rPr>
        <w:br/>
      </w:r>
      <w:r w:rsidR="00EF3D72">
        <w:rPr>
          <w:lang w:val="en-US"/>
        </w:rPr>
        <w:br/>
      </w:r>
      <w:r w:rsidRPr="00EF3D72">
        <w:rPr>
          <w:lang w:val="en-US" w:eastAsia="zh-CN"/>
        </w:rPr>
        <w:t xml:space="preserve">Field report on the applied </w:t>
      </w:r>
      <w:r w:rsidRPr="00EF3D72">
        <w:rPr>
          <w:lang w:val="en-US"/>
        </w:rPr>
        <w:t>methodology</w:t>
      </w:r>
      <w:r w:rsidRPr="00EF3D72">
        <w:rPr>
          <w:lang w:val="en-US" w:eastAsia="zh-CN"/>
        </w:rPr>
        <w:t xml:space="preserve"> used by Germany</w:t>
      </w:r>
      <w:r w:rsidRPr="00EF3D72">
        <w:rPr>
          <w:lang w:val="en-US" w:eastAsia="zh-CN"/>
        </w:rPr>
        <w:br/>
        <w:t xml:space="preserve">to protect the broadcast service when implementing </w:t>
      </w:r>
      <w:r w:rsidRPr="00EF3D72">
        <w:rPr>
          <w:lang w:val="en-US" w:eastAsia="zh-CN"/>
        </w:rPr>
        <w:br/>
        <w:t>the IMT service in the 800 MHz band</w:t>
      </w:r>
    </w:p>
    <w:p w:rsidR="001C63BC" w:rsidRDefault="001C63BC" w:rsidP="001C63BC">
      <w:pPr>
        <w:pStyle w:val="Heading2"/>
        <w:rPr>
          <w:lang w:val="en-US"/>
        </w:rPr>
      </w:pPr>
      <w:r>
        <w:rPr>
          <w:lang w:val="en-US"/>
        </w:rPr>
        <w:t>1.1</w:t>
      </w:r>
      <w:r>
        <w:rPr>
          <w:lang w:val="en-US"/>
        </w:rPr>
        <w:tab/>
        <w:t>Background</w:t>
      </w:r>
    </w:p>
    <w:p w:rsidR="001C63BC" w:rsidRPr="0060093B" w:rsidRDefault="001C63BC" w:rsidP="008F0FBB">
      <w:pPr>
        <w:rPr>
          <w:lang w:val="en-US"/>
        </w:rPr>
      </w:pPr>
      <w:r w:rsidRPr="000626D8">
        <w:rPr>
          <w:lang w:val="en-US"/>
        </w:rPr>
        <w:t xml:space="preserve">Germany </w:t>
      </w:r>
      <w:r>
        <w:rPr>
          <w:lang w:val="en-US"/>
        </w:rPr>
        <w:t>h</w:t>
      </w:r>
      <w:r w:rsidRPr="000626D8">
        <w:rPr>
          <w:lang w:val="en-US"/>
        </w:rPr>
        <w:t xml:space="preserve">as </w:t>
      </w:r>
      <w:r>
        <w:rPr>
          <w:lang w:val="en-US"/>
        </w:rPr>
        <w:t>implemented</w:t>
      </w:r>
      <w:r w:rsidRPr="000626D8">
        <w:rPr>
          <w:lang w:val="en-US"/>
        </w:rPr>
        <w:t xml:space="preserve"> IMT services in the 800 MHz</w:t>
      </w:r>
      <w:r>
        <w:rPr>
          <w:lang w:val="en-US"/>
        </w:rPr>
        <w:t xml:space="preserve"> </w:t>
      </w:r>
      <w:r w:rsidR="008F0FBB">
        <w:rPr>
          <w:lang w:val="en-US"/>
        </w:rPr>
        <w:t>b</w:t>
      </w:r>
      <w:r>
        <w:rPr>
          <w:lang w:val="en-US"/>
        </w:rPr>
        <w:t xml:space="preserve">and. </w:t>
      </w:r>
      <w:r w:rsidRPr="0060093B">
        <w:rPr>
          <w:lang w:val="en-US"/>
        </w:rPr>
        <w:t>In order to protect the broadcasting service operating in the 700 MHz band adjacent to the frequencies used by the IMT service, the Federal Network Agency has set up a process to set the site-related frequency usage parameters of each individual mobile base station before such base</w:t>
      </w:r>
      <w:r w:rsidR="00A77CE1">
        <w:rPr>
          <w:lang w:val="en-US"/>
        </w:rPr>
        <w:t xml:space="preserve"> station is put into operation.</w:t>
      </w:r>
    </w:p>
    <w:p w:rsidR="001C63BC" w:rsidRPr="0060093B" w:rsidRDefault="001C63BC" w:rsidP="001C63BC">
      <w:pPr>
        <w:rPr>
          <w:lang w:val="en-US"/>
        </w:rPr>
      </w:pPr>
      <w:r w:rsidRPr="0060093B">
        <w:rPr>
          <w:lang w:val="en-US"/>
        </w:rPr>
        <w:t xml:space="preserve">The frequencies gained at auction can only be used after assignment subject to </w:t>
      </w:r>
      <w:r w:rsidRPr="0060093B">
        <w:rPr>
          <w:rFonts w:cs="Helvetica"/>
          <w:szCs w:val="28"/>
          <w:lang w:val="en-US" w:eastAsia="it-IT"/>
        </w:rPr>
        <w:t>“</w:t>
      </w:r>
      <w:r w:rsidRPr="0060093B">
        <w:rPr>
          <w:lang w:val="en-US"/>
        </w:rPr>
        <w:t>their compatibility with other frequency usages”. The applicant must prove for an efficient and interference-free use of the frequencies.</w:t>
      </w:r>
      <w:r w:rsidRPr="0060093B" w:rsidDel="00713F22">
        <w:rPr>
          <w:lang w:val="en-US"/>
        </w:rPr>
        <w:t xml:space="preserve"> </w:t>
      </w:r>
      <w:r w:rsidRPr="0060093B">
        <w:rPr>
          <w:lang w:val="en-US"/>
        </w:rPr>
        <w:t>In planning their network build and rollout, frequency assignees must therefore apply for the site-related frequency usage parameters to be set before the individual frequencies can actually be used.</w:t>
      </w:r>
    </w:p>
    <w:p w:rsidR="001C63BC" w:rsidRPr="0060093B" w:rsidRDefault="001C63BC" w:rsidP="001C63BC">
      <w:pPr>
        <w:rPr>
          <w:lang w:val="en-US"/>
        </w:rPr>
      </w:pPr>
      <w:r w:rsidRPr="0060093B">
        <w:rPr>
          <w:lang w:val="en-US"/>
        </w:rPr>
        <w:t>Applications for site-related frequency usage parameters to be set can only be granted if they meet the relevant requirements. In particular, applications for the use of frequencies in the 800 MHz band must take account both of the frequency usage conditions and of usage provision 36 of the national frequency band allocation Ordinance, which states that the mobile service in the 790-862 MHz frequency band must not cause any interference into the broadcasting service. These regulations constitute fundamental framework conditions which must be taken into account by applicants.</w:t>
      </w:r>
    </w:p>
    <w:p w:rsidR="001C63BC" w:rsidRPr="00627C9A" w:rsidRDefault="001C63BC" w:rsidP="001C63BC">
      <w:pPr>
        <w:pStyle w:val="Heading2"/>
        <w:rPr>
          <w:lang w:val="en-US"/>
        </w:rPr>
      </w:pPr>
      <w:r>
        <w:rPr>
          <w:lang w:val="en-US"/>
        </w:rPr>
        <w:t>1.2</w:t>
      </w:r>
      <w:r>
        <w:rPr>
          <w:lang w:val="en-US"/>
        </w:rPr>
        <w:tab/>
      </w:r>
      <w:r w:rsidRPr="00627C9A">
        <w:rPr>
          <w:lang w:val="en-US"/>
        </w:rPr>
        <w:t>Frequency engineering and regulatory framework and key assumptions</w:t>
      </w:r>
    </w:p>
    <w:p w:rsidR="001C63BC" w:rsidRPr="0060093B" w:rsidRDefault="001C63BC" w:rsidP="001C63BC">
      <w:pPr>
        <w:rPr>
          <w:lang w:val="en-US"/>
        </w:rPr>
      </w:pPr>
      <w:r w:rsidRPr="0060093B">
        <w:rPr>
          <w:lang w:val="en-US"/>
        </w:rPr>
        <w:t>One of the tasks and aims of the procedure for setting site-related frequency usage parameters is to guarantee protection for the broadcasting service in all relevant application situations. This is particularly relevant if there is a residential area within a certain radius of a mobile service base station in the broadcast coverage area.</w:t>
      </w:r>
    </w:p>
    <w:p w:rsidR="001C63BC" w:rsidRPr="0060093B" w:rsidRDefault="001C63BC" w:rsidP="001C63BC">
      <w:pPr>
        <w:rPr>
          <w:lang w:val="en-US"/>
        </w:rPr>
      </w:pPr>
      <w:r w:rsidRPr="0060093B">
        <w:rPr>
          <w:lang w:val="en-US"/>
        </w:rPr>
        <w:t>Preventive studies aimed at avoiding interference to terrestrial digital television reception can be restricted to a certain radius around a base station. It can be assumed that the probability of interference to DVB-T reception outside this radius is extremely low. If, nevertheless, interference occurs in a particular case, contrary to expectations, the notice setting the parameters can be revoked by exercising the right provided for in the notice, and further safeguards can be put in place accordingly.</w:t>
      </w:r>
    </w:p>
    <w:p w:rsidR="001C63BC" w:rsidRPr="0060093B" w:rsidRDefault="001C63BC" w:rsidP="001C63BC">
      <w:pPr>
        <w:rPr>
          <w:lang w:val="en-US"/>
        </w:rPr>
      </w:pPr>
      <w:r w:rsidRPr="0060093B">
        <w:rPr>
          <w:lang w:val="en-US"/>
        </w:rPr>
        <w:t>In cases where interference could be caused to DVB-T reception within the radius referred to above, the applicants must show which appropriate measures they will take in order to take account of the protection requirements of the broadcasting service. The applicant must show how the requirement for frequency assignment – and hence for setting the site-related frequency usage parameters – is met. In this connection, the network operators are required to take account of broadcasting interests starting at the planning stage and to take any necessary preventive measures (e.g. radiation characteristics, orientation of sectors, antenna height).</w:t>
      </w:r>
    </w:p>
    <w:p w:rsidR="001C63BC" w:rsidRPr="0060093B" w:rsidRDefault="001C63BC" w:rsidP="001C63BC">
      <w:pPr>
        <w:rPr>
          <w:lang w:val="en-US"/>
        </w:rPr>
      </w:pPr>
      <w:r w:rsidRPr="0060093B">
        <w:rPr>
          <w:lang w:val="en-US"/>
        </w:rPr>
        <w:t>The probability of interference below DVB-T channel 52 in individual cases has not been looked at separately because, as matters stand at present, the current interference studies cover the interference potential at these frequencies.</w:t>
      </w:r>
    </w:p>
    <w:p w:rsidR="001C63BC" w:rsidRPr="0060093B" w:rsidRDefault="001C63BC" w:rsidP="001C63BC">
      <w:pPr>
        <w:rPr>
          <w:lang w:val="en-US"/>
        </w:rPr>
      </w:pPr>
      <w:r w:rsidRPr="0060093B">
        <w:rPr>
          <w:lang w:val="en-US"/>
        </w:rPr>
        <w:t>Taking account of the limit on LTE out of block emissions below 790 MHz (max 0 dBm per 8 MHz given a planned maximum LTE radiated power) and broadcasting coverage with the lowest minimum median wanted field strength of 41 dB</w:t>
      </w:r>
      <w:r w:rsidRPr="00EB2ACC">
        <w:rPr>
          <w:lang w:val="de-DE"/>
        </w:rPr>
        <w:t>μ</w:t>
      </w:r>
      <w:r w:rsidRPr="0060093B">
        <w:rPr>
          <w:lang w:val="en-US"/>
        </w:rPr>
        <w:t>V/m (exactly 41.9 dB</w:t>
      </w:r>
      <w:r w:rsidRPr="00EB2ACC">
        <w:rPr>
          <w:lang w:val="de-DE"/>
        </w:rPr>
        <w:t>μ</w:t>
      </w:r>
      <w:r w:rsidRPr="0060093B">
        <w:rPr>
          <w:lang w:val="en-US"/>
        </w:rPr>
        <w:t xml:space="preserve">V/m for fixed terrestrial broadcasting </w:t>
      </w:r>
      <w:r w:rsidRPr="0060093B">
        <w:rPr>
          <w:lang w:val="en-US"/>
        </w:rPr>
        <w:lastRenderedPageBreak/>
        <w:t>coverage with DVB-T system variant A1 on channel 52 in accordance with the regulations in the Geneva 2006 Agreement), a maximum (protection) radius of approximately 1.1 km is considered sufficient. This (maximum) radius is assumed for all system variants in operation.</w:t>
      </w:r>
    </w:p>
    <w:p w:rsidR="001C63BC" w:rsidRPr="0060093B" w:rsidRDefault="001C63BC" w:rsidP="001C63BC">
      <w:pPr>
        <w:rPr>
          <w:lang w:val="en-US"/>
        </w:rPr>
      </w:pPr>
      <w:r w:rsidRPr="0060093B">
        <w:rPr>
          <w:lang w:val="en-US"/>
        </w:rPr>
        <w:t>The probability of interference then depends on:</w:t>
      </w:r>
    </w:p>
    <w:p w:rsidR="001C63BC" w:rsidRPr="0060093B" w:rsidRDefault="001C63BC" w:rsidP="001C63BC">
      <w:pPr>
        <w:pStyle w:val="enumlev1"/>
        <w:rPr>
          <w:lang w:val="en-US"/>
        </w:rPr>
      </w:pPr>
      <w:r w:rsidRPr="0060093B">
        <w:rPr>
          <w:lang w:val="en-US"/>
        </w:rPr>
        <w:t>1)</w:t>
      </w:r>
      <w:r w:rsidRPr="0060093B">
        <w:rPr>
          <w:lang w:val="en-US"/>
        </w:rPr>
        <w:tab/>
        <w:t>whether or not there is actually any DVB-T coverage within the (interfering) radius of the base station; and</w:t>
      </w:r>
    </w:p>
    <w:p w:rsidR="001C63BC" w:rsidRPr="0060093B" w:rsidRDefault="001C63BC" w:rsidP="001C63BC">
      <w:pPr>
        <w:pStyle w:val="enumlev1"/>
        <w:rPr>
          <w:lang w:val="en-US"/>
        </w:rPr>
      </w:pPr>
      <w:r w:rsidRPr="0060093B">
        <w:rPr>
          <w:lang w:val="en-US"/>
        </w:rPr>
        <w:t>2)</w:t>
      </w:r>
      <w:r w:rsidRPr="0060093B">
        <w:rPr>
          <w:lang w:val="en-US"/>
        </w:rPr>
        <w:tab/>
        <w:t>whether or not there are actually any relevant digital terrestrial television broadcasting application situations within the (protection) radius.</w:t>
      </w:r>
    </w:p>
    <w:p w:rsidR="001C63BC" w:rsidRPr="0060093B" w:rsidRDefault="001C63BC" w:rsidP="001C63BC">
      <w:pPr>
        <w:rPr>
          <w:lang w:val="en-US"/>
        </w:rPr>
      </w:pPr>
      <w:r w:rsidRPr="0060093B">
        <w:rPr>
          <w:lang w:val="en-US"/>
        </w:rPr>
        <w:t>If both these factors apply, it is necessary to see in each particular case if the DVB-T field strength available seems high enough in order to make interference to broadcasting reception from the LTE base station improbable. In this case, the applicant must explain how he will protect the broadcasting service (further remedies may be required) or why interference to broadcasting reception is improbable.</w:t>
      </w:r>
    </w:p>
    <w:p w:rsidR="001C63BC" w:rsidRPr="0060093B" w:rsidRDefault="001C63BC" w:rsidP="001C63BC">
      <w:pPr>
        <w:rPr>
          <w:lang w:val="en-US"/>
        </w:rPr>
      </w:pPr>
      <w:r w:rsidRPr="0060093B">
        <w:rPr>
          <w:lang w:val="en-US"/>
        </w:rPr>
        <w:t>This procedure for setting site-related frequency usage parameters takes account of the fact that such parameters in the 800 MHz band at the interface with broadcasting are being, or have been, set for the first time and may need to be refined, depending on the actual effects the operational mobile networks have.</w:t>
      </w:r>
    </w:p>
    <w:p w:rsidR="001C63BC" w:rsidRPr="00627C9A" w:rsidRDefault="001C63BC" w:rsidP="00A77CE1">
      <w:pPr>
        <w:pStyle w:val="Heading2"/>
        <w:rPr>
          <w:lang w:val="en-US"/>
        </w:rPr>
      </w:pPr>
      <w:r>
        <w:rPr>
          <w:lang w:val="en-US"/>
        </w:rPr>
        <w:t>1.3</w:t>
      </w:r>
      <w:r>
        <w:rPr>
          <w:lang w:val="en-US"/>
        </w:rPr>
        <w:tab/>
      </w:r>
      <w:r w:rsidRPr="00627C9A">
        <w:rPr>
          <w:lang w:val="en-US"/>
        </w:rPr>
        <w:t>Steps for a computer-assisted standard procedure for determining compatibility between LTE and broadcasting in specific cases before setting the site-</w:t>
      </w:r>
      <w:r>
        <w:rPr>
          <w:lang w:val="en-US"/>
        </w:rPr>
        <w:t>related usage parameters for an </w:t>
      </w:r>
      <w:r w:rsidRPr="00627C9A">
        <w:rPr>
          <w:lang w:val="en-US"/>
        </w:rPr>
        <w:t>LTE base station</w:t>
      </w:r>
    </w:p>
    <w:p w:rsidR="001C63BC" w:rsidRPr="0060093B" w:rsidRDefault="001C63BC" w:rsidP="001C63BC">
      <w:pPr>
        <w:rPr>
          <w:lang w:val="en-US"/>
        </w:rPr>
      </w:pPr>
      <w:r w:rsidRPr="0060093B">
        <w:rPr>
          <w:lang w:val="en-US"/>
        </w:rPr>
        <w:t>The following flow chart illustrates the individual steps in the procedure to provide protection for DVB-T broadcasting. Other necessary coordination steps (such as international coordination) are not included in the chart but must also be taken before site-related usage parameters can be set.</w:t>
      </w:r>
    </w:p>
    <w:p w:rsidR="001C63BC" w:rsidRDefault="001C63BC" w:rsidP="00FF5A06">
      <w:pPr>
        <w:pStyle w:val="FigureNo"/>
      </w:pPr>
      <w:r>
        <w:lastRenderedPageBreak/>
        <w:t>Figure</w:t>
      </w:r>
      <w:r w:rsidR="00A77CE1">
        <w:t xml:space="preserve"> </w:t>
      </w:r>
      <w:r w:rsidR="0060561C">
        <w:t>A1</w:t>
      </w:r>
      <w:r w:rsidR="00FF5A06">
        <w:t>.</w:t>
      </w:r>
      <w:r>
        <w:t>1</w:t>
      </w:r>
    </w:p>
    <w:p w:rsidR="001C63BC" w:rsidRDefault="001C63BC" w:rsidP="00A77CE1">
      <w:pPr>
        <w:pStyle w:val="Figuretitle"/>
      </w:pPr>
      <w:r w:rsidRPr="00A77CE1">
        <w:t>Flowchart</w:t>
      </w:r>
    </w:p>
    <w:p w:rsidR="001C63BC" w:rsidRPr="00EB2ACC" w:rsidRDefault="001C63BC" w:rsidP="00A77CE1">
      <w:pPr>
        <w:pStyle w:val="Figure"/>
      </w:pPr>
      <w:r>
        <w:rPr>
          <w:noProof/>
          <w:lang w:val="en-US" w:eastAsia="zh-CN"/>
        </w:rPr>
        <w:drawing>
          <wp:inline distT="0" distB="0" distL="0" distR="0" wp14:anchorId="7F2FCC36" wp14:editId="67BA2907">
            <wp:extent cx="6089650" cy="3841750"/>
            <wp:effectExtent l="19050" t="0" r="635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3" cstate="print"/>
                    <a:srcRect/>
                    <a:stretch>
                      <a:fillRect/>
                    </a:stretch>
                  </pic:blipFill>
                  <pic:spPr bwMode="auto">
                    <a:xfrm>
                      <a:off x="0" y="0"/>
                      <a:ext cx="6089650" cy="3841750"/>
                    </a:xfrm>
                    <a:prstGeom prst="rect">
                      <a:avLst/>
                    </a:prstGeom>
                    <a:noFill/>
                    <a:ln w="9525">
                      <a:noFill/>
                      <a:miter lim="800000"/>
                      <a:headEnd/>
                      <a:tailEnd/>
                    </a:ln>
                  </pic:spPr>
                </pic:pic>
              </a:graphicData>
            </a:graphic>
          </wp:inline>
        </w:drawing>
      </w:r>
    </w:p>
    <w:p w:rsidR="001C63BC" w:rsidRPr="00EB2ACC" w:rsidRDefault="001C63BC" w:rsidP="001C63BC">
      <w:pPr>
        <w:jc w:val="center"/>
      </w:pPr>
    </w:p>
    <w:p w:rsidR="001C63BC" w:rsidRPr="000C32F1" w:rsidRDefault="009F6806" w:rsidP="009F6806">
      <w:pPr>
        <w:pStyle w:val="Note"/>
        <w:rPr>
          <w:szCs w:val="22"/>
          <w:lang w:val="en-US"/>
        </w:rPr>
      </w:pPr>
      <w:r w:rsidRPr="000C32F1">
        <w:rPr>
          <w:szCs w:val="22"/>
          <w:lang w:val="en-US"/>
        </w:rPr>
        <w:t xml:space="preserve">NOTE </w:t>
      </w:r>
      <w:r w:rsidR="001C63BC" w:rsidRPr="000C32F1">
        <w:rPr>
          <w:szCs w:val="22"/>
          <w:lang w:val="en-US"/>
        </w:rPr>
        <w:t>1</w:t>
      </w:r>
      <w:r w:rsidRPr="000C32F1">
        <w:rPr>
          <w:szCs w:val="22"/>
          <w:lang w:val="en-US"/>
        </w:rPr>
        <w:t xml:space="preserve"> – </w:t>
      </w:r>
      <w:r w:rsidR="001C63BC" w:rsidRPr="000C32F1">
        <w:rPr>
          <w:szCs w:val="22"/>
          <w:lang w:val="en-US"/>
        </w:rPr>
        <w:t>If the distance between the LTE base station and the residential area is more than 1 100 m, the application for parameters to be set can be granted.</w:t>
      </w:r>
    </w:p>
    <w:p w:rsidR="001C63BC" w:rsidRPr="000C32F1" w:rsidRDefault="009F6806" w:rsidP="009F6806">
      <w:pPr>
        <w:pStyle w:val="Note"/>
        <w:rPr>
          <w:szCs w:val="22"/>
          <w:lang w:val="en-US"/>
        </w:rPr>
      </w:pPr>
      <w:r w:rsidRPr="000C32F1">
        <w:rPr>
          <w:iCs/>
          <w:szCs w:val="22"/>
          <w:lang w:val="en-US"/>
        </w:rPr>
        <w:t xml:space="preserve">NOTE </w:t>
      </w:r>
      <w:r w:rsidR="001C63BC" w:rsidRPr="000C32F1">
        <w:rPr>
          <w:szCs w:val="22"/>
          <w:lang w:val="en-US"/>
        </w:rPr>
        <w:t>2</w:t>
      </w:r>
      <w:r w:rsidRPr="000C32F1">
        <w:rPr>
          <w:szCs w:val="22"/>
          <w:lang w:val="en-US"/>
        </w:rPr>
        <w:t xml:space="preserve"> – </w:t>
      </w:r>
      <w:r w:rsidR="001C63BC" w:rsidRPr="000C32F1">
        <w:rPr>
          <w:szCs w:val="22"/>
          <w:lang w:val="en-US"/>
        </w:rPr>
        <w:t>If the distance between the LTE base station and the residential area is less than 1 100 m, a</w:t>
      </w:r>
      <w:r w:rsidRPr="000C32F1">
        <w:rPr>
          <w:szCs w:val="22"/>
          <w:lang w:val="en-US"/>
        </w:rPr>
        <w:t xml:space="preserve"> </w:t>
      </w:r>
      <w:r w:rsidR="001C63BC" w:rsidRPr="000C32F1">
        <w:rPr>
          <w:szCs w:val="22"/>
          <w:lang w:val="en-US"/>
        </w:rPr>
        <w:t>DVB</w:t>
      </w:r>
      <w:r w:rsidRPr="000C32F1">
        <w:rPr>
          <w:szCs w:val="22"/>
          <w:lang w:val="en-US"/>
        </w:rPr>
        <w:noBreakHyphen/>
      </w:r>
      <w:r w:rsidR="001C63BC" w:rsidRPr="000C32F1">
        <w:rPr>
          <w:szCs w:val="22"/>
          <w:lang w:val="en-US"/>
        </w:rPr>
        <w:t>T coverage map calculated for each of the channels from 60 to (currently) 52 is used. The calculations are made using internationally recognized propagation models for DVB-T television broadcasting emissions. The coverage map is used to allocate field strengths for DVB-T coverage on each channel to grid points spaced at intervals of one arc second, following the recognized assumptions for location and time percentages for broadcasting reception.</w:t>
      </w:r>
    </w:p>
    <w:p w:rsidR="001C63BC" w:rsidRPr="000C32F1" w:rsidRDefault="009F6806" w:rsidP="009F6806">
      <w:pPr>
        <w:pStyle w:val="Note"/>
        <w:rPr>
          <w:szCs w:val="22"/>
          <w:lang w:val="en-US"/>
        </w:rPr>
      </w:pPr>
      <w:r w:rsidRPr="000C32F1">
        <w:rPr>
          <w:iCs/>
          <w:szCs w:val="22"/>
          <w:lang w:val="en-US"/>
        </w:rPr>
        <w:t xml:space="preserve">NOTE </w:t>
      </w:r>
      <w:r w:rsidR="001C63BC" w:rsidRPr="000C32F1">
        <w:rPr>
          <w:szCs w:val="22"/>
          <w:lang w:val="en-US"/>
        </w:rPr>
        <w:t>3</w:t>
      </w:r>
      <w:r w:rsidRPr="000C32F1">
        <w:rPr>
          <w:szCs w:val="22"/>
          <w:lang w:val="en-US"/>
        </w:rPr>
        <w:t xml:space="preserve"> – </w:t>
      </w:r>
      <w:r w:rsidR="001C63BC" w:rsidRPr="000C32F1">
        <w:rPr>
          <w:szCs w:val="22"/>
          <w:lang w:val="en-US"/>
        </w:rPr>
        <w:t>First, the average DVB-T field strength available per channel is calculated as the arithmetic mean of all the grid point field strengths greater than 41 dB</w:t>
      </w:r>
      <w:r w:rsidR="001C63BC" w:rsidRPr="000C32F1">
        <w:rPr>
          <w:szCs w:val="22"/>
        </w:rPr>
        <w:t>μ</w:t>
      </w:r>
      <w:r w:rsidR="001C63BC" w:rsidRPr="000C32F1">
        <w:rPr>
          <w:szCs w:val="22"/>
          <w:lang w:val="en-US"/>
        </w:rPr>
        <w:t>V/m, for a 600 m by 600 m square around the LTE base station.</w:t>
      </w:r>
    </w:p>
    <w:p w:rsidR="001C63BC" w:rsidRPr="000C32F1" w:rsidRDefault="009F6806" w:rsidP="009F6806">
      <w:pPr>
        <w:pStyle w:val="Note"/>
        <w:rPr>
          <w:szCs w:val="22"/>
          <w:lang w:val="en-US"/>
        </w:rPr>
      </w:pPr>
      <w:r w:rsidRPr="000C32F1">
        <w:rPr>
          <w:iCs/>
          <w:szCs w:val="22"/>
          <w:lang w:val="en-US"/>
        </w:rPr>
        <w:t xml:space="preserve">NOTE </w:t>
      </w:r>
      <w:r w:rsidR="001C63BC" w:rsidRPr="000C32F1">
        <w:rPr>
          <w:szCs w:val="22"/>
          <w:lang w:val="en-US"/>
        </w:rPr>
        <w:t>4</w:t>
      </w:r>
      <w:r w:rsidRPr="000C32F1">
        <w:rPr>
          <w:szCs w:val="22"/>
          <w:lang w:val="en-US"/>
        </w:rPr>
        <w:t xml:space="preserve"> – </w:t>
      </w:r>
      <w:r w:rsidR="001C63BC" w:rsidRPr="000C32F1">
        <w:rPr>
          <w:szCs w:val="22"/>
          <w:lang w:val="en-US"/>
        </w:rPr>
        <w:t>If the average available DVB-T field strength calculated is at least 82 dB</w:t>
      </w:r>
      <w:r w:rsidR="001C63BC" w:rsidRPr="000C32F1">
        <w:rPr>
          <w:szCs w:val="22"/>
        </w:rPr>
        <w:t>μ</w:t>
      </w:r>
      <w:r w:rsidR="001C63BC" w:rsidRPr="000C32F1">
        <w:rPr>
          <w:szCs w:val="22"/>
          <w:lang w:val="en-US"/>
        </w:rPr>
        <w:t>V/m, the application for site-related frequency usage parameters for an LTE base station can be granted, on the assumption that the base station radiated power is 59 dBm.</w:t>
      </w:r>
    </w:p>
    <w:p w:rsidR="001C63BC" w:rsidRPr="000C32F1" w:rsidRDefault="001C63BC" w:rsidP="009F6806">
      <w:pPr>
        <w:pStyle w:val="Note"/>
        <w:rPr>
          <w:szCs w:val="22"/>
          <w:lang w:val="en-US"/>
        </w:rPr>
      </w:pPr>
      <w:r w:rsidRPr="000C32F1">
        <w:rPr>
          <w:szCs w:val="22"/>
          <w:lang w:val="en-US"/>
        </w:rPr>
        <w:t>If the planned base station radiated power is lower than the maximum radiated power of 59 dBm, the average minimum available DVB-T field strength of 82 dB</w:t>
      </w:r>
      <w:r w:rsidRPr="000C32F1">
        <w:rPr>
          <w:szCs w:val="22"/>
        </w:rPr>
        <w:t>μ</w:t>
      </w:r>
      <w:r w:rsidRPr="000C32F1">
        <w:rPr>
          <w:szCs w:val="22"/>
          <w:lang w:val="en-US"/>
        </w:rPr>
        <w:t>V/m can be reduced by the difference between a radiated power of 59 dBm and the planned lower radiated power, since the LTE out of block emissions will also be correspondingly lower.</w:t>
      </w:r>
    </w:p>
    <w:p w:rsidR="001C63BC" w:rsidRPr="000C32F1" w:rsidRDefault="009F6806" w:rsidP="009F6806">
      <w:pPr>
        <w:pStyle w:val="Note"/>
        <w:rPr>
          <w:szCs w:val="22"/>
          <w:lang w:val="en-US"/>
        </w:rPr>
      </w:pPr>
      <w:r w:rsidRPr="000C32F1">
        <w:rPr>
          <w:iCs/>
          <w:szCs w:val="22"/>
          <w:lang w:val="en-US"/>
        </w:rPr>
        <w:t xml:space="preserve">NOTE </w:t>
      </w:r>
      <w:r w:rsidR="001C63BC" w:rsidRPr="000C32F1">
        <w:rPr>
          <w:szCs w:val="22"/>
          <w:lang w:val="en-US"/>
        </w:rPr>
        <w:t>5</w:t>
      </w:r>
      <w:r w:rsidRPr="000C32F1">
        <w:rPr>
          <w:szCs w:val="22"/>
          <w:lang w:val="en-US"/>
        </w:rPr>
        <w:t xml:space="preserve"> – </w:t>
      </w:r>
      <w:r w:rsidR="001C63BC" w:rsidRPr="000C32F1">
        <w:rPr>
          <w:szCs w:val="22"/>
          <w:lang w:val="en-US"/>
        </w:rPr>
        <w:t>All other cases:</w:t>
      </w:r>
    </w:p>
    <w:p w:rsidR="001C63BC" w:rsidRPr="0060093B" w:rsidRDefault="001C63BC" w:rsidP="009F6806">
      <w:pPr>
        <w:pStyle w:val="Note"/>
        <w:rPr>
          <w:lang w:val="en-US"/>
        </w:rPr>
      </w:pPr>
      <w:r w:rsidRPr="0060093B">
        <w:rPr>
          <w:lang w:val="en-US"/>
        </w:rPr>
        <w:t>The necessary field strength for DVB-T reception, corresponding to the distance between the LTE base station and the nearest residential area (up to 1 100 m), can be read from the graph below (compatibility curve).</w:t>
      </w:r>
    </w:p>
    <w:p w:rsidR="001C63BC" w:rsidRPr="0060093B" w:rsidRDefault="001C63BC" w:rsidP="009F6806">
      <w:pPr>
        <w:pStyle w:val="Note"/>
        <w:rPr>
          <w:lang w:val="en-US"/>
        </w:rPr>
      </w:pPr>
      <w:r w:rsidRPr="0060093B">
        <w:rPr>
          <w:lang w:val="en-US"/>
        </w:rPr>
        <w:t>If the average available DVB-T field strength calculated in step 3 is higher, the application can be granted.</w:t>
      </w:r>
    </w:p>
    <w:p w:rsidR="001C63BC" w:rsidRPr="008A63F1" w:rsidRDefault="00A77CE1" w:rsidP="00FF5A06">
      <w:pPr>
        <w:pStyle w:val="FigureNo"/>
        <w:rPr>
          <w:lang w:val="en-US"/>
        </w:rPr>
      </w:pPr>
      <w:r w:rsidRPr="008A63F1">
        <w:rPr>
          <w:lang w:val="en-US"/>
        </w:rPr>
        <w:lastRenderedPageBreak/>
        <w:t xml:space="preserve">Figure </w:t>
      </w:r>
      <w:r w:rsidR="0060561C">
        <w:rPr>
          <w:lang w:val="en-US"/>
        </w:rPr>
        <w:t>A1</w:t>
      </w:r>
      <w:r w:rsidR="00FF5A06">
        <w:rPr>
          <w:lang w:val="en-US"/>
        </w:rPr>
        <w:t>.</w:t>
      </w:r>
      <w:r w:rsidR="001C63BC" w:rsidRPr="008A63F1">
        <w:rPr>
          <w:lang w:val="en-US"/>
        </w:rPr>
        <w:t>2</w:t>
      </w:r>
    </w:p>
    <w:p w:rsidR="00AB258F" w:rsidRDefault="00AB258F" w:rsidP="00AB258F">
      <w:pPr>
        <w:pStyle w:val="Figuretitle"/>
        <w:rPr>
          <w:lang w:val="en-US"/>
        </w:rPr>
      </w:pPr>
      <w:r w:rsidRPr="00AB258F">
        <w:rPr>
          <w:lang w:val="en-US"/>
        </w:rPr>
        <w:t xml:space="preserve">Distance as a </w:t>
      </w:r>
      <w:r w:rsidR="00894351" w:rsidRPr="00AB258F">
        <w:rPr>
          <w:lang w:val="en-US"/>
        </w:rPr>
        <w:t>function</w:t>
      </w:r>
      <w:r w:rsidRPr="00AB258F">
        <w:rPr>
          <w:lang w:val="en-US"/>
        </w:rPr>
        <w:t xml:space="preserve"> of the available DVB-T field strengt</w:t>
      </w:r>
      <w:r>
        <w:rPr>
          <w:lang w:val="en-US"/>
        </w:rPr>
        <w:t>h</w:t>
      </w:r>
    </w:p>
    <w:p w:rsidR="001C63BC" w:rsidRDefault="00AB258F" w:rsidP="000C32F1">
      <w:pPr>
        <w:pStyle w:val="Figure"/>
      </w:pPr>
      <w:r>
        <w:rPr>
          <w:noProof/>
          <w:lang w:val="en-US" w:eastAsia="zh-CN"/>
        </w:rPr>
        <w:drawing>
          <wp:inline distT="0" distB="0" distL="0" distR="0">
            <wp:extent cx="5934075" cy="2943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2943225"/>
                    </a:xfrm>
                    <a:prstGeom prst="rect">
                      <a:avLst/>
                    </a:prstGeom>
                    <a:noFill/>
                    <a:ln>
                      <a:noFill/>
                    </a:ln>
                  </pic:spPr>
                </pic:pic>
              </a:graphicData>
            </a:graphic>
          </wp:inline>
        </w:drawing>
      </w:r>
    </w:p>
    <w:p w:rsidR="001C63BC" w:rsidRPr="000C32F1" w:rsidRDefault="00E91AE3" w:rsidP="00E91AE3">
      <w:pPr>
        <w:pStyle w:val="Note"/>
        <w:rPr>
          <w:szCs w:val="22"/>
          <w:lang w:val="en-US"/>
        </w:rPr>
      </w:pPr>
      <w:r w:rsidRPr="000C32F1">
        <w:rPr>
          <w:iCs/>
          <w:szCs w:val="22"/>
          <w:lang w:val="en-US"/>
        </w:rPr>
        <w:t xml:space="preserve">NOTE </w:t>
      </w:r>
      <w:r w:rsidR="001C63BC" w:rsidRPr="000C32F1">
        <w:rPr>
          <w:szCs w:val="22"/>
          <w:lang w:val="en-US"/>
        </w:rPr>
        <w:t>6</w:t>
      </w:r>
      <w:r w:rsidRPr="000C32F1">
        <w:rPr>
          <w:szCs w:val="22"/>
          <w:lang w:val="en-US"/>
        </w:rPr>
        <w:t xml:space="preserve"> – </w:t>
      </w:r>
      <w:r w:rsidR="001C63BC" w:rsidRPr="000C32F1">
        <w:rPr>
          <w:szCs w:val="22"/>
          <w:lang w:val="en-US"/>
        </w:rPr>
        <w:t>If the average available DVB-T field strength calculated is less than 41 dB</w:t>
      </w:r>
      <w:r w:rsidR="001C63BC" w:rsidRPr="000C32F1">
        <w:rPr>
          <w:szCs w:val="22"/>
          <w:lang w:val="de-DE"/>
        </w:rPr>
        <w:t>μ</w:t>
      </w:r>
      <w:r w:rsidR="001C63BC" w:rsidRPr="000C32F1">
        <w:rPr>
          <w:szCs w:val="22"/>
          <w:lang w:val="en-US"/>
        </w:rPr>
        <w:t>V/m on each DVB-T channel considered, the application can also be granted, since the field strength is lower than the minimum required for DVB-T coverage, i.e. absence of broadcast coverage.</w:t>
      </w:r>
    </w:p>
    <w:p w:rsidR="001C63BC" w:rsidRPr="0060093B" w:rsidRDefault="00E91AE3" w:rsidP="00E91AE3">
      <w:pPr>
        <w:pStyle w:val="Note"/>
        <w:rPr>
          <w:lang w:val="en-US"/>
        </w:rPr>
      </w:pPr>
      <w:r w:rsidRPr="000C32F1">
        <w:rPr>
          <w:iCs/>
          <w:szCs w:val="22"/>
          <w:lang w:val="en-US"/>
        </w:rPr>
        <w:t xml:space="preserve">NOTE </w:t>
      </w:r>
      <w:r w:rsidR="001C63BC" w:rsidRPr="000C32F1">
        <w:rPr>
          <w:szCs w:val="22"/>
          <w:lang w:val="en-US"/>
        </w:rPr>
        <w:t>7</w:t>
      </w:r>
      <w:r w:rsidRPr="000C32F1">
        <w:rPr>
          <w:szCs w:val="22"/>
          <w:lang w:val="en-US"/>
        </w:rPr>
        <w:t xml:space="preserve"> – </w:t>
      </w:r>
      <w:r w:rsidR="001C63BC" w:rsidRPr="000C32F1">
        <w:rPr>
          <w:szCs w:val="22"/>
          <w:lang w:val="en-US"/>
        </w:rPr>
        <w:t>If, having follo</w:t>
      </w:r>
      <w:r w:rsidR="001C63BC" w:rsidRPr="0060093B">
        <w:rPr>
          <w:lang w:val="en-US"/>
        </w:rPr>
        <w:t>wed steps 1 to 5, an application cannot be granted, further information must be provided by the mobile network operator in order for a decision to be taken on the application.</w:t>
      </w:r>
    </w:p>
    <w:p w:rsidR="001C63BC" w:rsidRPr="009C461C" w:rsidRDefault="001C63BC" w:rsidP="00A77CE1">
      <w:pPr>
        <w:pStyle w:val="Heading2"/>
        <w:rPr>
          <w:lang w:val="en-US"/>
        </w:rPr>
      </w:pPr>
      <w:r w:rsidRPr="009C461C">
        <w:rPr>
          <w:lang w:val="en-US"/>
        </w:rPr>
        <w:t>1.4</w:t>
      </w:r>
      <w:r w:rsidRPr="009C461C">
        <w:rPr>
          <w:lang w:val="en-US"/>
        </w:rPr>
        <w:tab/>
        <w:t>Compatibility with broadcast service in neighboring countries</w:t>
      </w:r>
    </w:p>
    <w:p w:rsidR="001C63BC" w:rsidRPr="009C461C" w:rsidRDefault="001C63BC" w:rsidP="001C63BC">
      <w:pPr>
        <w:rPr>
          <w:lang w:val="en-US"/>
        </w:rPr>
      </w:pPr>
      <w:r w:rsidRPr="009C461C">
        <w:rPr>
          <w:lang w:val="en-US"/>
        </w:rPr>
        <w:t xml:space="preserve">Compatibility with broadcast service still in operation in neighboring countries has been achieved successfully by bilateral agreements which are based on the principles outlined in the Geneva 06 Agreement, i.e. on </w:t>
      </w:r>
      <w:r>
        <w:rPr>
          <w:lang w:val="en-US"/>
        </w:rPr>
        <w:t xml:space="preserve">the use of a </w:t>
      </w:r>
      <w:r w:rsidRPr="009C461C">
        <w:rPr>
          <w:lang w:val="en-US"/>
        </w:rPr>
        <w:t xml:space="preserve">maximum interfering field strengths at the border. </w:t>
      </w:r>
    </w:p>
    <w:p w:rsidR="001C63BC" w:rsidRPr="009C461C" w:rsidRDefault="001C63BC" w:rsidP="001C63BC">
      <w:pPr>
        <w:rPr>
          <w:lang w:val="en-US"/>
        </w:rPr>
      </w:pPr>
      <w:r w:rsidRPr="009C461C">
        <w:rPr>
          <w:lang w:val="en-US"/>
        </w:rPr>
        <w:t xml:space="preserve">Depending on the specific situation, values in the range from 25 up to 44 dBµV/m </w:t>
      </w:r>
      <w:r>
        <w:rPr>
          <w:lang w:val="en-US"/>
        </w:rPr>
        <w:br/>
      </w:r>
      <w:r w:rsidRPr="009C461C">
        <w:rPr>
          <w:lang w:val="en-US"/>
        </w:rPr>
        <w:t>(8 MHz, 10 m height) were used in such agreements.</w:t>
      </w:r>
    </w:p>
    <w:p w:rsidR="001C63BC" w:rsidRPr="00627C9A" w:rsidRDefault="001C63BC" w:rsidP="00A77CE1">
      <w:pPr>
        <w:pStyle w:val="Heading2"/>
        <w:rPr>
          <w:lang w:val="en-US"/>
        </w:rPr>
      </w:pPr>
      <w:r>
        <w:rPr>
          <w:lang w:val="en-US"/>
        </w:rPr>
        <w:t>1.5</w:t>
      </w:r>
      <w:r>
        <w:rPr>
          <w:lang w:val="en-US"/>
        </w:rPr>
        <w:tab/>
      </w:r>
      <w:r w:rsidRPr="00627C9A">
        <w:rPr>
          <w:lang w:val="en-US"/>
        </w:rPr>
        <w:t>Conclusion</w:t>
      </w:r>
    </w:p>
    <w:p w:rsidR="001C63BC" w:rsidRDefault="001C63BC" w:rsidP="001C63BC">
      <w:pPr>
        <w:rPr>
          <w:lang w:val="en-US"/>
        </w:rPr>
      </w:pPr>
      <w:r>
        <w:rPr>
          <w:lang w:val="en-US"/>
        </w:rPr>
        <w:t>By the end of 2012 about 6 000 mobile base stations have been in operation in the 800 MHz band in Germany.</w:t>
      </w:r>
    </w:p>
    <w:p w:rsidR="001C63BC" w:rsidRDefault="001C63BC" w:rsidP="001C63BC">
      <w:pPr>
        <w:rPr>
          <w:lang w:val="en-US"/>
        </w:rPr>
      </w:pPr>
      <w:r>
        <w:rPr>
          <w:lang w:val="en-US"/>
        </w:rPr>
        <w:t xml:space="preserve">For 4 000 additional base stations the parameters had been assigned, which is the prerequisite for starting operation. </w:t>
      </w:r>
      <w:r w:rsidRPr="0071679F">
        <w:rPr>
          <w:lang w:val="en-US"/>
        </w:rPr>
        <w:t xml:space="preserve">By October 2013 </w:t>
      </w:r>
      <w:r>
        <w:rPr>
          <w:lang w:val="en-US"/>
        </w:rPr>
        <w:t>most of them are in operation, too.</w:t>
      </w:r>
    </w:p>
    <w:p w:rsidR="001C63BC" w:rsidRDefault="001C63BC" w:rsidP="001C63BC">
      <w:pPr>
        <w:rPr>
          <w:lang w:val="en-US"/>
        </w:rPr>
      </w:pPr>
      <w:r>
        <w:rPr>
          <w:lang w:val="en-US"/>
        </w:rPr>
        <w:t xml:space="preserve">Only </w:t>
      </w:r>
      <w:r w:rsidRPr="00B63BD9">
        <w:rPr>
          <w:lang w:val="en-US"/>
        </w:rPr>
        <w:t xml:space="preserve">10 </w:t>
      </w:r>
      <w:r>
        <w:rPr>
          <w:lang w:val="en-US"/>
        </w:rPr>
        <w:t xml:space="preserve">(ten) of the </w:t>
      </w:r>
      <w:r w:rsidRPr="00B63BD9">
        <w:rPr>
          <w:lang w:val="en-US"/>
        </w:rPr>
        <w:t xml:space="preserve">complaints </w:t>
      </w:r>
      <w:r>
        <w:rPr>
          <w:lang w:val="en-US"/>
        </w:rPr>
        <w:t>raised until October 2013 in respect of interference into the broadcasting service were identified as caused by LTE. Most of them were easily solved by simple adjustments of the DVB-T reception antenna system (e.g. antenna directivity, antenna amplifier level, additional low cost filter, etc.).</w:t>
      </w:r>
    </w:p>
    <w:p w:rsidR="001C63BC" w:rsidRDefault="001C63BC" w:rsidP="001C63BC">
      <w:pPr>
        <w:rPr>
          <w:lang w:val="en-US"/>
        </w:rPr>
      </w:pPr>
      <w:r>
        <w:rPr>
          <w:lang w:val="en-US"/>
        </w:rPr>
        <w:t>This illustrates that the implemented methodology provides a very high protection level of the broadcasting service.</w:t>
      </w:r>
    </w:p>
    <w:p w:rsidR="001C63BC" w:rsidRPr="00A77CE1" w:rsidRDefault="001C63BC" w:rsidP="00F43F15">
      <w:pPr>
        <w:pStyle w:val="AnnexNoTitle"/>
        <w:rPr>
          <w:lang w:val="en-US" w:eastAsia="ja-JP"/>
        </w:rPr>
      </w:pPr>
      <w:r w:rsidRPr="00A77CE1">
        <w:rPr>
          <w:lang w:val="en-US"/>
        </w:rPr>
        <w:lastRenderedPageBreak/>
        <w:t>Annex 2</w:t>
      </w:r>
      <w:r w:rsidR="00A77CE1" w:rsidRPr="00A77CE1">
        <w:rPr>
          <w:lang w:val="en-US"/>
        </w:rPr>
        <w:br/>
      </w:r>
      <w:r w:rsidR="00A77CE1">
        <w:rPr>
          <w:lang w:val="en-US"/>
        </w:rPr>
        <w:br/>
      </w:r>
      <w:r w:rsidR="00F43F15">
        <w:rPr>
          <w:lang w:val="en-US"/>
        </w:rPr>
        <w:t xml:space="preserve">Interim </w:t>
      </w:r>
      <w:r w:rsidRPr="00A77CE1">
        <w:rPr>
          <w:lang w:val="en-US"/>
        </w:rPr>
        <w:t>national field report on the introduction of IMT downlinks</w:t>
      </w:r>
      <w:r w:rsidRPr="00A77CE1">
        <w:rPr>
          <w:lang w:val="en-US"/>
        </w:rPr>
        <w:br/>
        <w:t>in the 800 MHz band with co-primary allocation to the</w:t>
      </w:r>
      <w:r w:rsidRPr="00A77CE1">
        <w:rPr>
          <w:lang w:val="en-US"/>
        </w:rPr>
        <w:br/>
        <w:t>broadcasting and the mobile services in France</w:t>
      </w:r>
    </w:p>
    <w:p w:rsidR="001C63BC" w:rsidRPr="002A2440" w:rsidRDefault="001C63BC" w:rsidP="00D7254E">
      <w:pPr>
        <w:pStyle w:val="Headingb"/>
        <w:rPr>
          <w:lang w:val="en-US"/>
        </w:rPr>
      </w:pPr>
      <w:r w:rsidRPr="00490767">
        <w:rPr>
          <w:lang w:val="en-US"/>
        </w:rPr>
        <w:t>Introduction</w:t>
      </w:r>
    </w:p>
    <w:p w:rsidR="00F43F15" w:rsidRDefault="00F43F15" w:rsidP="00F43F15">
      <w:pPr>
        <w:rPr>
          <w:szCs w:val="24"/>
          <w:lang w:val="en-US"/>
        </w:rPr>
      </w:pPr>
      <w:r w:rsidRPr="00F43F15">
        <w:rPr>
          <w:szCs w:val="24"/>
          <w:lang w:val="en-US"/>
        </w:rPr>
        <w:t>LTE 800 MHz roll-out is underway in France since March 2013, while LTE 700 MHz roll-out started on April 2016 in some limited areas. The information presented in the following section on the accounting of interference from LTE 800 to DVB-T reception dated from 31 May 2016. The concerned roll-out has been carried out by the three main French mobile network operators and was urban predominated during the first years of the roll-out. It included 16283 base stations (BS). The total number of BS needed for full national coverage of the 800 MHz band is estimated to be about 30000 for the three network operators.</w:t>
      </w:r>
    </w:p>
    <w:p w:rsidR="00F43F15" w:rsidRPr="0031167B" w:rsidRDefault="00F43F15" w:rsidP="00E72F11">
      <w:pPr>
        <w:rPr>
          <w:lang w:val="en-US"/>
        </w:rPr>
      </w:pPr>
      <w:r w:rsidRPr="0060093B">
        <w:rPr>
          <w:lang w:val="en-US"/>
        </w:rPr>
        <w:t xml:space="preserve">The aim of this document is to share experience on the deployment of mobile service LTE networks, and the impact of LTE downlinks on fixed roof-top </w:t>
      </w:r>
      <w:r>
        <w:rPr>
          <w:lang w:val="en-US"/>
        </w:rPr>
        <w:t>DVB-T</w:t>
      </w:r>
      <w:r w:rsidRPr="0060093B">
        <w:rPr>
          <w:lang w:val="en-US"/>
        </w:rPr>
        <w:t xml:space="preserve"> reception below 790 MHz in France. Note that the fixed </w:t>
      </w:r>
      <w:r>
        <w:rPr>
          <w:lang w:val="en-US"/>
        </w:rPr>
        <w:t>DVB-T</w:t>
      </w:r>
      <w:r w:rsidRPr="0060093B">
        <w:rPr>
          <w:lang w:val="en-US"/>
        </w:rPr>
        <w:t xml:space="preserve"> reception “chain” means a roof-top antenna, an amplifier system (in some cases), a passive cable and a TV receiver. Portable and mobile </w:t>
      </w:r>
      <w:r>
        <w:rPr>
          <w:lang w:val="en-US"/>
        </w:rPr>
        <w:t>DVB-T</w:t>
      </w:r>
      <w:r w:rsidRPr="0060093B">
        <w:rPr>
          <w:lang w:val="en-US"/>
        </w:rPr>
        <w:t xml:space="preserve"> receptions are not under consideration in this paper.</w:t>
      </w:r>
    </w:p>
    <w:p w:rsidR="00F43F15" w:rsidRPr="0060093B" w:rsidRDefault="00F43F15" w:rsidP="00F43F15">
      <w:pPr>
        <w:rPr>
          <w:lang w:val="en-US"/>
        </w:rPr>
      </w:pPr>
      <w:r w:rsidRPr="0060093B">
        <w:rPr>
          <w:lang w:val="en-US"/>
        </w:rPr>
        <w:t xml:space="preserve">Based on the work carried out in CEPT and in ITU-R, a mechanism to address the potential interference from IMT base station to fixed </w:t>
      </w:r>
      <w:r>
        <w:rPr>
          <w:lang w:val="en-US"/>
        </w:rPr>
        <w:t>DVB-T</w:t>
      </w:r>
      <w:r w:rsidRPr="0060093B">
        <w:rPr>
          <w:lang w:val="en-US"/>
        </w:rPr>
        <w:t xml:space="preserve"> reception has been put in place:</w:t>
      </w:r>
    </w:p>
    <w:p w:rsidR="001C63BC" w:rsidRPr="0060093B" w:rsidRDefault="001C63BC" w:rsidP="001C63BC">
      <w:pPr>
        <w:pStyle w:val="enumlev1"/>
        <w:rPr>
          <w:lang w:val="en-US"/>
        </w:rPr>
      </w:pPr>
      <w:r w:rsidRPr="0060093B">
        <w:rPr>
          <w:lang w:val="en-US"/>
        </w:rPr>
        <w:t>–</w:t>
      </w:r>
      <w:r w:rsidRPr="0060093B">
        <w:rPr>
          <w:lang w:val="en-US"/>
        </w:rPr>
        <w:tab/>
        <w:t>Mobile operators have the obligation to implement on all base stations filtering characteristics called “Case A/channel 60” of BS BEM out-of-block EIRP limits over frequencies below 790 MHz (see Annex, part B, table 4 of European Commission decision 2010/267/EU).</w:t>
      </w:r>
    </w:p>
    <w:p w:rsidR="001C63BC" w:rsidRPr="0060093B" w:rsidRDefault="001C63BC" w:rsidP="001C63BC">
      <w:pPr>
        <w:pStyle w:val="enumlev1"/>
        <w:rPr>
          <w:lang w:val="en-US"/>
        </w:rPr>
      </w:pPr>
      <w:r w:rsidRPr="0060093B">
        <w:rPr>
          <w:lang w:val="en-US"/>
        </w:rPr>
        <w:t>–</w:t>
      </w:r>
      <w:r w:rsidRPr="0060093B">
        <w:rPr>
          <w:lang w:val="en-US"/>
        </w:rPr>
        <w:tab/>
        <w:t>In addition, mobile operators in the 800 MHz have the obligation:</w:t>
      </w:r>
    </w:p>
    <w:p w:rsidR="001C63BC" w:rsidRDefault="00CD2CBB" w:rsidP="001C63BC">
      <w:pPr>
        <w:pStyle w:val="enumlev2"/>
        <w:rPr>
          <w:lang w:val="en-US"/>
        </w:rPr>
      </w:pPr>
      <w:r w:rsidRPr="00CD2CBB">
        <w:rPr>
          <w:lang w:val="en-US"/>
        </w:rPr>
        <w:t>•</w:t>
      </w:r>
      <w:r w:rsidR="001C63BC" w:rsidRPr="0060093B">
        <w:rPr>
          <w:lang w:val="en-US"/>
        </w:rPr>
        <w:tab/>
        <w:t>to solve interference of TV installation receiving broadcasting stations assigned before the LTE deployment;</w:t>
      </w:r>
    </w:p>
    <w:p w:rsidR="00F43F15" w:rsidRPr="0060093B" w:rsidRDefault="00CD2CBB" w:rsidP="001C63BC">
      <w:pPr>
        <w:pStyle w:val="enumlev2"/>
        <w:rPr>
          <w:lang w:val="en-US"/>
        </w:rPr>
      </w:pPr>
      <w:r w:rsidRPr="00CD2CBB">
        <w:rPr>
          <w:lang w:val="en-US"/>
        </w:rPr>
        <w:t>•</w:t>
      </w:r>
      <w:r w:rsidR="00F43F15">
        <w:rPr>
          <w:lang w:val="en-US"/>
        </w:rPr>
        <w:tab/>
      </w:r>
      <w:r w:rsidR="00F43F15" w:rsidRPr="0060093B">
        <w:rPr>
          <w:lang w:val="en-US"/>
        </w:rPr>
        <w:t xml:space="preserve">to provide the French TV viewers a common interface to complain in case of interference, and to help mobile operators to identify quickly where and which operator should intervene, ANFR is managing a call centre for interference to </w:t>
      </w:r>
      <w:r w:rsidR="00F43F15">
        <w:rPr>
          <w:lang w:val="en-US"/>
        </w:rPr>
        <w:t>DVB-T</w:t>
      </w:r>
      <w:r w:rsidR="00F43F15" w:rsidRPr="0060093B">
        <w:rPr>
          <w:lang w:val="en-US"/>
        </w:rPr>
        <w:t xml:space="preserve"> reception and also collects the information provided by mobile operators in the 800 MHz band (e</w:t>
      </w:r>
      <w:r w:rsidR="00F43F15">
        <w:rPr>
          <w:lang w:val="en-US"/>
        </w:rPr>
        <w:t>.</w:t>
      </w:r>
      <w:r w:rsidR="00F43F15" w:rsidRPr="0060093B">
        <w:rPr>
          <w:lang w:val="en-US"/>
        </w:rPr>
        <w:t>g</w:t>
      </w:r>
      <w:r w:rsidR="00F43F15">
        <w:rPr>
          <w:lang w:val="en-US"/>
        </w:rPr>
        <w:t>.</w:t>
      </w:r>
      <w:r w:rsidR="00F43F15" w:rsidRPr="0060093B">
        <w:rPr>
          <w:lang w:val="en-US"/>
        </w:rPr>
        <w:t xml:space="preserve"> BS deployment and BS putting into service information).</w:t>
      </w:r>
    </w:p>
    <w:p w:rsidR="001C63BC" w:rsidRPr="0060093B" w:rsidRDefault="001C63BC" w:rsidP="00CD2CBB">
      <w:pPr>
        <w:rPr>
          <w:lang w:val="en-US"/>
        </w:rPr>
      </w:pPr>
      <w:r w:rsidRPr="0060093B">
        <w:rPr>
          <w:lang w:val="en-US"/>
        </w:rPr>
        <w:t>Moreover, information is provided (i.e. the phone number of the call centre mentioned above) through different means to local professional aerial installers, apartment block administrators, local authority and TV viewers before base stations are put into service.</w:t>
      </w:r>
    </w:p>
    <w:p w:rsidR="001C63BC" w:rsidRPr="002A2440" w:rsidRDefault="001C63BC" w:rsidP="00D7254E">
      <w:pPr>
        <w:pStyle w:val="Headingb"/>
        <w:rPr>
          <w:lang w:val="en-US"/>
        </w:rPr>
      </w:pPr>
      <w:r w:rsidRPr="002A2440">
        <w:rPr>
          <w:lang w:val="en-US"/>
        </w:rPr>
        <w:t xml:space="preserve">Analysis of </w:t>
      </w:r>
      <w:r w:rsidRPr="00490767">
        <w:rPr>
          <w:lang w:val="en-US"/>
        </w:rPr>
        <w:t>the</w:t>
      </w:r>
      <w:r w:rsidRPr="002A2440">
        <w:rPr>
          <w:lang w:val="en-US"/>
        </w:rPr>
        <w:t xml:space="preserve"> cause of interference</w:t>
      </w:r>
    </w:p>
    <w:p w:rsidR="00CD2CBB" w:rsidRDefault="00CD2CBB" w:rsidP="00CD2CBB">
      <w:pPr>
        <w:rPr>
          <w:lang w:val="en-US"/>
        </w:rPr>
      </w:pPr>
      <w:r w:rsidRPr="0060093B">
        <w:rPr>
          <w:lang w:val="en-US"/>
        </w:rPr>
        <w:t xml:space="preserve">The vast majority of reported interference cases that have been observed so far on fixed </w:t>
      </w:r>
      <w:r>
        <w:rPr>
          <w:lang w:val="en-US"/>
        </w:rPr>
        <w:t>DVB-T</w:t>
      </w:r>
      <w:r w:rsidRPr="0060093B">
        <w:rPr>
          <w:lang w:val="en-US"/>
        </w:rPr>
        <w:t xml:space="preserve"> reception were caused by LTE base station provoking </w:t>
      </w:r>
      <w:r>
        <w:rPr>
          <w:lang w:val="en-US"/>
        </w:rPr>
        <w:t>DVB-T</w:t>
      </w:r>
      <w:r w:rsidRPr="0060093B">
        <w:rPr>
          <w:lang w:val="en-US"/>
        </w:rPr>
        <w:t xml:space="preserve"> </w:t>
      </w:r>
      <w:r>
        <w:rPr>
          <w:lang w:val="en-US"/>
        </w:rPr>
        <w:t>overloading</w:t>
      </w:r>
      <w:r w:rsidRPr="0060093B">
        <w:rPr>
          <w:lang w:val="en-US"/>
        </w:rPr>
        <w:t xml:space="preserve"> (active systems like amplifiers or </w:t>
      </w:r>
      <w:r>
        <w:rPr>
          <w:lang w:val="en-US"/>
        </w:rPr>
        <w:t>DVB-T</w:t>
      </w:r>
      <w:r w:rsidRPr="0060093B">
        <w:rPr>
          <w:lang w:val="en-US"/>
        </w:rPr>
        <w:t xml:space="preserve"> t</w:t>
      </w:r>
      <w:r>
        <w:rPr>
          <w:lang w:val="en-US"/>
        </w:rPr>
        <w:t>elevision/</w:t>
      </w:r>
      <w:r w:rsidRPr="0060093B">
        <w:rPr>
          <w:lang w:val="en-US"/>
        </w:rPr>
        <w:t xml:space="preserve">set-top box). </w:t>
      </w:r>
      <w:r>
        <w:rPr>
          <w:lang w:val="en-US"/>
        </w:rPr>
        <w:t>Overloading</w:t>
      </w:r>
      <w:r w:rsidRPr="0060093B">
        <w:rPr>
          <w:lang w:val="en-US"/>
        </w:rPr>
        <w:t xml:space="preserve"> means that usually all TV channels are interfered.</w:t>
      </w:r>
    </w:p>
    <w:p w:rsidR="00CD2CBB" w:rsidRDefault="00CD2CBB" w:rsidP="00CD2CBB">
      <w:pPr>
        <w:rPr>
          <w:lang w:val="en-US"/>
        </w:rPr>
      </w:pPr>
      <w:r>
        <w:rPr>
          <w:szCs w:val="24"/>
          <w:lang w:val="en-US"/>
        </w:rPr>
        <w:t>T</w:t>
      </w:r>
      <w:r w:rsidRPr="00CD2CBB">
        <w:rPr>
          <w:szCs w:val="24"/>
          <w:lang w:val="en-US"/>
        </w:rPr>
        <w:t xml:space="preserve">he </w:t>
      </w:r>
      <w:r w:rsidRPr="00CD2CBB">
        <w:rPr>
          <w:bCs/>
          <w:szCs w:val="24"/>
          <w:lang w:val="en-US"/>
        </w:rPr>
        <w:t>interferences</w:t>
      </w:r>
      <w:r w:rsidRPr="00CD2CBB">
        <w:rPr>
          <w:szCs w:val="24"/>
          <w:lang w:val="en-US"/>
        </w:rPr>
        <w:t xml:space="preserve"> are mainly caused by LTE 800 MHz BS. LTE 700 MHz roll-out</w:t>
      </w:r>
      <w:r>
        <w:rPr>
          <w:lang w:val="en-US"/>
        </w:rPr>
        <w:t xml:space="preserve"> is at its very early stage in France, thus it is difficult to draw any conclusion on its impact on DVB-T reception yet. Indeed, in case of LTE</w:t>
      </w:r>
      <w:r w:rsidRPr="0060093B">
        <w:rPr>
          <w:lang w:val="en-US"/>
        </w:rPr>
        <w:t xml:space="preserve"> 700 MHz, </w:t>
      </w:r>
      <w:r>
        <w:rPr>
          <w:lang w:val="en-US"/>
        </w:rPr>
        <w:t>there is</w:t>
      </w:r>
      <w:r w:rsidRPr="0060093B">
        <w:rPr>
          <w:lang w:val="en-US"/>
        </w:rPr>
        <w:t xml:space="preserve"> a greater frequency </w:t>
      </w:r>
      <w:r>
        <w:rPr>
          <w:lang w:val="en-US"/>
        </w:rPr>
        <w:t>offset</w:t>
      </w:r>
      <w:r w:rsidRPr="0060093B">
        <w:rPr>
          <w:lang w:val="en-US"/>
        </w:rPr>
        <w:t xml:space="preserve"> between the mobile downlink and the highest </w:t>
      </w:r>
      <w:r>
        <w:rPr>
          <w:lang w:val="en-US"/>
        </w:rPr>
        <w:t>DVB-T</w:t>
      </w:r>
      <w:r w:rsidRPr="0060093B">
        <w:rPr>
          <w:lang w:val="en-US"/>
        </w:rPr>
        <w:t xml:space="preserve"> channel 48</w:t>
      </w:r>
      <w:r>
        <w:rPr>
          <w:lang w:val="en-US"/>
        </w:rPr>
        <w:t>.</w:t>
      </w:r>
      <w:r w:rsidRPr="0060093B">
        <w:rPr>
          <w:lang w:val="en-US"/>
        </w:rPr>
        <w:t xml:space="preserve"> </w:t>
      </w:r>
      <w:r>
        <w:rPr>
          <w:lang w:val="en-US"/>
        </w:rPr>
        <w:t>However, according to the experience gained from LTE 800 MHz roll-out, this would</w:t>
      </w:r>
      <w:r w:rsidRPr="0060093B">
        <w:rPr>
          <w:lang w:val="en-US"/>
        </w:rPr>
        <w:t xml:space="preserve"> have a limited beneficial impact on </w:t>
      </w:r>
      <w:r>
        <w:rPr>
          <w:lang w:val="en-US"/>
        </w:rPr>
        <w:t>DVB-T</w:t>
      </w:r>
      <w:r w:rsidRPr="0060093B">
        <w:rPr>
          <w:lang w:val="en-US"/>
        </w:rPr>
        <w:t xml:space="preserve"> </w:t>
      </w:r>
      <w:r>
        <w:rPr>
          <w:lang w:val="en-US"/>
        </w:rPr>
        <w:t>overloading</w:t>
      </w:r>
      <w:r w:rsidRPr="0060093B">
        <w:rPr>
          <w:lang w:val="en-US"/>
        </w:rPr>
        <w:t xml:space="preserve"> effects</w:t>
      </w:r>
      <w:r>
        <w:rPr>
          <w:lang w:val="en-US"/>
        </w:rPr>
        <w:t xml:space="preserve">. Actually, the </w:t>
      </w:r>
      <w:r>
        <w:rPr>
          <w:lang w:val="en-US"/>
        </w:rPr>
        <w:lastRenderedPageBreak/>
        <w:t xml:space="preserve">overloading of active DVB-T reception seems to be independent of the frequency offset </w:t>
      </w:r>
      <w:r w:rsidRPr="0060093B">
        <w:rPr>
          <w:lang w:val="en-US"/>
        </w:rPr>
        <w:t xml:space="preserve">between the mobile downlink and </w:t>
      </w:r>
      <w:r>
        <w:rPr>
          <w:lang w:val="en-US"/>
        </w:rPr>
        <w:t>DVB-T.</w:t>
      </w:r>
    </w:p>
    <w:p w:rsidR="00CD2CBB" w:rsidRPr="0060093B" w:rsidRDefault="00CD2CBB" w:rsidP="00CD2CBB">
      <w:pPr>
        <w:pStyle w:val="enumlev1"/>
        <w:ind w:left="0" w:firstLine="0"/>
        <w:rPr>
          <w:lang w:val="en-US"/>
        </w:rPr>
      </w:pPr>
      <w:r>
        <w:rPr>
          <w:lang w:val="en-US"/>
        </w:rPr>
        <w:t>Note that t</w:t>
      </w:r>
      <w:r w:rsidRPr="0060093B">
        <w:rPr>
          <w:lang w:val="en-US"/>
        </w:rPr>
        <w:t xml:space="preserve">he </w:t>
      </w:r>
      <w:r>
        <w:rPr>
          <w:lang w:val="en-US"/>
        </w:rPr>
        <w:t xml:space="preserve">LTE </w:t>
      </w:r>
      <w:r w:rsidRPr="0060093B">
        <w:rPr>
          <w:lang w:val="en-US"/>
        </w:rPr>
        <w:t xml:space="preserve">800 MHz experience does not provide relevant information about the interference from mobile uplink to </w:t>
      </w:r>
      <w:r>
        <w:rPr>
          <w:lang w:val="en-US"/>
        </w:rPr>
        <w:t>DVB-T</w:t>
      </w:r>
      <w:r w:rsidRPr="0060093B">
        <w:rPr>
          <w:lang w:val="en-US"/>
        </w:rPr>
        <w:t xml:space="preserve"> reception.</w:t>
      </w:r>
    </w:p>
    <w:p w:rsidR="001C63BC" w:rsidRPr="002A2440" w:rsidRDefault="001C63BC" w:rsidP="00D7254E">
      <w:pPr>
        <w:pStyle w:val="Headingb"/>
        <w:rPr>
          <w:lang w:val="en-US"/>
        </w:rPr>
      </w:pPr>
      <w:r w:rsidRPr="002A2440">
        <w:rPr>
          <w:lang w:val="en-US"/>
        </w:rPr>
        <w:t xml:space="preserve">Summary of </w:t>
      </w:r>
      <w:r w:rsidRPr="00490767">
        <w:rPr>
          <w:lang w:val="en-US"/>
        </w:rPr>
        <w:t>interference</w:t>
      </w:r>
      <w:r w:rsidRPr="002A2440">
        <w:rPr>
          <w:lang w:val="en-US"/>
        </w:rPr>
        <w:t xml:space="preserve"> situation</w:t>
      </w:r>
    </w:p>
    <w:p w:rsidR="00CD2CBB" w:rsidRPr="0060093B" w:rsidRDefault="00CD2CBB" w:rsidP="00CD2CBB">
      <w:pPr>
        <w:rPr>
          <w:lang w:val="en-US"/>
        </w:rPr>
      </w:pPr>
      <w:r w:rsidRPr="0060093B">
        <w:rPr>
          <w:lang w:val="en-US"/>
        </w:rPr>
        <w:t>During the period from 1</w:t>
      </w:r>
      <w:r w:rsidRPr="0060093B">
        <w:rPr>
          <w:vertAlign w:val="superscript"/>
          <w:lang w:val="en-US"/>
        </w:rPr>
        <w:t>st</w:t>
      </w:r>
      <w:r w:rsidRPr="0060093B">
        <w:rPr>
          <w:lang w:val="en-US"/>
        </w:rPr>
        <w:t xml:space="preserve"> November 2012 to 31</w:t>
      </w:r>
      <w:r w:rsidRPr="0060093B">
        <w:rPr>
          <w:vertAlign w:val="superscript"/>
          <w:lang w:val="en-US"/>
        </w:rPr>
        <w:t>st</w:t>
      </w:r>
      <w:r>
        <w:rPr>
          <w:lang w:val="en-US"/>
        </w:rPr>
        <w:t xml:space="preserve"> May 2016</w:t>
      </w:r>
      <w:r w:rsidRPr="0060093B">
        <w:rPr>
          <w:lang w:val="en-US"/>
        </w:rPr>
        <w:t xml:space="preserve">, </w:t>
      </w:r>
      <w:r w:rsidRPr="00CD2CBB">
        <w:rPr>
          <w:lang w:val="en-US"/>
        </w:rPr>
        <w:t>16283</w:t>
      </w:r>
      <w:r w:rsidRPr="00CD2CBB">
        <w:rPr>
          <w:sz w:val="20"/>
          <w:lang w:val="en-US"/>
        </w:rPr>
        <w:t xml:space="preserve"> </w:t>
      </w:r>
      <w:r w:rsidRPr="0060093B">
        <w:rPr>
          <w:lang w:val="en-US"/>
        </w:rPr>
        <w:t xml:space="preserve">LTE Base Stations have been put into service in the 800 MHz band, in particular in urban areas, and there have been </w:t>
      </w:r>
      <w:r w:rsidRPr="00CD2CBB">
        <w:rPr>
          <w:lang w:val="en-US"/>
        </w:rPr>
        <w:t>67857</w:t>
      </w:r>
      <w:r w:rsidRPr="00CD2CBB">
        <w:rPr>
          <w:sz w:val="20"/>
          <w:lang w:val="en-US"/>
        </w:rPr>
        <w:t xml:space="preserve"> </w:t>
      </w:r>
      <w:r w:rsidRPr="0060093B">
        <w:rPr>
          <w:lang w:val="en-US"/>
        </w:rPr>
        <w:t xml:space="preserve">reported cases of interference to fixed </w:t>
      </w:r>
      <w:r>
        <w:rPr>
          <w:lang w:val="en-US"/>
        </w:rPr>
        <w:t>DVB-T</w:t>
      </w:r>
      <w:r w:rsidRPr="0060093B">
        <w:rPr>
          <w:lang w:val="en-US"/>
        </w:rPr>
        <w:t xml:space="preserve"> receiving installations, domestic or community aerial (some interference may not have resulted in claims from TV viewers)</w:t>
      </w:r>
      <w:r>
        <w:rPr>
          <w:lang w:val="en-US"/>
        </w:rPr>
        <w:t xml:space="preserve">, </w:t>
      </w:r>
      <w:r w:rsidRPr="00CD2CBB">
        <w:rPr>
          <w:lang w:val="en-US"/>
        </w:rPr>
        <w:t>which represents interference to 168778 households</w:t>
      </w:r>
      <w:r w:rsidRPr="0060093B">
        <w:rPr>
          <w:lang w:val="en-US"/>
        </w:rPr>
        <w:t>.</w:t>
      </w:r>
    </w:p>
    <w:p w:rsidR="00CD2CBB" w:rsidRPr="0060093B" w:rsidRDefault="00CD2CBB" w:rsidP="00CD2CBB">
      <w:pPr>
        <w:rPr>
          <w:lang w:val="en-US"/>
        </w:rPr>
      </w:pPr>
      <w:r w:rsidRPr="0060093B">
        <w:rPr>
          <w:lang w:val="en-US"/>
        </w:rPr>
        <w:t xml:space="preserve">The number of interference cases per base station is very dependent on the local conditions of </w:t>
      </w:r>
      <w:r>
        <w:rPr>
          <w:lang w:val="en-US"/>
        </w:rPr>
        <w:t>DVB</w:t>
      </w:r>
      <w:r>
        <w:rPr>
          <w:lang w:val="en-US"/>
        </w:rPr>
        <w:noBreakHyphen/>
        <w:t>T</w:t>
      </w:r>
      <w:r w:rsidRPr="0060093B">
        <w:rPr>
          <w:lang w:val="en-US"/>
        </w:rPr>
        <w:t xml:space="preserve"> reception. In areas where the </w:t>
      </w:r>
      <w:r>
        <w:rPr>
          <w:lang w:val="en-US"/>
        </w:rPr>
        <w:t>DVB-T</w:t>
      </w:r>
      <w:r w:rsidRPr="0060093B">
        <w:rPr>
          <w:lang w:val="en-US"/>
        </w:rPr>
        <w:t xml:space="preserve"> signal is weak</w:t>
      </w:r>
      <w:r>
        <w:rPr>
          <w:lang w:val="en-US"/>
        </w:rPr>
        <w:t xml:space="preserve"> or the houshols have several TV sets,</w:t>
      </w:r>
      <w:r w:rsidRPr="0060093B">
        <w:rPr>
          <w:lang w:val="en-US"/>
        </w:rPr>
        <w:t xml:space="preserve"> TV viewers are likely to have installed an amplifier and have a higher risk of being interfered with.</w:t>
      </w:r>
    </w:p>
    <w:p w:rsidR="00CD2CBB" w:rsidRDefault="00CD2CBB" w:rsidP="00263254">
      <w:pPr>
        <w:rPr>
          <w:lang w:val="en-US"/>
        </w:rPr>
      </w:pPr>
      <w:r w:rsidRPr="0060093B">
        <w:rPr>
          <w:lang w:val="en-US"/>
        </w:rPr>
        <w:t xml:space="preserve">It has been observed that the median interference distance between the </w:t>
      </w:r>
      <w:r>
        <w:rPr>
          <w:lang w:val="en-US"/>
        </w:rPr>
        <w:t xml:space="preserve">IMT </w:t>
      </w:r>
      <w:r w:rsidRPr="0060093B">
        <w:rPr>
          <w:lang w:val="en-US"/>
        </w:rPr>
        <w:t xml:space="preserve">base station and the </w:t>
      </w:r>
      <w:r>
        <w:rPr>
          <w:lang w:val="en-US"/>
        </w:rPr>
        <w:t>DVB</w:t>
      </w:r>
      <w:r w:rsidR="00263254">
        <w:rPr>
          <w:lang w:val="en-US"/>
        </w:rPr>
        <w:noBreakHyphen/>
      </w:r>
      <w:r>
        <w:rPr>
          <w:lang w:val="en-US"/>
        </w:rPr>
        <w:t>T</w:t>
      </w:r>
      <w:r w:rsidRPr="0060093B">
        <w:rPr>
          <w:lang w:val="en-US"/>
        </w:rPr>
        <w:t xml:space="preserve"> </w:t>
      </w:r>
      <w:r>
        <w:rPr>
          <w:lang w:val="en-US"/>
        </w:rPr>
        <w:t xml:space="preserve">fixed </w:t>
      </w:r>
      <w:r w:rsidRPr="0060093B">
        <w:rPr>
          <w:lang w:val="en-US"/>
        </w:rPr>
        <w:t xml:space="preserve">reception installation is </w:t>
      </w:r>
      <w:r w:rsidRPr="00CD2CBB">
        <w:rPr>
          <w:rFonts w:eastAsia="Calibri"/>
          <w:color w:val="000000"/>
          <w:lang w:val="en-US"/>
        </w:rPr>
        <w:t>572</w:t>
      </w:r>
      <w:r w:rsidRPr="0060093B">
        <w:rPr>
          <w:lang w:val="en-US"/>
        </w:rPr>
        <w:t xml:space="preserve"> m</w:t>
      </w:r>
      <w:r>
        <w:rPr>
          <w:lang w:val="en-US"/>
        </w:rPr>
        <w:t xml:space="preserve"> and the maximum interference distance</w:t>
      </w:r>
      <w:r w:rsidRPr="0060093B">
        <w:rPr>
          <w:lang w:val="en-US"/>
        </w:rPr>
        <w:t xml:space="preserve"> reported </w:t>
      </w:r>
      <w:r>
        <w:rPr>
          <w:lang w:val="en-US"/>
        </w:rPr>
        <w:t>is about</w:t>
      </w:r>
      <w:r w:rsidRPr="0060093B">
        <w:rPr>
          <w:lang w:val="en-US"/>
        </w:rPr>
        <w:t xml:space="preserve"> </w:t>
      </w:r>
      <w:r>
        <w:rPr>
          <w:lang w:val="en-US"/>
        </w:rPr>
        <w:t>6.5</w:t>
      </w:r>
      <w:r w:rsidR="00263254">
        <w:rPr>
          <w:lang w:val="en-US"/>
        </w:rPr>
        <w:t> </w:t>
      </w:r>
      <w:r>
        <w:rPr>
          <w:lang w:val="en-US"/>
        </w:rPr>
        <w:t xml:space="preserve">km. While, </w:t>
      </w:r>
      <w:r w:rsidRPr="0060093B">
        <w:rPr>
          <w:lang w:val="en-US"/>
        </w:rPr>
        <w:t xml:space="preserve">in 99% of cases </w:t>
      </w:r>
      <w:r>
        <w:rPr>
          <w:lang w:val="en-US"/>
        </w:rPr>
        <w:t>the</w:t>
      </w:r>
      <w:r w:rsidRPr="0060093B">
        <w:rPr>
          <w:lang w:val="en-US"/>
        </w:rPr>
        <w:t xml:space="preserve"> interference distance </w:t>
      </w:r>
      <w:r>
        <w:rPr>
          <w:lang w:val="en-US"/>
        </w:rPr>
        <w:t xml:space="preserve">is </w:t>
      </w:r>
      <w:r w:rsidRPr="0060093B">
        <w:rPr>
          <w:lang w:val="en-US"/>
        </w:rPr>
        <w:t xml:space="preserve">below </w:t>
      </w:r>
      <w:r>
        <w:rPr>
          <w:lang w:val="en-US"/>
        </w:rPr>
        <w:t>2.</w:t>
      </w:r>
      <w:r w:rsidRPr="0060093B">
        <w:rPr>
          <w:lang w:val="en-US"/>
        </w:rPr>
        <w:t>1 km.</w:t>
      </w:r>
    </w:p>
    <w:p w:rsidR="00CD2CBB" w:rsidRDefault="00CD2CBB" w:rsidP="00D86E38">
      <w:pPr>
        <w:rPr>
          <w:szCs w:val="24"/>
          <w:lang w:val="en-US"/>
        </w:rPr>
      </w:pPr>
      <w:r>
        <w:rPr>
          <w:szCs w:val="24"/>
          <w:lang w:val="en-US"/>
        </w:rPr>
        <w:t xml:space="preserve">The following </w:t>
      </w:r>
      <w:r w:rsidR="00D86E38">
        <w:rPr>
          <w:szCs w:val="24"/>
          <w:lang w:val="en-US"/>
        </w:rPr>
        <w:t>T</w:t>
      </w:r>
      <w:r>
        <w:rPr>
          <w:szCs w:val="24"/>
          <w:lang w:val="en-US"/>
        </w:rPr>
        <w:t>ables summarize the interference situation from LTE 800MHz networks to DVB</w:t>
      </w:r>
      <w:r w:rsidR="00263254">
        <w:rPr>
          <w:szCs w:val="24"/>
          <w:lang w:val="en-US"/>
        </w:rPr>
        <w:noBreakHyphen/>
      </w:r>
      <w:r>
        <w:rPr>
          <w:szCs w:val="24"/>
          <w:lang w:val="en-US"/>
        </w:rPr>
        <w:t>T reception:</w:t>
      </w:r>
    </w:p>
    <w:p w:rsidR="00CD2CBB" w:rsidRPr="008E7EE2" w:rsidRDefault="00CD2CBB" w:rsidP="00263254">
      <w:pPr>
        <w:pStyle w:val="TableNo"/>
        <w:spacing w:before="240"/>
        <w:rPr>
          <w:lang w:val="en-US"/>
        </w:rPr>
      </w:pPr>
      <w:r w:rsidRPr="008E7EE2">
        <w:rPr>
          <w:lang w:val="en-US"/>
        </w:rPr>
        <w:t xml:space="preserve">TABLE </w:t>
      </w:r>
      <w:r w:rsidR="008E7EE2" w:rsidRPr="008E7EE2">
        <w:rPr>
          <w:lang w:val="en-US"/>
        </w:rPr>
        <w:t>A2.</w:t>
      </w:r>
      <w:r w:rsidRPr="008E7EE2">
        <w:rPr>
          <w:lang w:val="en-US"/>
        </w:rPr>
        <w:t>1</w:t>
      </w:r>
    </w:p>
    <w:p w:rsidR="00CD2CBB" w:rsidRPr="008E7EE2" w:rsidRDefault="00CD2CBB" w:rsidP="00CD2CBB">
      <w:pPr>
        <w:pStyle w:val="Tabletitle"/>
        <w:rPr>
          <w:lang w:val="en-US"/>
        </w:rPr>
      </w:pPr>
      <w:r w:rsidRPr="008E7EE2">
        <w:rPr>
          <w:lang w:val="en-US"/>
        </w:rPr>
        <w:t>Number of interference</w:t>
      </w:r>
    </w:p>
    <w:tbl>
      <w:tblPr>
        <w:tblStyle w:val="TableGrid"/>
        <w:tblW w:w="9639" w:type="dxa"/>
        <w:jc w:val="center"/>
        <w:shd w:val="clear" w:color="auto" w:fill="FFFFFF" w:themeFill="background1"/>
        <w:tblLook w:val="04A0" w:firstRow="1" w:lastRow="0" w:firstColumn="1" w:lastColumn="0" w:noHBand="0" w:noVBand="1"/>
      </w:tblPr>
      <w:tblGrid>
        <w:gridCol w:w="2479"/>
        <w:gridCol w:w="2405"/>
        <w:gridCol w:w="2341"/>
        <w:gridCol w:w="2414"/>
      </w:tblGrid>
      <w:tr w:rsidR="00CD2CBB" w:rsidRPr="00E72F11" w:rsidTr="00263254">
        <w:trPr>
          <w:jc w:val="center"/>
        </w:trPr>
        <w:tc>
          <w:tcPr>
            <w:tcW w:w="9639" w:type="dxa"/>
            <w:gridSpan w:val="4"/>
            <w:shd w:val="clear" w:color="auto" w:fill="FFFFFF" w:themeFill="background1"/>
            <w:vAlign w:val="center"/>
          </w:tcPr>
          <w:p w:rsidR="00CD2CBB" w:rsidRPr="00263254" w:rsidRDefault="00CD2CBB" w:rsidP="00263254">
            <w:pPr>
              <w:pStyle w:val="Tablehead"/>
              <w:rPr>
                <w:sz w:val="20"/>
                <w:lang w:val="en-US"/>
              </w:rPr>
            </w:pPr>
            <w:r w:rsidRPr="00263254">
              <w:rPr>
                <w:sz w:val="20"/>
                <w:lang w:val="en-US"/>
              </w:rPr>
              <w:t>Real-life interference from LTE 800 to DVB-T reception in France</w:t>
            </w:r>
            <w:r w:rsidR="00263254">
              <w:rPr>
                <w:sz w:val="20"/>
                <w:lang w:val="en-US"/>
              </w:rPr>
              <w:t xml:space="preserve"> </w:t>
            </w:r>
            <w:r w:rsidR="00263254">
              <w:rPr>
                <w:sz w:val="20"/>
                <w:lang w:val="en-US"/>
              </w:rPr>
              <w:br/>
            </w:r>
            <w:r w:rsidRPr="00CA245D">
              <w:rPr>
                <w:b w:val="0"/>
                <w:bCs/>
                <w:sz w:val="20"/>
                <w:lang w:val="en-US"/>
              </w:rPr>
              <w:t>Information dated from 31 May 2016</w:t>
            </w:r>
          </w:p>
        </w:tc>
      </w:tr>
      <w:tr w:rsidR="00CD2CBB" w:rsidRPr="00263254" w:rsidTr="00263254">
        <w:trPr>
          <w:trHeight w:val="315"/>
          <w:jc w:val="center"/>
        </w:trPr>
        <w:tc>
          <w:tcPr>
            <w:tcW w:w="9639" w:type="dxa"/>
            <w:gridSpan w:val="4"/>
            <w:shd w:val="clear" w:color="auto" w:fill="FFFFFF" w:themeFill="background1"/>
            <w:vAlign w:val="center"/>
          </w:tcPr>
          <w:p w:rsidR="00CD2CBB" w:rsidRPr="00263254" w:rsidRDefault="00CD2CBB" w:rsidP="00263254">
            <w:pPr>
              <w:pStyle w:val="Tablehead"/>
              <w:rPr>
                <w:sz w:val="20"/>
                <w:lang w:val="en-US"/>
              </w:rPr>
            </w:pPr>
            <w:r w:rsidRPr="00263254">
              <w:rPr>
                <w:sz w:val="20"/>
                <w:lang w:val="en-US"/>
              </w:rPr>
              <w:t>Number of interference</w:t>
            </w:r>
          </w:p>
        </w:tc>
      </w:tr>
      <w:tr w:rsidR="00CD2CBB" w:rsidRPr="00263254" w:rsidTr="00263254">
        <w:trPr>
          <w:jc w:val="center"/>
        </w:trPr>
        <w:tc>
          <w:tcPr>
            <w:tcW w:w="2479" w:type="dxa"/>
            <w:vMerge w:val="restart"/>
            <w:shd w:val="clear" w:color="auto" w:fill="FFFFFF" w:themeFill="background1"/>
            <w:vAlign w:val="center"/>
          </w:tcPr>
          <w:p w:rsidR="00CD2CBB" w:rsidRPr="00263254" w:rsidRDefault="00CD2CBB" w:rsidP="00263254">
            <w:pPr>
              <w:pStyle w:val="Tablehead"/>
              <w:rPr>
                <w:sz w:val="20"/>
                <w:lang w:val="en-US"/>
              </w:rPr>
            </w:pPr>
          </w:p>
          <w:p w:rsidR="00CD2CBB" w:rsidRPr="00263254" w:rsidRDefault="00CD2CBB" w:rsidP="00263254">
            <w:pPr>
              <w:pStyle w:val="Tablehead"/>
              <w:rPr>
                <w:sz w:val="20"/>
                <w:lang w:val="en-US"/>
              </w:rPr>
            </w:pPr>
          </w:p>
          <w:p w:rsidR="00CD2CBB" w:rsidRPr="00263254" w:rsidRDefault="00CD2CBB" w:rsidP="00263254">
            <w:pPr>
              <w:pStyle w:val="Tablehead"/>
              <w:rPr>
                <w:sz w:val="20"/>
                <w:lang w:val="en-US"/>
              </w:rPr>
            </w:pPr>
          </w:p>
          <w:p w:rsidR="00CD2CBB" w:rsidRPr="00263254" w:rsidRDefault="00CD2CBB" w:rsidP="00263254">
            <w:pPr>
              <w:pStyle w:val="Tablehead"/>
              <w:rPr>
                <w:sz w:val="20"/>
                <w:lang w:val="en-US"/>
              </w:rPr>
            </w:pPr>
          </w:p>
          <w:p w:rsidR="00CD2CBB" w:rsidRPr="00263254" w:rsidRDefault="00CD2CBB" w:rsidP="00263254">
            <w:pPr>
              <w:pStyle w:val="Tablehead"/>
              <w:rPr>
                <w:sz w:val="20"/>
                <w:lang w:val="en-US"/>
              </w:rPr>
            </w:pPr>
          </w:p>
          <w:p w:rsidR="00263254" w:rsidRPr="00263254" w:rsidRDefault="00263254" w:rsidP="00263254">
            <w:pPr>
              <w:pStyle w:val="Tablehead"/>
              <w:rPr>
                <w:sz w:val="20"/>
                <w:lang w:val="en-US"/>
              </w:rPr>
            </w:pPr>
          </w:p>
          <w:p w:rsidR="00CD2CBB" w:rsidRPr="00263254" w:rsidRDefault="00CD2CBB" w:rsidP="00263254">
            <w:pPr>
              <w:pStyle w:val="Tablehead"/>
              <w:rPr>
                <w:sz w:val="20"/>
                <w:lang w:val="en-US"/>
              </w:rPr>
            </w:pPr>
            <w:r w:rsidRPr="00263254">
              <w:rPr>
                <w:sz w:val="20"/>
                <w:lang w:val="en-US"/>
              </w:rPr>
              <w:t>DVB-T reception mode</w:t>
            </w:r>
          </w:p>
        </w:tc>
        <w:tc>
          <w:tcPr>
            <w:tcW w:w="2405" w:type="dxa"/>
            <w:shd w:val="clear" w:color="auto" w:fill="FFFFFF" w:themeFill="background1"/>
            <w:vAlign w:val="center"/>
          </w:tcPr>
          <w:p w:rsidR="00CD2CBB" w:rsidRPr="00263254" w:rsidRDefault="00CD2CBB" w:rsidP="00263254">
            <w:pPr>
              <w:pStyle w:val="Tablehead"/>
              <w:rPr>
                <w:sz w:val="20"/>
                <w:lang w:val="en-US"/>
              </w:rPr>
            </w:pPr>
            <w:r w:rsidRPr="00263254">
              <w:rPr>
                <w:sz w:val="20"/>
                <w:lang w:val="en-US"/>
              </w:rPr>
              <w:t>Number of active three sectorial base stations (BS)</w:t>
            </w:r>
          </w:p>
        </w:tc>
        <w:tc>
          <w:tcPr>
            <w:tcW w:w="2341" w:type="dxa"/>
            <w:shd w:val="clear" w:color="auto" w:fill="FFFFFF" w:themeFill="background1"/>
            <w:vAlign w:val="center"/>
          </w:tcPr>
          <w:p w:rsidR="00CD2CBB" w:rsidRPr="00263254" w:rsidRDefault="00CD2CBB" w:rsidP="00263254">
            <w:pPr>
              <w:pStyle w:val="Tablehead"/>
              <w:rPr>
                <w:sz w:val="20"/>
                <w:lang w:val="en-US"/>
              </w:rPr>
            </w:pPr>
            <w:r w:rsidRPr="00263254">
              <w:rPr>
                <w:bCs/>
                <w:color w:val="000000"/>
                <w:sz w:val="20"/>
                <w:lang w:val="en-US"/>
              </w:rPr>
              <w:t>Number of households per communal aerial reception (on average)</w:t>
            </w:r>
          </w:p>
        </w:tc>
        <w:tc>
          <w:tcPr>
            <w:tcW w:w="2414" w:type="dxa"/>
            <w:shd w:val="clear" w:color="auto" w:fill="FFFFFF" w:themeFill="background1"/>
            <w:vAlign w:val="center"/>
          </w:tcPr>
          <w:p w:rsidR="00CD2CBB" w:rsidRPr="00263254" w:rsidRDefault="00CD2CBB" w:rsidP="00263254">
            <w:pPr>
              <w:pStyle w:val="Tablehead"/>
              <w:rPr>
                <w:sz w:val="20"/>
              </w:rPr>
            </w:pPr>
            <w:r w:rsidRPr="00263254">
              <w:rPr>
                <w:rFonts w:eastAsia="Times New Roman"/>
                <w:bCs/>
                <w:color w:val="000000"/>
                <w:sz w:val="20"/>
              </w:rPr>
              <w:t>DVB-T penetration rate (%)</w:t>
            </w:r>
          </w:p>
        </w:tc>
      </w:tr>
      <w:tr w:rsidR="00CD2CBB" w:rsidRPr="00263254" w:rsidTr="00263254">
        <w:trPr>
          <w:jc w:val="center"/>
        </w:trPr>
        <w:tc>
          <w:tcPr>
            <w:tcW w:w="2479" w:type="dxa"/>
            <w:vMerge/>
            <w:shd w:val="clear" w:color="auto" w:fill="FFFFFF" w:themeFill="background1"/>
            <w:vAlign w:val="center"/>
          </w:tcPr>
          <w:p w:rsidR="00CD2CBB" w:rsidRPr="00263254" w:rsidRDefault="00CD2CBB" w:rsidP="00263254">
            <w:pPr>
              <w:pStyle w:val="Tablehead"/>
              <w:rPr>
                <w:sz w:val="20"/>
              </w:rPr>
            </w:pPr>
          </w:p>
        </w:tc>
        <w:tc>
          <w:tcPr>
            <w:tcW w:w="2405" w:type="dxa"/>
            <w:shd w:val="clear" w:color="auto" w:fill="FFFFFF" w:themeFill="background1"/>
            <w:vAlign w:val="center"/>
          </w:tcPr>
          <w:p w:rsidR="00CD2CBB" w:rsidRPr="00CA245D" w:rsidRDefault="00CD2CBB" w:rsidP="008E7EE2">
            <w:pPr>
              <w:pStyle w:val="Tablehead"/>
              <w:rPr>
                <w:b w:val="0"/>
                <w:bCs/>
                <w:sz w:val="20"/>
              </w:rPr>
            </w:pPr>
            <w:r w:rsidRPr="00CA245D">
              <w:rPr>
                <w:b w:val="0"/>
                <w:bCs/>
                <w:sz w:val="20"/>
              </w:rPr>
              <w:t>16</w:t>
            </w:r>
            <w:r w:rsidR="008E7EE2">
              <w:rPr>
                <w:b w:val="0"/>
                <w:bCs/>
                <w:sz w:val="20"/>
              </w:rPr>
              <w:t xml:space="preserve"> </w:t>
            </w:r>
            <w:r w:rsidRPr="00CA245D">
              <w:rPr>
                <w:b w:val="0"/>
                <w:bCs/>
                <w:sz w:val="20"/>
              </w:rPr>
              <w:t>283</w:t>
            </w:r>
          </w:p>
        </w:tc>
        <w:tc>
          <w:tcPr>
            <w:tcW w:w="2341" w:type="dxa"/>
            <w:shd w:val="clear" w:color="auto" w:fill="FFFFFF" w:themeFill="background1"/>
            <w:vAlign w:val="center"/>
          </w:tcPr>
          <w:p w:rsidR="00CD2CBB" w:rsidRPr="00CA245D" w:rsidRDefault="00CD2CBB" w:rsidP="00263254">
            <w:pPr>
              <w:pStyle w:val="Tablehead"/>
              <w:rPr>
                <w:b w:val="0"/>
                <w:bCs/>
                <w:sz w:val="20"/>
              </w:rPr>
            </w:pPr>
            <w:r w:rsidRPr="00CA245D">
              <w:rPr>
                <w:b w:val="0"/>
                <w:bCs/>
                <w:sz w:val="20"/>
              </w:rPr>
              <w:t>13</w:t>
            </w:r>
          </w:p>
        </w:tc>
        <w:tc>
          <w:tcPr>
            <w:tcW w:w="2414" w:type="dxa"/>
            <w:shd w:val="clear" w:color="auto" w:fill="FFFFFF" w:themeFill="background1"/>
            <w:vAlign w:val="center"/>
          </w:tcPr>
          <w:p w:rsidR="00CD2CBB" w:rsidRPr="00CA245D" w:rsidRDefault="00CD2CBB" w:rsidP="00263254">
            <w:pPr>
              <w:pStyle w:val="Tablehead"/>
              <w:rPr>
                <w:b w:val="0"/>
                <w:bCs/>
                <w:sz w:val="20"/>
              </w:rPr>
            </w:pPr>
            <w:r w:rsidRPr="00CA245D">
              <w:rPr>
                <w:b w:val="0"/>
                <w:bCs/>
                <w:sz w:val="20"/>
              </w:rPr>
              <w:t>56.2</w:t>
            </w:r>
          </w:p>
        </w:tc>
      </w:tr>
      <w:tr w:rsidR="00CD2CBB" w:rsidRPr="00E72F11" w:rsidTr="00263254">
        <w:trPr>
          <w:jc w:val="center"/>
        </w:trPr>
        <w:tc>
          <w:tcPr>
            <w:tcW w:w="2479" w:type="dxa"/>
            <w:vMerge/>
            <w:shd w:val="clear" w:color="auto" w:fill="FFFFFF" w:themeFill="background1"/>
            <w:vAlign w:val="center"/>
          </w:tcPr>
          <w:p w:rsidR="00CD2CBB" w:rsidRPr="00263254" w:rsidRDefault="00CD2CBB" w:rsidP="00263254">
            <w:pPr>
              <w:pStyle w:val="Tablehead"/>
              <w:rPr>
                <w:sz w:val="20"/>
              </w:rPr>
            </w:pPr>
          </w:p>
        </w:tc>
        <w:tc>
          <w:tcPr>
            <w:tcW w:w="2405" w:type="dxa"/>
            <w:shd w:val="clear" w:color="auto" w:fill="FFFFFF" w:themeFill="background1"/>
            <w:vAlign w:val="center"/>
          </w:tcPr>
          <w:p w:rsidR="00CD2CBB" w:rsidRPr="00263254" w:rsidRDefault="00CD2CBB" w:rsidP="00263254">
            <w:pPr>
              <w:pStyle w:val="Tablehead"/>
              <w:rPr>
                <w:sz w:val="20"/>
                <w:lang w:val="en-US"/>
              </w:rPr>
            </w:pPr>
            <w:r w:rsidRPr="00263254">
              <w:rPr>
                <w:sz w:val="20"/>
                <w:lang w:val="en-US"/>
              </w:rPr>
              <w:t>Number of interference</w:t>
            </w:r>
            <w:r w:rsidR="00263254" w:rsidRPr="00263254">
              <w:rPr>
                <w:sz w:val="20"/>
                <w:lang w:val="en-US"/>
              </w:rPr>
              <w:t xml:space="preserve"> </w:t>
            </w:r>
            <w:r w:rsidRPr="00263254">
              <w:rPr>
                <w:sz w:val="20"/>
                <w:lang w:val="en-US"/>
              </w:rPr>
              <w:t>to DVB-T reception</w:t>
            </w:r>
          </w:p>
        </w:tc>
        <w:tc>
          <w:tcPr>
            <w:tcW w:w="2341" w:type="dxa"/>
            <w:shd w:val="clear" w:color="auto" w:fill="FFFFFF" w:themeFill="background1"/>
            <w:vAlign w:val="center"/>
          </w:tcPr>
          <w:p w:rsidR="00CD2CBB" w:rsidRPr="00263254" w:rsidRDefault="00CD2CBB" w:rsidP="00263254">
            <w:pPr>
              <w:pStyle w:val="Tablehead"/>
              <w:rPr>
                <w:sz w:val="20"/>
                <w:lang w:val="en-US"/>
              </w:rPr>
            </w:pPr>
            <w:r w:rsidRPr="00263254">
              <w:rPr>
                <w:sz w:val="20"/>
                <w:lang w:val="en-US"/>
              </w:rPr>
              <w:t>Estimated raw number of</w:t>
            </w:r>
            <w:r w:rsidR="00263254" w:rsidRPr="00263254">
              <w:rPr>
                <w:sz w:val="20"/>
                <w:lang w:val="en-US"/>
              </w:rPr>
              <w:t xml:space="preserve"> </w:t>
            </w:r>
            <w:r w:rsidRPr="00263254">
              <w:rPr>
                <w:sz w:val="20"/>
                <w:lang w:val="en-US"/>
              </w:rPr>
              <w:t>interference to households</w:t>
            </w:r>
          </w:p>
        </w:tc>
        <w:tc>
          <w:tcPr>
            <w:tcW w:w="2414" w:type="dxa"/>
            <w:shd w:val="clear" w:color="auto" w:fill="FFFFFF" w:themeFill="background1"/>
            <w:vAlign w:val="center"/>
          </w:tcPr>
          <w:p w:rsidR="00CD2CBB" w:rsidRPr="00263254" w:rsidRDefault="00CD2CBB" w:rsidP="00263254">
            <w:pPr>
              <w:pStyle w:val="Tablehead"/>
              <w:rPr>
                <w:sz w:val="20"/>
                <w:lang w:val="en-US"/>
              </w:rPr>
            </w:pPr>
            <w:r w:rsidRPr="00263254">
              <w:rPr>
                <w:sz w:val="20"/>
                <w:lang w:val="en-US"/>
              </w:rPr>
              <w:t>Estimated weighted number of</w:t>
            </w:r>
            <w:r w:rsidR="00263254" w:rsidRPr="00263254">
              <w:rPr>
                <w:sz w:val="20"/>
                <w:lang w:val="en-US"/>
              </w:rPr>
              <w:t xml:space="preserve"> </w:t>
            </w:r>
            <w:r w:rsidR="00263254">
              <w:rPr>
                <w:sz w:val="20"/>
                <w:lang w:val="en-US"/>
              </w:rPr>
              <w:t>i</w:t>
            </w:r>
            <w:r w:rsidRPr="00263254">
              <w:rPr>
                <w:sz w:val="20"/>
                <w:lang w:val="en-US"/>
              </w:rPr>
              <w:t xml:space="preserve">nterference </w:t>
            </w:r>
            <w:r w:rsidR="00263254">
              <w:rPr>
                <w:sz w:val="20"/>
                <w:lang w:val="en-US"/>
              </w:rPr>
              <w:br/>
            </w:r>
            <w:r w:rsidRPr="00263254">
              <w:rPr>
                <w:sz w:val="20"/>
                <w:lang w:val="en-US"/>
              </w:rPr>
              <w:t>to households</w:t>
            </w:r>
          </w:p>
        </w:tc>
      </w:tr>
      <w:tr w:rsidR="00CD2CBB" w:rsidRPr="00263254" w:rsidTr="00263254">
        <w:trPr>
          <w:jc w:val="center"/>
        </w:trPr>
        <w:tc>
          <w:tcPr>
            <w:tcW w:w="2479" w:type="dxa"/>
            <w:shd w:val="clear" w:color="auto" w:fill="FFFFFF" w:themeFill="background1"/>
            <w:vAlign w:val="center"/>
          </w:tcPr>
          <w:p w:rsidR="00CD2CBB" w:rsidRPr="00263254" w:rsidRDefault="00CD2CBB" w:rsidP="00620020">
            <w:pPr>
              <w:pStyle w:val="Tabletext"/>
              <w:jc w:val="left"/>
              <w:rPr>
                <w:sz w:val="20"/>
              </w:rPr>
            </w:pPr>
            <w:r w:rsidRPr="00263254">
              <w:rPr>
                <w:sz w:val="20"/>
              </w:rPr>
              <w:t>Individual aerial</w:t>
            </w:r>
            <w:r w:rsidR="00620020">
              <w:rPr>
                <w:sz w:val="20"/>
              </w:rPr>
              <w:t xml:space="preserve"> </w:t>
            </w:r>
            <w:r w:rsidRPr="00263254">
              <w:rPr>
                <w:sz w:val="20"/>
              </w:rPr>
              <w:t>Reception</w:t>
            </w:r>
            <w:r w:rsidRPr="00263254">
              <w:rPr>
                <w:sz w:val="20"/>
                <w:vertAlign w:val="superscript"/>
              </w:rPr>
              <w:t>(1)</w:t>
            </w:r>
          </w:p>
        </w:tc>
        <w:tc>
          <w:tcPr>
            <w:tcW w:w="2405" w:type="dxa"/>
            <w:shd w:val="clear" w:color="auto" w:fill="FFFFFF" w:themeFill="background1"/>
            <w:vAlign w:val="center"/>
          </w:tcPr>
          <w:p w:rsidR="00CD2CBB" w:rsidRPr="00263254" w:rsidRDefault="00CD2CBB" w:rsidP="00263254">
            <w:pPr>
              <w:pStyle w:val="Tabletext"/>
              <w:jc w:val="center"/>
              <w:rPr>
                <w:color w:val="000000"/>
                <w:sz w:val="20"/>
              </w:rPr>
            </w:pPr>
            <w:r w:rsidRPr="00263254">
              <w:rPr>
                <w:color w:val="000000"/>
                <w:sz w:val="20"/>
              </w:rPr>
              <w:t>51</w:t>
            </w:r>
            <w:r w:rsidR="008E673E">
              <w:rPr>
                <w:color w:val="000000"/>
                <w:sz w:val="20"/>
              </w:rPr>
              <w:t xml:space="preserve"> </w:t>
            </w:r>
            <w:r w:rsidRPr="00263254">
              <w:rPr>
                <w:color w:val="000000"/>
                <w:sz w:val="20"/>
              </w:rPr>
              <w:t>853</w:t>
            </w:r>
          </w:p>
        </w:tc>
        <w:tc>
          <w:tcPr>
            <w:tcW w:w="2341" w:type="dxa"/>
            <w:shd w:val="clear" w:color="auto" w:fill="FFFFFF" w:themeFill="background1"/>
            <w:vAlign w:val="center"/>
          </w:tcPr>
          <w:p w:rsidR="00CD2CBB" w:rsidRPr="00263254" w:rsidRDefault="00CD2CBB" w:rsidP="00263254">
            <w:pPr>
              <w:pStyle w:val="Tabletext"/>
              <w:jc w:val="center"/>
              <w:rPr>
                <w:color w:val="000000"/>
                <w:sz w:val="20"/>
              </w:rPr>
            </w:pPr>
            <w:r w:rsidRPr="00263254">
              <w:rPr>
                <w:color w:val="000000"/>
                <w:sz w:val="20"/>
              </w:rPr>
              <w:t>51</w:t>
            </w:r>
            <w:r w:rsidR="008E673E">
              <w:rPr>
                <w:color w:val="000000"/>
                <w:sz w:val="20"/>
              </w:rPr>
              <w:t xml:space="preserve"> </w:t>
            </w:r>
            <w:r w:rsidRPr="00263254">
              <w:rPr>
                <w:color w:val="000000"/>
                <w:sz w:val="20"/>
              </w:rPr>
              <w:t>853</w:t>
            </w:r>
          </w:p>
        </w:tc>
        <w:tc>
          <w:tcPr>
            <w:tcW w:w="2414" w:type="dxa"/>
            <w:shd w:val="clear" w:color="auto" w:fill="FFFFFF" w:themeFill="background1"/>
            <w:vAlign w:val="center"/>
          </w:tcPr>
          <w:p w:rsidR="00CD2CBB" w:rsidRPr="00263254" w:rsidRDefault="00CD2CBB" w:rsidP="00263254">
            <w:pPr>
              <w:pStyle w:val="Tabletext"/>
              <w:jc w:val="center"/>
              <w:rPr>
                <w:color w:val="000000"/>
                <w:sz w:val="20"/>
              </w:rPr>
            </w:pPr>
            <w:r w:rsidRPr="00263254">
              <w:rPr>
                <w:color w:val="000000"/>
                <w:sz w:val="20"/>
              </w:rPr>
              <w:t>51</w:t>
            </w:r>
            <w:r w:rsidR="008E673E">
              <w:rPr>
                <w:color w:val="000000"/>
                <w:sz w:val="20"/>
              </w:rPr>
              <w:t xml:space="preserve"> </w:t>
            </w:r>
            <w:r w:rsidRPr="00263254">
              <w:rPr>
                <w:color w:val="000000"/>
                <w:sz w:val="20"/>
              </w:rPr>
              <w:t>853</w:t>
            </w:r>
          </w:p>
        </w:tc>
      </w:tr>
      <w:tr w:rsidR="00CD2CBB" w:rsidRPr="00263254" w:rsidTr="00263254">
        <w:trPr>
          <w:jc w:val="center"/>
        </w:trPr>
        <w:tc>
          <w:tcPr>
            <w:tcW w:w="2479" w:type="dxa"/>
            <w:tcBorders>
              <w:bottom w:val="single" w:sz="4" w:space="0" w:color="auto"/>
            </w:tcBorders>
            <w:shd w:val="clear" w:color="auto" w:fill="FFFFFF" w:themeFill="background1"/>
            <w:vAlign w:val="center"/>
          </w:tcPr>
          <w:p w:rsidR="00CD2CBB" w:rsidRPr="00263254" w:rsidRDefault="00CD2CBB" w:rsidP="00263254">
            <w:pPr>
              <w:pStyle w:val="Tabletext"/>
              <w:jc w:val="left"/>
              <w:rPr>
                <w:sz w:val="20"/>
              </w:rPr>
            </w:pPr>
            <w:r w:rsidRPr="00263254">
              <w:rPr>
                <w:sz w:val="20"/>
              </w:rPr>
              <w:t>Communal aerial reception</w:t>
            </w:r>
            <w:r w:rsidRPr="00263254">
              <w:rPr>
                <w:sz w:val="20"/>
                <w:vertAlign w:val="superscript"/>
              </w:rPr>
              <w:t>(2)</w:t>
            </w:r>
          </w:p>
        </w:tc>
        <w:tc>
          <w:tcPr>
            <w:tcW w:w="2405" w:type="dxa"/>
            <w:tcBorders>
              <w:bottom w:val="single" w:sz="4" w:space="0" w:color="auto"/>
            </w:tcBorders>
            <w:shd w:val="clear" w:color="auto" w:fill="FFFFFF" w:themeFill="background1"/>
            <w:vAlign w:val="center"/>
          </w:tcPr>
          <w:p w:rsidR="00CD2CBB" w:rsidRPr="00263254" w:rsidRDefault="00CD2CBB" w:rsidP="00263254">
            <w:pPr>
              <w:pStyle w:val="Tabletext"/>
              <w:jc w:val="center"/>
              <w:rPr>
                <w:color w:val="000000"/>
                <w:sz w:val="20"/>
              </w:rPr>
            </w:pPr>
            <w:r w:rsidRPr="00263254">
              <w:rPr>
                <w:color w:val="000000"/>
                <w:sz w:val="20"/>
              </w:rPr>
              <w:t>16</w:t>
            </w:r>
            <w:r w:rsidR="008E673E">
              <w:rPr>
                <w:color w:val="000000"/>
                <w:sz w:val="20"/>
              </w:rPr>
              <w:t xml:space="preserve"> </w:t>
            </w:r>
            <w:r w:rsidRPr="00263254">
              <w:rPr>
                <w:color w:val="000000"/>
                <w:sz w:val="20"/>
              </w:rPr>
              <w:t>004</w:t>
            </w:r>
          </w:p>
        </w:tc>
        <w:tc>
          <w:tcPr>
            <w:tcW w:w="2341" w:type="dxa"/>
            <w:tcBorders>
              <w:bottom w:val="single" w:sz="4" w:space="0" w:color="auto"/>
            </w:tcBorders>
            <w:shd w:val="clear" w:color="auto" w:fill="FFFFFF" w:themeFill="background1"/>
            <w:vAlign w:val="center"/>
          </w:tcPr>
          <w:p w:rsidR="00CD2CBB" w:rsidRPr="00263254" w:rsidRDefault="00CD2CBB" w:rsidP="00263254">
            <w:pPr>
              <w:pStyle w:val="Tabletext"/>
              <w:jc w:val="center"/>
              <w:rPr>
                <w:color w:val="000000"/>
                <w:sz w:val="20"/>
              </w:rPr>
            </w:pPr>
            <w:r w:rsidRPr="00263254">
              <w:rPr>
                <w:color w:val="000000"/>
                <w:sz w:val="20"/>
              </w:rPr>
              <w:t>208</w:t>
            </w:r>
            <w:r w:rsidR="008E673E">
              <w:rPr>
                <w:color w:val="000000"/>
                <w:sz w:val="20"/>
              </w:rPr>
              <w:t xml:space="preserve"> </w:t>
            </w:r>
            <w:r w:rsidRPr="00263254">
              <w:rPr>
                <w:color w:val="000000"/>
                <w:sz w:val="20"/>
              </w:rPr>
              <w:t>052</w:t>
            </w:r>
            <w:r w:rsidRPr="00263254">
              <w:rPr>
                <w:color w:val="000000"/>
                <w:sz w:val="20"/>
                <w:vertAlign w:val="superscript"/>
              </w:rPr>
              <w:t>(3)</w:t>
            </w:r>
          </w:p>
        </w:tc>
        <w:tc>
          <w:tcPr>
            <w:tcW w:w="2414" w:type="dxa"/>
            <w:tcBorders>
              <w:bottom w:val="single" w:sz="4" w:space="0" w:color="auto"/>
            </w:tcBorders>
            <w:shd w:val="clear" w:color="auto" w:fill="FFFFFF" w:themeFill="background1"/>
            <w:vAlign w:val="center"/>
          </w:tcPr>
          <w:p w:rsidR="00CD2CBB" w:rsidRPr="00263254" w:rsidRDefault="00CD2CBB" w:rsidP="00263254">
            <w:pPr>
              <w:pStyle w:val="Tabletext"/>
              <w:jc w:val="center"/>
              <w:rPr>
                <w:color w:val="000000"/>
                <w:sz w:val="20"/>
              </w:rPr>
            </w:pPr>
            <w:r w:rsidRPr="00263254">
              <w:rPr>
                <w:color w:val="000000"/>
                <w:sz w:val="20"/>
              </w:rPr>
              <w:t>116</w:t>
            </w:r>
            <w:r w:rsidR="008E673E">
              <w:rPr>
                <w:color w:val="000000"/>
                <w:sz w:val="20"/>
              </w:rPr>
              <w:t xml:space="preserve"> </w:t>
            </w:r>
            <w:r w:rsidRPr="00263254">
              <w:rPr>
                <w:color w:val="000000"/>
                <w:sz w:val="20"/>
              </w:rPr>
              <w:t>925.224</w:t>
            </w:r>
            <w:r w:rsidRPr="00263254">
              <w:rPr>
                <w:color w:val="000000"/>
                <w:sz w:val="20"/>
                <w:vertAlign w:val="superscript"/>
              </w:rPr>
              <w:t>(4)</w:t>
            </w:r>
          </w:p>
        </w:tc>
      </w:tr>
      <w:tr w:rsidR="00CD2CBB" w:rsidRPr="00263254" w:rsidTr="00620020">
        <w:trPr>
          <w:jc w:val="center"/>
        </w:trPr>
        <w:tc>
          <w:tcPr>
            <w:tcW w:w="2479" w:type="dxa"/>
            <w:tcBorders>
              <w:bottom w:val="single" w:sz="4" w:space="0" w:color="auto"/>
            </w:tcBorders>
            <w:shd w:val="clear" w:color="auto" w:fill="FFFFFF" w:themeFill="background1"/>
            <w:vAlign w:val="center"/>
          </w:tcPr>
          <w:p w:rsidR="00CD2CBB" w:rsidRPr="00263254" w:rsidRDefault="00CD2CBB" w:rsidP="00263254">
            <w:pPr>
              <w:pStyle w:val="Tabletext"/>
              <w:jc w:val="left"/>
              <w:rPr>
                <w:sz w:val="20"/>
              </w:rPr>
            </w:pPr>
            <w:r w:rsidRPr="00263254">
              <w:rPr>
                <w:sz w:val="20"/>
              </w:rPr>
              <w:t>Total number of interference</w:t>
            </w:r>
          </w:p>
        </w:tc>
        <w:tc>
          <w:tcPr>
            <w:tcW w:w="2405" w:type="dxa"/>
            <w:tcBorders>
              <w:bottom w:val="single" w:sz="4" w:space="0" w:color="auto"/>
            </w:tcBorders>
            <w:shd w:val="clear" w:color="auto" w:fill="FFFFFF" w:themeFill="background1"/>
            <w:vAlign w:val="center"/>
          </w:tcPr>
          <w:p w:rsidR="00CD2CBB" w:rsidRPr="00263254" w:rsidRDefault="00CD2CBB" w:rsidP="00263254">
            <w:pPr>
              <w:pStyle w:val="Tabletext"/>
              <w:jc w:val="center"/>
              <w:rPr>
                <w:sz w:val="20"/>
              </w:rPr>
            </w:pPr>
            <w:r w:rsidRPr="00263254">
              <w:rPr>
                <w:sz w:val="20"/>
              </w:rPr>
              <w:t>67</w:t>
            </w:r>
            <w:r w:rsidR="008E673E">
              <w:rPr>
                <w:sz w:val="20"/>
              </w:rPr>
              <w:t xml:space="preserve"> </w:t>
            </w:r>
            <w:r w:rsidRPr="00263254">
              <w:rPr>
                <w:sz w:val="20"/>
              </w:rPr>
              <w:t>857</w:t>
            </w:r>
          </w:p>
        </w:tc>
        <w:tc>
          <w:tcPr>
            <w:tcW w:w="2341" w:type="dxa"/>
            <w:tcBorders>
              <w:bottom w:val="single" w:sz="4" w:space="0" w:color="auto"/>
            </w:tcBorders>
            <w:shd w:val="clear" w:color="auto" w:fill="FFFFFF" w:themeFill="background1"/>
            <w:vAlign w:val="center"/>
          </w:tcPr>
          <w:p w:rsidR="00CD2CBB" w:rsidRPr="00263254" w:rsidRDefault="00CD2CBB" w:rsidP="00263254">
            <w:pPr>
              <w:pStyle w:val="Tabletext"/>
              <w:jc w:val="center"/>
              <w:rPr>
                <w:sz w:val="20"/>
              </w:rPr>
            </w:pPr>
            <w:r w:rsidRPr="00263254">
              <w:rPr>
                <w:sz w:val="20"/>
              </w:rPr>
              <w:t>259</w:t>
            </w:r>
            <w:r w:rsidR="008E673E">
              <w:rPr>
                <w:sz w:val="20"/>
              </w:rPr>
              <w:t xml:space="preserve"> </w:t>
            </w:r>
            <w:r w:rsidRPr="00263254">
              <w:rPr>
                <w:sz w:val="20"/>
              </w:rPr>
              <w:t>905</w:t>
            </w:r>
          </w:p>
        </w:tc>
        <w:tc>
          <w:tcPr>
            <w:tcW w:w="2414" w:type="dxa"/>
            <w:tcBorders>
              <w:bottom w:val="single" w:sz="4" w:space="0" w:color="auto"/>
            </w:tcBorders>
            <w:shd w:val="clear" w:color="auto" w:fill="FFFFFF" w:themeFill="background1"/>
            <w:vAlign w:val="center"/>
          </w:tcPr>
          <w:p w:rsidR="00CD2CBB" w:rsidRPr="00263254" w:rsidRDefault="00CD2CBB" w:rsidP="00263254">
            <w:pPr>
              <w:pStyle w:val="Tabletext"/>
              <w:jc w:val="center"/>
              <w:rPr>
                <w:sz w:val="20"/>
              </w:rPr>
            </w:pPr>
            <w:r w:rsidRPr="00263254">
              <w:rPr>
                <w:sz w:val="20"/>
              </w:rPr>
              <w:t>168</w:t>
            </w:r>
            <w:r w:rsidR="008E673E">
              <w:rPr>
                <w:sz w:val="20"/>
              </w:rPr>
              <w:t xml:space="preserve"> </w:t>
            </w:r>
            <w:r w:rsidRPr="00263254">
              <w:rPr>
                <w:sz w:val="20"/>
              </w:rPr>
              <w:t>778.224</w:t>
            </w:r>
          </w:p>
        </w:tc>
      </w:tr>
      <w:tr w:rsidR="00CD2CBB" w:rsidRPr="00263254" w:rsidTr="00620020">
        <w:trPr>
          <w:jc w:val="center"/>
        </w:trPr>
        <w:tc>
          <w:tcPr>
            <w:tcW w:w="2479" w:type="dxa"/>
            <w:shd w:val="clear" w:color="auto" w:fill="FFFFFF" w:themeFill="background1"/>
            <w:vAlign w:val="center"/>
          </w:tcPr>
          <w:p w:rsidR="00CD2CBB" w:rsidRPr="00263254" w:rsidRDefault="00CD2CBB" w:rsidP="00263254">
            <w:pPr>
              <w:pStyle w:val="Tabletext"/>
              <w:jc w:val="left"/>
              <w:rPr>
                <w:sz w:val="20"/>
                <w:lang w:val="en-US"/>
              </w:rPr>
            </w:pPr>
            <w:r w:rsidRPr="00263254">
              <w:rPr>
                <w:sz w:val="20"/>
                <w:lang w:val="en-US"/>
              </w:rPr>
              <w:t>Average number of interference per BS</w:t>
            </w:r>
          </w:p>
        </w:tc>
        <w:tc>
          <w:tcPr>
            <w:tcW w:w="2405" w:type="dxa"/>
            <w:shd w:val="clear" w:color="auto" w:fill="FFFFFF" w:themeFill="background1"/>
            <w:vAlign w:val="center"/>
          </w:tcPr>
          <w:p w:rsidR="00CD2CBB" w:rsidRPr="00263254" w:rsidRDefault="00CD2CBB" w:rsidP="00263254">
            <w:pPr>
              <w:pStyle w:val="Tabletext"/>
              <w:jc w:val="center"/>
              <w:rPr>
                <w:sz w:val="20"/>
              </w:rPr>
            </w:pPr>
            <w:r w:rsidRPr="00263254">
              <w:rPr>
                <w:sz w:val="20"/>
              </w:rPr>
              <w:t>4.2</w:t>
            </w:r>
          </w:p>
        </w:tc>
        <w:tc>
          <w:tcPr>
            <w:tcW w:w="2341" w:type="dxa"/>
            <w:shd w:val="clear" w:color="auto" w:fill="FFFFFF" w:themeFill="background1"/>
            <w:vAlign w:val="center"/>
          </w:tcPr>
          <w:p w:rsidR="00CD2CBB" w:rsidRPr="00263254" w:rsidRDefault="00CD2CBB" w:rsidP="00263254">
            <w:pPr>
              <w:pStyle w:val="Tabletext"/>
              <w:jc w:val="center"/>
              <w:rPr>
                <w:sz w:val="20"/>
              </w:rPr>
            </w:pPr>
            <w:r w:rsidRPr="00263254">
              <w:rPr>
                <w:sz w:val="20"/>
              </w:rPr>
              <w:t>16.0</w:t>
            </w:r>
          </w:p>
        </w:tc>
        <w:tc>
          <w:tcPr>
            <w:tcW w:w="2414" w:type="dxa"/>
            <w:shd w:val="clear" w:color="auto" w:fill="FFFFFF" w:themeFill="background1"/>
            <w:vAlign w:val="center"/>
          </w:tcPr>
          <w:p w:rsidR="00CD2CBB" w:rsidRPr="00263254" w:rsidRDefault="00CD2CBB" w:rsidP="00263254">
            <w:pPr>
              <w:pStyle w:val="Tabletext"/>
              <w:jc w:val="center"/>
              <w:rPr>
                <w:sz w:val="20"/>
              </w:rPr>
            </w:pPr>
            <w:r w:rsidRPr="00263254">
              <w:rPr>
                <w:sz w:val="20"/>
              </w:rPr>
              <w:t>10.4</w:t>
            </w:r>
          </w:p>
        </w:tc>
      </w:tr>
      <w:tr w:rsidR="00CD2CBB" w:rsidRPr="008E7EE2" w:rsidTr="00263254">
        <w:trPr>
          <w:jc w:val="center"/>
        </w:trPr>
        <w:tc>
          <w:tcPr>
            <w:tcW w:w="9639" w:type="dxa"/>
            <w:gridSpan w:val="4"/>
            <w:shd w:val="clear" w:color="auto" w:fill="FFFFFF" w:themeFill="background1"/>
            <w:vAlign w:val="center"/>
          </w:tcPr>
          <w:p w:rsidR="00CD2CBB" w:rsidRPr="00263254" w:rsidRDefault="00C165CD" w:rsidP="00263254">
            <w:pPr>
              <w:pStyle w:val="Tabletext"/>
              <w:rPr>
                <w:sz w:val="20"/>
                <w:lang w:val="en-US"/>
              </w:rPr>
            </w:pPr>
            <w:r>
              <w:rPr>
                <w:sz w:val="20"/>
                <w:vertAlign w:val="superscript"/>
                <w:lang w:val="en-US"/>
              </w:rPr>
              <w:t>(</w:t>
            </w:r>
            <w:r w:rsidR="00CD2CBB" w:rsidRPr="00263254">
              <w:rPr>
                <w:sz w:val="20"/>
                <w:vertAlign w:val="superscript"/>
                <w:lang w:val="en-US"/>
              </w:rPr>
              <w:t>1</w:t>
            </w:r>
            <w:r>
              <w:rPr>
                <w:sz w:val="20"/>
                <w:vertAlign w:val="superscript"/>
                <w:lang w:val="en-US"/>
              </w:rPr>
              <w:t>)</w:t>
            </w:r>
            <w:r w:rsidR="00CD2CBB" w:rsidRPr="00263254">
              <w:rPr>
                <w:sz w:val="20"/>
                <w:lang w:val="en-US"/>
              </w:rPr>
              <w:t xml:space="preserve"> </w:t>
            </w:r>
            <w:r w:rsidR="008E7EE2">
              <w:rPr>
                <w:sz w:val="20"/>
                <w:lang w:val="en-US"/>
              </w:rPr>
              <w:tab/>
            </w:r>
            <w:r w:rsidR="00CD2CBB" w:rsidRPr="00263254">
              <w:rPr>
                <w:sz w:val="20"/>
                <w:lang w:val="en-US"/>
              </w:rPr>
              <w:t xml:space="preserve">An </w:t>
            </w:r>
            <w:r w:rsidR="00CD2CBB" w:rsidRPr="00263254">
              <w:rPr>
                <w:bCs/>
                <w:sz w:val="20"/>
                <w:lang w:val="en-US"/>
              </w:rPr>
              <w:t>individual aerial reception</w:t>
            </w:r>
            <w:r w:rsidR="00CD2CBB" w:rsidRPr="00263254">
              <w:rPr>
                <w:sz w:val="20"/>
                <w:lang w:val="en-US"/>
              </w:rPr>
              <w:t xml:space="preserve"> is when a single TV aerial feeds a single household</w:t>
            </w:r>
            <w:r w:rsidR="008E7EE2">
              <w:rPr>
                <w:sz w:val="20"/>
                <w:lang w:val="en-US"/>
              </w:rPr>
              <w:t>.</w:t>
            </w:r>
          </w:p>
          <w:p w:rsidR="00CD2CBB" w:rsidRPr="00263254" w:rsidRDefault="00C165CD" w:rsidP="00263254">
            <w:pPr>
              <w:pStyle w:val="Tabletext"/>
              <w:rPr>
                <w:sz w:val="20"/>
                <w:lang w:val="en-US"/>
              </w:rPr>
            </w:pPr>
            <w:r>
              <w:rPr>
                <w:sz w:val="20"/>
                <w:vertAlign w:val="superscript"/>
                <w:lang w:val="en-US"/>
              </w:rPr>
              <w:t>(</w:t>
            </w:r>
            <w:r w:rsidR="00CD2CBB" w:rsidRPr="00263254">
              <w:rPr>
                <w:sz w:val="20"/>
                <w:vertAlign w:val="superscript"/>
                <w:lang w:val="en-US"/>
              </w:rPr>
              <w:t>2</w:t>
            </w:r>
            <w:r>
              <w:rPr>
                <w:sz w:val="20"/>
                <w:vertAlign w:val="superscript"/>
                <w:lang w:val="en-US"/>
              </w:rPr>
              <w:t>)</w:t>
            </w:r>
            <w:r w:rsidR="00CD2CBB" w:rsidRPr="00263254">
              <w:rPr>
                <w:sz w:val="20"/>
                <w:lang w:val="en-US"/>
              </w:rPr>
              <w:t xml:space="preserve"> </w:t>
            </w:r>
            <w:r w:rsidR="008E7EE2">
              <w:rPr>
                <w:sz w:val="20"/>
                <w:lang w:val="en-US"/>
              </w:rPr>
              <w:tab/>
            </w:r>
            <w:r w:rsidR="00CD2CBB" w:rsidRPr="00263254">
              <w:rPr>
                <w:sz w:val="20"/>
                <w:lang w:val="en-US"/>
              </w:rPr>
              <w:t xml:space="preserve">A common aerial </w:t>
            </w:r>
            <w:r w:rsidR="00CD2CBB" w:rsidRPr="00263254">
              <w:rPr>
                <w:bCs/>
                <w:sz w:val="20"/>
                <w:lang w:val="en-US"/>
              </w:rPr>
              <w:t>reception</w:t>
            </w:r>
            <w:r w:rsidR="00CD2CBB" w:rsidRPr="00263254">
              <w:rPr>
                <w:sz w:val="20"/>
                <w:lang w:val="en-US"/>
              </w:rPr>
              <w:t xml:space="preserve"> is when a single TV aerial feeds several households</w:t>
            </w:r>
            <w:r w:rsidR="008E7EE2">
              <w:rPr>
                <w:sz w:val="20"/>
                <w:lang w:val="en-US"/>
              </w:rPr>
              <w:t>.</w:t>
            </w:r>
          </w:p>
          <w:p w:rsidR="00CD2CBB" w:rsidRPr="008E7EE2" w:rsidRDefault="00C165CD" w:rsidP="008E7EE2">
            <w:pPr>
              <w:pStyle w:val="Tabletext"/>
              <w:rPr>
                <w:sz w:val="20"/>
                <w:lang w:val="en-US"/>
              </w:rPr>
            </w:pPr>
            <w:r w:rsidRPr="008E7EE2">
              <w:rPr>
                <w:sz w:val="20"/>
                <w:vertAlign w:val="superscript"/>
                <w:lang w:val="en-US"/>
              </w:rPr>
              <w:t>(</w:t>
            </w:r>
            <w:r w:rsidR="00CD2CBB" w:rsidRPr="008E7EE2">
              <w:rPr>
                <w:sz w:val="20"/>
                <w:vertAlign w:val="superscript"/>
                <w:lang w:val="en-US"/>
              </w:rPr>
              <w:t>3</w:t>
            </w:r>
            <w:r w:rsidRPr="008E7EE2">
              <w:rPr>
                <w:sz w:val="20"/>
                <w:vertAlign w:val="superscript"/>
                <w:lang w:val="en-US"/>
              </w:rPr>
              <w:t>)</w:t>
            </w:r>
            <w:r w:rsidR="00CD2CBB" w:rsidRPr="008E7EE2">
              <w:rPr>
                <w:sz w:val="20"/>
                <w:lang w:val="en-US"/>
              </w:rPr>
              <w:t xml:space="preserve"> =16</w:t>
            </w:r>
            <w:r w:rsidR="008E673E" w:rsidRPr="008E7EE2">
              <w:rPr>
                <w:sz w:val="20"/>
                <w:lang w:val="en-US"/>
              </w:rPr>
              <w:t xml:space="preserve"> </w:t>
            </w:r>
            <w:r w:rsidR="00CD2CBB" w:rsidRPr="008E7EE2">
              <w:rPr>
                <w:sz w:val="20"/>
                <w:lang w:val="en-US"/>
              </w:rPr>
              <w:t>004</w:t>
            </w:r>
            <w:r w:rsidR="000B4F09" w:rsidRPr="008E7EE2">
              <w:rPr>
                <w:sz w:val="20"/>
                <w:lang w:val="en-US"/>
              </w:rPr>
              <w:t xml:space="preserve"> </w:t>
            </w:r>
            <w:r w:rsidR="008E7EE2">
              <w:rPr>
                <w:sz w:val="20"/>
                <w:lang w:val="en-US"/>
              </w:rPr>
              <w:sym w:font="Symbol" w:char="F0B4"/>
            </w:r>
            <w:r w:rsidR="000B4F09" w:rsidRPr="008E7EE2">
              <w:rPr>
                <w:sz w:val="20"/>
                <w:lang w:val="en-US"/>
              </w:rPr>
              <w:t xml:space="preserve"> </w:t>
            </w:r>
            <w:r w:rsidR="00CD2CBB" w:rsidRPr="008E7EE2">
              <w:rPr>
                <w:sz w:val="20"/>
                <w:lang w:val="en-US"/>
              </w:rPr>
              <w:t>13</w:t>
            </w:r>
          </w:p>
          <w:p w:rsidR="00CD2CBB" w:rsidRPr="008E7EE2" w:rsidRDefault="00C165CD" w:rsidP="000B4F09">
            <w:pPr>
              <w:pStyle w:val="Tabletext"/>
              <w:rPr>
                <w:sz w:val="20"/>
                <w:lang w:val="en-US"/>
              </w:rPr>
            </w:pPr>
            <w:r w:rsidRPr="008E7EE2">
              <w:rPr>
                <w:sz w:val="20"/>
                <w:vertAlign w:val="superscript"/>
                <w:lang w:val="en-US"/>
              </w:rPr>
              <w:t>(</w:t>
            </w:r>
            <w:r w:rsidR="00CD2CBB" w:rsidRPr="008E7EE2">
              <w:rPr>
                <w:sz w:val="20"/>
                <w:vertAlign w:val="superscript"/>
                <w:lang w:val="en-US"/>
              </w:rPr>
              <w:t>4</w:t>
            </w:r>
            <w:r w:rsidRPr="008E7EE2">
              <w:rPr>
                <w:sz w:val="20"/>
                <w:vertAlign w:val="superscript"/>
                <w:lang w:val="en-US"/>
              </w:rPr>
              <w:t>)</w:t>
            </w:r>
            <w:r w:rsidR="00CD2CBB" w:rsidRPr="008E7EE2">
              <w:rPr>
                <w:sz w:val="20"/>
                <w:lang w:val="en-US"/>
              </w:rPr>
              <w:t xml:space="preserve"> =16</w:t>
            </w:r>
            <w:r w:rsidR="008E673E" w:rsidRPr="008E7EE2">
              <w:rPr>
                <w:sz w:val="20"/>
                <w:lang w:val="en-US"/>
              </w:rPr>
              <w:t xml:space="preserve"> </w:t>
            </w:r>
            <w:r w:rsidR="00CD2CBB" w:rsidRPr="008E7EE2">
              <w:rPr>
                <w:sz w:val="20"/>
                <w:lang w:val="en-US"/>
              </w:rPr>
              <w:t>004</w:t>
            </w:r>
            <w:r w:rsidR="000B4F09" w:rsidRPr="008E7EE2">
              <w:rPr>
                <w:sz w:val="20"/>
                <w:lang w:val="en-US"/>
              </w:rPr>
              <w:t xml:space="preserve"> </w:t>
            </w:r>
            <w:r w:rsidR="008E7EE2">
              <w:rPr>
                <w:sz w:val="20"/>
                <w:lang w:val="en-US"/>
              </w:rPr>
              <w:sym w:font="Symbol" w:char="F0B4"/>
            </w:r>
            <w:r w:rsidR="000B4F09" w:rsidRPr="008E7EE2">
              <w:rPr>
                <w:sz w:val="20"/>
                <w:lang w:val="en-US"/>
              </w:rPr>
              <w:t xml:space="preserve"> </w:t>
            </w:r>
            <w:r w:rsidR="00CD2CBB" w:rsidRPr="008E7EE2">
              <w:rPr>
                <w:sz w:val="20"/>
                <w:lang w:val="en-US"/>
              </w:rPr>
              <w:t>13</w:t>
            </w:r>
            <w:r w:rsidR="000B4F09" w:rsidRPr="008E7EE2">
              <w:rPr>
                <w:sz w:val="20"/>
                <w:lang w:val="en-US"/>
              </w:rPr>
              <w:t xml:space="preserve"> </w:t>
            </w:r>
            <w:r w:rsidR="008E7EE2">
              <w:rPr>
                <w:sz w:val="20"/>
                <w:lang w:val="en-US"/>
              </w:rPr>
              <w:sym w:font="Symbol" w:char="F0B4"/>
            </w:r>
            <w:r w:rsidR="000B4F09" w:rsidRPr="008E7EE2">
              <w:rPr>
                <w:sz w:val="20"/>
                <w:lang w:val="en-US"/>
              </w:rPr>
              <w:t xml:space="preserve"> </w:t>
            </w:r>
            <w:r w:rsidR="00CD2CBB" w:rsidRPr="008E7EE2">
              <w:rPr>
                <w:sz w:val="20"/>
                <w:lang w:val="en-US"/>
              </w:rPr>
              <w:t>0.56</w:t>
            </w:r>
          </w:p>
        </w:tc>
      </w:tr>
    </w:tbl>
    <w:p w:rsidR="00CD2CBB" w:rsidRDefault="00CD2CBB" w:rsidP="00263254">
      <w:pPr>
        <w:pStyle w:val="Tablefin"/>
      </w:pPr>
    </w:p>
    <w:p w:rsidR="00CD2CBB" w:rsidRPr="008E7EE2" w:rsidRDefault="00CD2CBB" w:rsidP="005701DF">
      <w:pPr>
        <w:pStyle w:val="TableNo"/>
        <w:rPr>
          <w:lang w:val="en-US"/>
        </w:rPr>
      </w:pPr>
      <w:r w:rsidRPr="008E7EE2">
        <w:rPr>
          <w:lang w:val="en-US"/>
        </w:rPr>
        <w:lastRenderedPageBreak/>
        <w:t xml:space="preserve">TABLE </w:t>
      </w:r>
      <w:r w:rsidR="008E7EE2">
        <w:rPr>
          <w:lang w:val="en-US"/>
        </w:rPr>
        <w:t>A2.</w:t>
      </w:r>
      <w:r w:rsidRPr="008E7EE2">
        <w:rPr>
          <w:lang w:val="en-US"/>
        </w:rPr>
        <w:t>2</w:t>
      </w:r>
    </w:p>
    <w:p w:rsidR="00CD2CBB" w:rsidRPr="00263254" w:rsidRDefault="00CD2CBB" w:rsidP="00CD2CBB">
      <w:pPr>
        <w:pStyle w:val="Tabletitle"/>
        <w:rPr>
          <w:lang w:val="en-US"/>
        </w:rPr>
      </w:pPr>
      <w:r w:rsidRPr="00263254">
        <w:rPr>
          <w:lang w:val="en-US" w:eastAsia="fr-FR"/>
        </w:rPr>
        <w:t>Number of mitigation filters used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4815"/>
        <w:gridCol w:w="4814"/>
      </w:tblGrid>
      <w:tr w:rsidR="00CD2CBB" w:rsidRPr="00780C03" w:rsidTr="00CA245D">
        <w:trPr>
          <w:trHeight w:val="71"/>
          <w:jc w:val="center"/>
        </w:trPr>
        <w:tc>
          <w:tcPr>
            <w:tcW w:w="9072" w:type="dxa"/>
            <w:gridSpan w:val="2"/>
            <w:shd w:val="clear" w:color="auto" w:fill="FFFFFF" w:themeFill="background1"/>
            <w:noWrap/>
            <w:vAlign w:val="center"/>
            <w:hideMark/>
          </w:tcPr>
          <w:p w:rsidR="00CD2CBB" w:rsidRPr="005701DF" w:rsidRDefault="00CD2CBB" w:rsidP="005701DF">
            <w:pPr>
              <w:pStyle w:val="Tabletext"/>
              <w:jc w:val="center"/>
              <w:rPr>
                <w:b/>
                <w:bCs/>
                <w:lang w:val="en-US" w:eastAsia="fr-FR"/>
              </w:rPr>
            </w:pPr>
            <w:r w:rsidRPr="005701DF">
              <w:rPr>
                <w:b/>
                <w:bCs/>
                <w:lang w:val="en-US" w:eastAsia="fr-FR"/>
              </w:rPr>
              <w:t>Number of mitigation filters</w:t>
            </w:r>
            <w:r w:rsidRPr="005701DF">
              <w:rPr>
                <w:vertAlign w:val="superscript"/>
                <w:lang w:val="en-US" w:eastAsia="fr-FR"/>
              </w:rPr>
              <w:t>(1)(2)</w:t>
            </w:r>
            <w:r w:rsidRPr="005701DF">
              <w:rPr>
                <w:b/>
                <w:bCs/>
                <w:lang w:val="en-US" w:eastAsia="fr-FR"/>
              </w:rPr>
              <w:t xml:space="preserve"> used</w:t>
            </w:r>
          </w:p>
          <w:p w:rsidR="00CD2CBB" w:rsidRPr="00CD2CBB" w:rsidRDefault="00CD2CBB" w:rsidP="005701DF">
            <w:pPr>
              <w:pStyle w:val="Tabletext"/>
              <w:jc w:val="center"/>
              <w:rPr>
                <w:lang w:val="en-US"/>
              </w:rPr>
            </w:pPr>
            <w:r w:rsidRPr="00CD2CBB">
              <w:rPr>
                <w:lang w:val="en-US"/>
              </w:rPr>
              <w:t>Number of active three sectorial base stations = 16</w:t>
            </w:r>
            <w:r w:rsidR="000B4F09">
              <w:rPr>
                <w:lang w:val="en-US"/>
              </w:rPr>
              <w:t xml:space="preserve"> </w:t>
            </w:r>
            <w:r w:rsidRPr="00CD2CBB">
              <w:rPr>
                <w:lang w:val="en-US"/>
              </w:rPr>
              <w:t>283</w:t>
            </w:r>
          </w:p>
          <w:p w:rsidR="00CD2CBB" w:rsidRPr="00F96FD0" w:rsidRDefault="00CD2CBB" w:rsidP="005701DF">
            <w:pPr>
              <w:pStyle w:val="Tabletext"/>
              <w:jc w:val="center"/>
              <w:rPr>
                <w:lang w:eastAsia="fr-FR"/>
              </w:rPr>
            </w:pPr>
            <w:r w:rsidRPr="00780C03">
              <w:t>Total number of interference</w:t>
            </w:r>
            <w:r>
              <w:t xml:space="preserve"> = </w:t>
            </w:r>
            <w:r w:rsidRPr="00F96FD0">
              <w:t>67</w:t>
            </w:r>
            <w:r w:rsidR="000B4F09">
              <w:t xml:space="preserve"> </w:t>
            </w:r>
            <w:r w:rsidRPr="00F96FD0">
              <w:t>857</w:t>
            </w:r>
          </w:p>
        </w:tc>
      </w:tr>
      <w:tr w:rsidR="00C165CD" w:rsidRPr="00780C03" w:rsidTr="00CA245D">
        <w:trPr>
          <w:trHeight w:val="118"/>
          <w:jc w:val="center"/>
        </w:trPr>
        <w:tc>
          <w:tcPr>
            <w:tcW w:w="9072" w:type="dxa"/>
            <w:shd w:val="clear" w:color="auto" w:fill="FFFFFF" w:themeFill="background1"/>
            <w:vAlign w:val="center"/>
            <w:hideMark/>
          </w:tcPr>
          <w:p w:rsidR="00CD2CBB" w:rsidRPr="00CA245D" w:rsidRDefault="00CD2CBB" w:rsidP="005701DF">
            <w:pPr>
              <w:pStyle w:val="Tabletext"/>
              <w:rPr>
                <w:b/>
                <w:bCs/>
                <w:lang w:eastAsia="fr-FR"/>
              </w:rPr>
            </w:pPr>
            <w:r w:rsidRPr="00CA245D">
              <w:rPr>
                <w:b/>
                <w:bCs/>
                <w:lang w:eastAsia="fr-FR"/>
              </w:rPr>
              <w:t>For resolution of interference</w:t>
            </w:r>
          </w:p>
        </w:tc>
        <w:tc>
          <w:tcPr>
            <w:tcW w:w="9072" w:type="dxa"/>
            <w:shd w:val="clear" w:color="auto" w:fill="FFFFFF" w:themeFill="background1"/>
            <w:noWrap/>
            <w:vAlign w:val="center"/>
            <w:hideMark/>
          </w:tcPr>
          <w:p w:rsidR="00CD2CBB" w:rsidRPr="00F96FD0" w:rsidRDefault="00CD2CBB" w:rsidP="005701DF">
            <w:pPr>
              <w:pStyle w:val="Tabletext"/>
              <w:jc w:val="center"/>
              <w:rPr>
                <w:lang w:eastAsia="fr-FR"/>
              </w:rPr>
            </w:pPr>
            <w:r w:rsidRPr="00F96FD0">
              <w:rPr>
                <w:lang w:eastAsia="fr-FR"/>
              </w:rPr>
              <w:t>70</w:t>
            </w:r>
            <w:r w:rsidR="000B4F09">
              <w:rPr>
                <w:lang w:eastAsia="fr-FR"/>
              </w:rPr>
              <w:t xml:space="preserve"> </w:t>
            </w:r>
            <w:r w:rsidRPr="00F96FD0">
              <w:rPr>
                <w:lang w:eastAsia="fr-FR"/>
              </w:rPr>
              <w:t>500</w:t>
            </w:r>
            <w:r w:rsidRPr="00F96FD0">
              <w:rPr>
                <w:vertAlign w:val="superscript"/>
                <w:lang w:eastAsia="fr-FR"/>
              </w:rPr>
              <w:t>(1)</w:t>
            </w:r>
          </w:p>
        </w:tc>
      </w:tr>
      <w:tr w:rsidR="00C165CD" w:rsidRPr="00780C03" w:rsidTr="00CA245D">
        <w:trPr>
          <w:trHeight w:val="70"/>
          <w:jc w:val="center"/>
        </w:trPr>
        <w:tc>
          <w:tcPr>
            <w:tcW w:w="9072" w:type="dxa"/>
            <w:shd w:val="clear" w:color="auto" w:fill="FFFFFF" w:themeFill="background1"/>
            <w:vAlign w:val="center"/>
            <w:hideMark/>
          </w:tcPr>
          <w:p w:rsidR="00CD2CBB" w:rsidRPr="00CA245D" w:rsidRDefault="00CD2CBB" w:rsidP="005701DF">
            <w:pPr>
              <w:pStyle w:val="Tabletext"/>
              <w:rPr>
                <w:b/>
                <w:bCs/>
                <w:lang w:eastAsia="fr-FR"/>
              </w:rPr>
            </w:pPr>
            <w:r w:rsidRPr="00CA245D">
              <w:rPr>
                <w:b/>
                <w:bCs/>
                <w:lang w:eastAsia="fr-FR"/>
              </w:rPr>
              <w:t>For prevention of interference</w:t>
            </w:r>
          </w:p>
        </w:tc>
        <w:tc>
          <w:tcPr>
            <w:tcW w:w="9072" w:type="dxa"/>
            <w:shd w:val="clear" w:color="auto" w:fill="FFFFFF" w:themeFill="background1"/>
            <w:noWrap/>
            <w:vAlign w:val="center"/>
            <w:hideMark/>
          </w:tcPr>
          <w:p w:rsidR="00CD2CBB" w:rsidRPr="00F96FD0" w:rsidRDefault="00CD2CBB" w:rsidP="005701DF">
            <w:pPr>
              <w:pStyle w:val="Tabletext"/>
              <w:jc w:val="center"/>
              <w:rPr>
                <w:lang w:eastAsia="fr-FR"/>
              </w:rPr>
            </w:pPr>
            <w:r w:rsidRPr="00F96FD0">
              <w:rPr>
                <w:lang w:eastAsia="fr-FR"/>
              </w:rPr>
              <w:t>8</w:t>
            </w:r>
            <w:r w:rsidR="000B4F09">
              <w:rPr>
                <w:lang w:eastAsia="fr-FR"/>
              </w:rPr>
              <w:t xml:space="preserve"> </w:t>
            </w:r>
            <w:r w:rsidRPr="00F96FD0">
              <w:rPr>
                <w:lang w:eastAsia="fr-FR"/>
              </w:rPr>
              <w:t>000</w:t>
            </w:r>
          </w:p>
        </w:tc>
      </w:tr>
      <w:tr w:rsidR="00C165CD" w:rsidRPr="00780C03" w:rsidTr="00CA245D">
        <w:trPr>
          <w:trHeight w:val="70"/>
          <w:jc w:val="center"/>
        </w:trPr>
        <w:tc>
          <w:tcPr>
            <w:tcW w:w="9072" w:type="dxa"/>
            <w:shd w:val="clear" w:color="auto" w:fill="FFFFFF" w:themeFill="background1"/>
            <w:vAlign w:val="center"/>
            <w:hideMark/>
          </w:tcPr>
          <w:p w:rsidR="00CD2CBB" w:rsidRPr="00CA245D" w:rsidRDefault="00CD2CBB" w:rsidP="005701DF">
            <w:pPr>
              <w:pStyle w:val="Tabletext"/>
              <w:rPr>
                <w:b/>
                <w:bCs/>
                <w:lang w:eastAsia="fr-FR"/>
              </w:rPr>
            </w:pPr>
            <w:r w:rsidRPr="00CA245D">
              <w:rPr>
                <w:b/>
                <w:bCs/>
                <w:lang w:eastAsia="fr-FR"/>
              </w:rPr>
              <w:t>Total number of filters</w:t>
            </w:r>
          </w:p>
        </w:tc>
        <w:tc>
          <w:tcPr>
            <w:tcW w:w="9072" w:type="dxa"/>
            <w:shd w:val="clear" w:color="auto" w:fill="FFFFFF" w:themeFill="background1"/>
            <w:noWrap/>
            <w:vAlign w:val="center"/>
            <w:hideMark/>
          </w:tcPr>
          <w:p w:rsidR="00CD2CBB" w:rsidRPr="00F96FD0" w:rsidRDefault="00CD2CBB" w:rsidP="005701DF">
            <w:pPr>
              <w:pStyle w:val="Tabletext"/>
              <w:jc w:val="center"/>
              <w:rPr>
                <w:lang w:eastAsia="fr-FR"/>
              </w:rPr>
            </w:pPr>
            <w:r w:rsidRPr="00F96FD0">
              <w:rPr>
                <w:lang w:eastAsia="fr-FR"/>
              </w:rPr>
              <w:t>78</w:t>
            </w:r>
            <w:r w:rsidR="000B4F09">
              <w:rPr>
                <w:lang w:eastAsia="fr-FR"/>
              </w:rPr>
              <w:t xml:space="preserve"> </w:t>
            </w:r>
            <w:r w:rsidRPr="00F96FD0">
              <w:rPr>
                <w:lang w:eastAsia="fr-FR"/>
              </w:rPr>
              <w:t>500</w:t>
            </w:r>
          </w:p>
        </w:tc>
      </w:tr>
      <w:tr w:rsidR="00CD2CBB" w:rsidRPr="00E72F11" w:rsidTr="00CA245D">
        <w:trPr>
          <w:trHeight w:val="114"/>
          <w:jc w:val="center"/>
        </w:trPr>
        <w:tc>
          <w:tcPr>
            <w:tcW w:w="9072" w:type="dxa"/>
            <w:gridSpan w:val="2"/>
            <w:shd w:val="clear" w:color="auto" w:fill="FFFFFF" w:themeFill="background1"/>
            <w:noWrap/>
            <w:vAlign w:val="center"/>
            <w:hideMark/>
          </w:tcPr>
          <w:p w:rsidR="00CD2CBB" w:rsidRPr="009C77A2" w:rsidRDefault="00C165CD" w:rsidP="009C77A2">
            <w:pPr>
              <w:pStyle w:val="Tabletext"/>
              <w:rPr>
                <w:lang w:val="en-US"/>
              </w:rPr>
            </w:pPr>
            <w:r w:rsidRPr="00C165CD">
              <w:rPr>
                <w:vertAlign w:val="superscript"/>
                <w:lang w:val="en-US"/>
              </w:rPr>
              <w:t>(</w:t>
            </w:r>
            <w:r w:rsidR="00CD2CBB" w:rsidRPr="009C77A2">
              <w:rPr>
                <w:vertAlign w:val="superscript"/>
                <w:lang w:val="en-US"/>
              </w:rPr>
              <w:t>1</w:t>
            </w:r>
            <w:r>
              <w:rPr>
                <w:vertAlign w:val="superscript"/>
                <w:lang w:val="en-US"/>
              </w:rPr>
              <w:t>)</w:t>
            </w:r>
            <w:r>
              <w:rPr>
                <w:lang w:val="en-US"/>
              </w:rPr>
              <w:t xml:space="preserve"> </w:t>
            </w:r>
            <w:r w:rsidR="008E7EE2">
              <w:rPr>
                <w:lang w:val="en-US"/>
              </w:rPr>
              <w:tab/>
            </w:r>
            <w:r w:rsidR="00CD2CBB" w:rsidRPr="009C77A2">
              <w:rPr>
                <w:lang w:val="en-US"/>
              </w:rPr>
              <w:t>Filters are installed at the DVB-T receiving antenna (either head-end filters or user filters)</w:t>
            </w:r>
            <w:r w:rsidR="008E7EE2">
              <w:rPr>
                <w:lang w:val="en-US"/>
              </w:rPr>
              <w:t>.</w:t>
            </w:r>
          </w:p>
          <w:p w:rsidR="00CD2CBB" w:rsidRPr="009C77A2" w:rsidRDefault="00C165CD" w:rsidP="00C165CD">
            <w:pPr>
              <w:pStyle w:val="Tabletext"/>
              <w:rPr>
                <w:lang w:val="en-US"/>
              </w:rPr>
            </w:pPr>
            <w:r>
              <w:rPr>
                <w:vertAlign w:val="superscript"/>
                <w:lang w:val="en-US"/>
              </w:rPr>
              <w:t>(</w:t>
            </w:r>
            <w:r w:rsidR="00CD2CBB" w:rsidRPr="009C77A2">
              <w:rPr>
                <w:vertAlign w:val="superscript"/>
                <w:lang w:val="en-US"/>
              </w:rPr>
              <w:t>2</w:t>
            </w:r>
            <w:r>
              <w:rPr>
                <w:vertAlign w:val="superscript"/>
                <w:lang w:val="en-US"/>
              </w:rPr>
              <w:t>)</w:t>
            </w:r>
            <w:r w:rsidR="00CD2CBB" w:rsidRPr="009C77A2">
              <w:rPr>
                <w:lang w:val="en-US"/>
              </w:rPr>
              <w:t xml:space="preserve"> </w:t>
            </w:r>
            <w:r w:rsidR="008E7EE2">
              <w:rPr>
                <w:lang w:val="en-US"/>
              </w:rPr>
              <w:tab/>
            </w:r>
            <w:r w:rsidR="00CD2CBB" w:rsidRPr="009C77A2">
              <w:rPr>
                <w:lang w:val="en-US"/>
              </w:rPr>
              <w:t>More than one filter may be needed to mitigate the interference for some individual aerial receptions</w:t>
            </w:r>
            <w:r w:rsidR="008E7EE2">
              <w:rPr>
                <w:lang w:val="en-US"/>
              </w:rPr>
              <w:t>.</w:t>
            </w:r>
          </w:p>
        </w:tc>
      </w:tr>
    </w:tbl>
    <w:p w:rsidR="00CD2CBB" w:rsidRDefault="00CD2CBB" w:rsidP="005701DF">
      <w:pPr>
        <w:pStyle w:val="Tablefin"/>
      </w:pPr>
    </w:p>
    <w:p w:rsidR="00CD2CBB" w:rsidRPr="009C77A2" w:rsidRDefault="00CD2CBB">
      <w:pPr>
        <w:pStyle w:val="TableNo"/>
        <w:rPr>
          <w:lang w:val="en-US"/>
        </w:rPr>
        <w:pPrChange w:id="3" w:author="Auteur">
          <w:pPr>
            <w:spacing w:before="0"/>
          </w:pPr>
        </w:pPrChange>
      </w:pPr>
      <w:r w:rsidRPr="009C77A2">
        <w:rPr>
          <w:lang w:val="en-US"/>
        </w:rPr>
        <w:t xml:space="preserve">TABLE </w:t>
      </w:r>
      <w:r w:rsidR="008E7EE2">
        <w:rPr>
          <w:lang w:val="en-US"/>
        </w:rPr>
        <w:t>A2.</w:t>
      </w:r>
      <w:r w:rsidRPr="009C77A2">
        <w:rPr>
          <w:lang w:val="en-US"/>
        </w:rPr>
        <w:t>3</w:t>
      </w:r>
    </w:p>
    <w:p w:rsidR="00CD2CBB" w:rsidRPr="009C77A2" w:rsidRDefault="00CD2CBB">
      <w:pPr>
        <w:pStyle w:val="Tabletitle"/>
        <w:rPr>
          <w:lang w:val="en-US"/>
        </w:rPr>
        <w:pPrChange w:id="4" w:author="Auteur">
          <w:pPr>
            <w:spacing w:before="0"/>
          </w:pPr>
        </w:pPrChange>
      </w:pPr>
      <w:r w:rsidRPr="009C77A2">
        <w:rPr>
          <w:lang w:val="en-US"/>
        </w:rPr>
        <w:t>Interference ranges</w:t>
      </w:r>
    </w:p>
    <w:tbl>
      <w:tblPr>
        <w:tblStyle w:val="TableGrid"/>
        <w:tblW w:w="5000" w:type="pct"/>
        <w:jc w:val="center"/>
        <w:shd w:val="clear" w:color="auto" w:fill="FFFFFF" w:themeFill="background1"/>
        <w:tblLook w:val="04A0" w:firstRow="1" w:lastRow="0" w:firstColumn="1" w:lastColumn="0" w:noHBand="0" w:noVBand="1"/>
      </w:tblPr>
      <w:tblGrid>
        <w:gridCol w:w="4814"/>
        <w:gridCol w:w="4815"/>
      </w:tblGrid>
      <w:tr w:rsidR="00C165CD" w:rsidRPr="00780C03" w:rsidTr="00C165CD">
        <w:trPr>
          <w:jc w:val="center"/>
        </w:trPr>
        <w:tc>
          <w:tcPr>
            <w:tcW w:w="5000" w:type="pct"/>
            <w:gridSpan w:val="2"/>
            <w:shd w:val="clear" w:color="auto" w:fill="FFFFFF" w:themeFill="background1"/>
          </w:tcPr>
          <w:p w:rsidR="00CD2CBB" w:rsidRPr="005701DF" w:rsidRDefault="00CD2CBB" w:rsidP="005701DF">
            <w:pPr>
              <w:pStyle w:val="Tabletext"/>
              <w:jc w:val="center"/>
              <w:rPr>
                <w:b/>
                <w:bCs/>
                <w:lang w:val="en-US"/>
              </w:rPr>
            </w:pPr>
            <w:r w:rsidRPr="005701DF">
              <w:rPr>
                <w:b/>
                <w:bCs/>
                <w:lang w:val="en-US"/>
              </w:rPr>
              <w:t>Real-life interference from LTE 800 MHz to DVB-T reception in France</w:t>
            </w:r>
          </w:p>
          <w:p w:rsidR="00CD2CBB" w:rsidRPr="00CD2CBB" w:rsidRDefault="00CD2CBB" w:rsidP="005701DF">
            <w:pPr>
              <w:pStyle w:val="Tabletext"/>
              <w:jc w:val="center"/>
              <w:rPr>
                <w:lang w:val="en-US"/>
              </w:rPr>
            </w:pPr>
            <w:r w:rsidRPr="00CD2CBB">
              <w:rPr>
                <w:lang w:val="en-US"/>
              </w:rPr>
              <w:t>Number of active three sectorial base stations = 16</w:t>
            </w:r>
            <w:r w:rsidR="000B4F09">
              <w:rPr>
                <w:lang w:val="en-US"/>
              </w:rPr>
              <w:t xml:space="preserve"> </w:t>
            </w:r>
            <w:r w:rsidRPr="00CD2CBB">
              <w:rPr>
                <w:lang w:val="en-US"/>
              </w:rPr>
              <w:t>283</w:t>
            </w:r>
          </w:p>
          <w:p w:rsidR="00CD2CBB" w:rsidRPr="00F96FD0" w:rsidRDefault="00CD2CBB" w:rsidP="005701DF">
            <w:pPr>
              <w:pStyle w:val="Tabletext"/>
              <w:jc w:val="center"/>
            </w:pPr>
            <w:r w:rsidRPr="00780C03">
              <w:t>Total number of interference</w:t>
            </w:r>
            <w:r>
              <w:t xml:space="preserve"> = </w:t>
            </w:r>
            <w:r w:rsidRPr="00325263">
              <w:t>67</w:t>
            </w:r>
            <w:r w:rsidR="000B4F09">
              <w:t xml:space="preserve"> </w:t>
            </w:r>
            <w:r w:rsidRPr="00325263">
              <w:t>857</w:t>
            </w:r>
          </w:p>
        </w:tc>
      </w:tr>
      <w:tr w:rsidR="00C165CD" w:rsidRPr="00780C03" w:rsidTr="00C165CD">
        <w:trPr>
          <w:jc w:val="center"/>
        </w:trPr>
        <w:tc>
          <w:tcPr>
            <w:tcW w:w="5000" w:type="pct"/>
            <w:gridSpan w:val="2"/>
            <w:shd w:val="clear" w:color="auto" w:fill="FFFFFF" w:themeFill="background1"/>
          </w:tcPr>
          <w:p w:rsidR="00CD2CBB" w:rsidRPr="00780C03" w:rsidRDefault="00CD2CBB" w:rsidP="005701DF">
            <w:pPr>
              <w:pStyle w:val="Tabletext"/>
              <w:jc w:val="center"/>
            </w:pPr>
            <w:r w:rsidRPr="005701DF">
              <w:rPr>
                <w:b/>
                <w:bCs/>
              </w:rPr>
              <w:t>Estimated interference distance</w:t>
            </w:r>
            <w:r w:rsidRPr="00B30976">
              <w:rPr>
                <w:vertAlign w:val="superscript"/>
              </w:rPr>
              <w:t>(1)</w:t>
            </w:r>
          </w:p>
        </w:tc>
      </w:tr>
      <w:tr w:rsidR="00C165CD" w:rsidRPr="00780C03" w:rsidTr="00C165CD">
        <w:trPr>
          <w:jc w:val="center"/>
        </w:trPr>
        <w:tc>
          <w:tcPr>
            <w:tcW w:w="2500" w:type="pct"/>
            <w:shd w:val="clear" w:color="auto" w:fill="FFFFFF" w:themeFill="background1"/>
          </w:tcPr>
          <w:p w:rsidR="00CD2CBB" w:rsidRPr="00780C03" w:rsidRDefault="00CD2CBB" w:rsidP="005701DF">
            <w:pPr>
              <w:pStyle w:val="Tabletext"/>
            </w:pPr>
            <w:r w:rsidRPr="00780C03">
              <w:t>Max distance (m)</w:t>
            </w:r>
          </w:p>
        </w:tc>
        <w:tc>
          <w:tcPr>
            <w:tcW w:w="2500" w:type="pct"/>
            <w:shd w:val="clear" w:color="auto" w:fill="FFFFFF" w:themeFill="background1"/>
            <w:vAlign w:val="center"/>
          </w:tcPr>
          <w:p w:rsidR="00CD2CBB" w:rsidRDefault="00CD2CBB" w:rsidP="005701DF">
            <w:pPr>
              <w:pStyle w:val="Tabletext"/>
              <w:jc w:val="center"/>
            </w:pPr>
            <w:r>
              <w:sym w:font="Symbol" w:char="F0BB"/>
            </w:r>
            <w:r>
              <w:t xml:space="preserve"> 6</w:t>
            </w:r>
            <w:r w:rsidR="000B4F09">
              <w:t xml:space="preserve"> </w:t>
            </w:r>
            <w:r>
              <w:t>544</w:t>
            </w:r>
            <w:r w:rsidRPr="00B30976">
              <w:rPr>
                <w:vertAlign w:val="superscript"/>
              </w:rPr>
              <w:t>(2)</w:t>
            </w:r>
          </w:p>
        </w:tc>
      </w:tr>
      <w:tr w:rsidR="00C165CD" w:rsidRPr="00780C03" w:rsidTr="00C165CD">
        <w:trPr>
          <w:jc w:val="center"/>
        </w:trPr>
        <w:tc>
          <w:tcPr>
            <w:tcW w:w="2500" w:type="pct"/>
            <w:shd w:val="clear" w:color="auto" w:fill="FFFFFF" w:themeFill="background1"/>
          </w:tcPr>
          <w:p w:rsidR="00CD2CBB" w:rsidRPr="00780C03" w:rsidRDefault="00CD2CBB" w:rsidP="005701DF">
            <w:pPr>
              <w:pStyle w:val="Tabletext"/>
            </w:pPr>
            <w:r w:rsidRPr="00780C03">
              <w:t>Average distance (m)</w:t>
            </w:r>
          </w:p>
        </w:tc>
        <w:tc>
          <w:tcPr>
            <w:tcW w:w="2500" w:type="pct"/>
            <w:shd w:val="clear" w:color="auto" w:fill="FFFFFF" w:themeFill="background1"/>
            <w:vAlign w:val="center"/>
          </w:tcPr>
          <w:p w:rsidR="00CD2CBB" w:rsidRDefault="00CD2CBB" w:rsidP="005701DF">
            <w:pPr>
              <w:pStyle w:val="Tabletext"/>
              <w:jc w:val="center"/>
            </w:pPr>
            <w:r>
              <w:sym w:font="Symbol" w:char="F0BB"/>
            </w:r>
            <w:r>
              <w:t xml:space="preserve"> 672</w:t>
            </w:r>
          </w:p>
        </w:tc>
      </w:tr>
      <w:tr w:rsidR="00C165CD" w:rsidRPr="00780C03" w:rsidTr="00C165CD">
        <w:trPr>
          <w:jc w:val="center"/>
        </w:trPr>
        <w:tc>
          <w:tcPr>
            <w:tcW w:w="2500" w:type="pct"/>
            <w:shd w:val="clear" w:color="auto" w:fill="FFFFFF" w:themeFill="background1"/>
          </w:tcPr>
          <w:p w:rsidR="00CD2CBB" w:rsidRPr="00780C03" w:rsidRDefault="00CD2CBB" w:rsidP="005701DF">
            <w:pPr>
              <w:pStyle w:val="Tabletext"/>
            </w:pPr>
            <w:r w:rsidRPr="00780C03">
              <w:t>Median distance (m)</w:t>
            </w:r>
          </w:p>
        </w:tc>
        <w:tc>
          <w:tcPr>
            <w:tcW w:w="2500" w:type="pct"/>
            <w:shd w:val="clear" w:color="auto" w:fill="FFFFFF" w:themeFill="background1"/>
            <w:vAlign w:val="center"/>
          </w:tcPr>
          <w:p w:rsidR="00CD2CBB" w:rsidRDefault="00CD2CBB" w:rsidP="005701DF">
            <w:pPr>
              <w:pStyle w:val="Tabletext"/>
              <w:jc w:val="center"/>
            </w:pPr>
            <w:r>
              <w:sym w:font="Symbol" w:char="F0BB"/>
            </w:r>
            <w:r>
              <w:t xml:space="preserve"> 572</w:t>
            </w:r>
          </w:p>
        </w:tc>
      </w:tr>
      <w:tr w:rsidR="00C165CD" w:rsidRPr="00780C03" w:rsidTr="00C165CD">
        <w:trPr>
          <w:jc w:val="center"/>
        </w:trPr>
        <w:tc>
          <w:tcPr>
            <w:tcW w:w="2500" w:type="pct"/>
            <w:shd w:val="clear" w:color="auto" w:fill="FFFFFF" w:themeFill="background1"/>
          </w:tcPr>
          <w:p w:rsidR="00CD2CBB" w:rsidRPr="00780C03" w:rsidRDefault="00CD2CBB" w:rsidP="005701DF">
            <w:pPr>
              <w:pStyle w:val="Tabletext"/>
            </w:pPr>
            <w:r w:rsidRPr="00780C03">
              <w:t>Standard deviation (m)</w:t>
            </w:r>
          </w:p>
        </w:tc>
        <w:tc>
          <w:tcPr>
            <w:tcW w:w="2500" w:type="pct"/>
            <w:shd w:val="clear" w:color="auto" w:fill="FFFFFF" w:themeFill="background1"/>
            <w:vAlign w:val="center"/>
          </w:tcPr>
          <w:p w:rsidR="00CD2CBB" w:rsidRDefault="00CD2CBB" w:rsidP="005701DF">
            <w:pPr>
              <w:pStyle w:val="Tabletext"/>
              <w:jc w:val="center"/>
            </w:pPr>
            <w:r>
              <w:sym w:font="Symbol" w:char="F0BB"/>
            </w:r>
            <w:r>
              <w:t xml:space="preserve"> 481</w:t>
            </w:r>
          </w:p>
        </w:tc>
      </w:tr>
      <w:tr w:rsidR="00C165CD" w:rsidRPr="00E72F11" w:rsidTr="00C165CD">
        <w:trPr>
          <w:jc w:val="center"/>
        </w:trPr>
        <w:tc>
          <w:tcPr>
            <w:tcW w:w="5000" w:type="pct"/>
            <w:gridSpan w:val="2"/>
            <w:shd w:val="clear" w:color="auto" w:fill="FFFFFF" w:themeFill="background1"/>
          </w:tcPr>
          <w:p w:rsidR="00CD2CBB" w:rsidRPr="009C77A2" w:rsidRDefault="00C165CD" w:rsidP="009C77A2">
            <w:pPr>
              <w:pStyle w:val="Tabletext"/>
              <w:rPr>
                <w:lang w:val="en-US"/>
              </w:rPr>
            </w:pPr>
            <w:r>
              <w:rPr>
                <w:vertAlign w:val="superscript"/>
                <w:lang w:val="en-US"/>
              </w:rPr>
              <w:t>(</w:t>
            </w:r>
            <w:r w:rsidR="00CD2CBB" w:rsidRPr="009C77A2">
              <w:rPr>
                <w:vertAlign w:val="superscript"/>
                <w:lang w:val="en-US"/>
              </w:rPr>
              <w:t>1</w:t>
            </w:r>
            <w:r>
              <w:rPr>
                <w:vertAlign w:val="superscript"/>
                <w:lang w:val="en-US"/>
              </w:rPr>
              <w:t>)</w:t>
            </w:r>
            <w:r w:rsidR="00CD2CBB" w:rsidRPr="009C77A2">
              <w:rPr>
                <w:lang w:val="en-US"/>
              </w:rPr>
              <w:t xml:space="preserve"> </w:t>
            </w:r>
            <w:r w:rsidR="008E7EE2">
              <w:rPr>
                <w:lang w:val="en-US"/>
              </w:rPr>
              <w:tab/>
            </w:r>
            <w:r w:rsidR="00CD2CBB" w:rsidRPr="009C77A2">
              <w:rPr>
                <w:lang w:val="en-US"/>
              </w:rPr>
              <w:t>Distance between the victim DVB-T receiver and the interfering BS transmitter</w:t>
            </w:r>
            <w:r w:rsidR="008E7EE2">
              <w:rPr>
                <w:lang w:val="en-US"/>
              </w:rPr>
              <w:t>.</w:t>
            </w:r>
          </w:p>
          <w:p w:rsidR="00CD2CBB" w:rsidRPr="00C165CD" w:rsidRDefault="00C165CD" w:rsidP="009C77A2">
            <w:pPr>
              <w:pStyle w:val="Tabletext"/>
              <w:rPr>
                <w:lang w:val="en-US"/>
              </w:rPr>
            </w:pPr>
            <w:r>
              <w:rPr>
                <w:vertAlign w:val="superscript"/>
                <w:lang w:val="en-US"/>
              </w:rPr>
              <w:t>(</w:t>
            </w:r>
            <w:r w:rsidR="00CD2CBB" w:rsidRPr="00C165CD">
              <w:rPr>
                <w:vertAlign w:val="superscript"/>
                <w:lang w:val="en-US"/>
              </w:rPr>
              <w:t>2</w:t>
            </w:r>
            <w:r>
              <w:rPr>
                <w:vertAlign w:val="superscript"/>
                <w:lang w:val="en-US"/>
              </w:rPr>
              <w:t>)</w:t>
            </w:r>
            <w:r w:rsidR="00CD2CBB" w:rsidRPr="00C165CD">
              <w:rPr>
                <w:lang w:val="en-US"/>
              </w:rPr>
              <w:t xml:space="preserve"> </w:t>
            </w:r>
            <w:r w:rsidR="008E7EE2">
              <w:rPr>
                <w:lang w:val="en-US"/>
              </w:rPr>
              <w:tab/>
            </w:r>
            <w:r w:rsidR="00CD2CBB" w:rsidRPr="00C165CD">
              <w:rPr>
                <w:lang w:val="en-US"/>
              </w:rPr>
              <w:t>In 99% of cases the interference distance is below 2.1 km</w:t>
            </w:r>
            <w:r w:rsidR="008E7EE2">
              <w:rPr>
                <w:lang w:val="en-US"/>
              </w:rPr>
              <w:t>.</w:t>
            </w:r>
          </w:p>
        </w:tc>
      </w:tr>
    </w:tbl>
    <w:p w:rsidR="00CD2CBB" w:rsidRDefault="00CD2CBB" w:rsidP="005701DF">
      <w:pPr>
        <w:pStyle w:val="Tablefin"/>
      </w:pPr>
    </w:p>
    <w:p w:rsidR="001C63BC" w:rsidRPr="002A2440" w:rsidRDefault="001C63BC" w:rsidP="00D7254E">
      <w:pPr>
        <w:pStyle w:val="Headingb"/>
        <w:rPr>
          <w:lang w:val="en-US"/>
        </w:rPr>
      </w:pPr>
      <w:r w:rsidRPr="002A2440">
        <w:rPr>
          <w:lang w:val="en-US"/>
        </w:rPr>
        <w:t xml:space="preserve">Mitigation measures </w:t>
      </w:r>
      <w:r w:rsidRPr="00490767">
        <w:rPr>
          <w:lang w:val="en-US"/>
        </w:rPr>
        <w:t>taken</w:t>
      </w:r>
      <w:r w:rsidRPr="002A2440">
        <w:rPr>
          <w:lang w:val="en-US"/>
        </w:rPr>
        <w:t xml:space="preserve"> to resolve interference situations</w:t>
      </w:r>
    </w:p>
    <w:p w:rsidR="00CD2CBB" w:rsidRPr="0060093B" w:rsidRDefault="00CD2CBB" w:rsidP="00CD2CBB">
      <w:pPr>
        <w:rPr>
          <w:lang w:val="en-US"/>
        </w:rPr>
      </w:pPr>
      <w:r w:rsidRPr="0060093B">
        <w:rPr>
          <w:lang w:val="en-US"/>
        </w:rPr>
        <w:t>Every interference case due to the deployment of LTE BS in the 8</w:t>
      </w:r>
      <w:r w:rsidR="005701DF">
        <w:rPr>
          <w:lang w:val="en-US"/>
        </w:rPr>
        <w:t>00 MHz band onto the fixed roof</w:t>
      </w:r>
      <w:r w:rsidR="005701DF">
        <w:rPr>
          <w:lang w:val="en-US"/>
        </w:rPr>
        <w:noBreakHyphen/>
      </w:r>
      <w:r w:rsidRPr="0060093B">
        <w:rPr>
          <w:lang w:val="en-US"/>
        </w:rPr>
        <w:t xml:space="preserve">top </w:t>
      </w:r>
      <w:r>
        <w:rPr>
          <w:lang w:val="en-US"/>
        </w:rPr>
        <w:t>DVB-T</w:t>
      </w:r>
      <w:r w:rsidRPr="0060093B">
        <w:rPr>
          <w:lang w:val="en-US"/>
        </w:rPr>
        <w:t xml:space="preserve"> reception has been resolved by the introduction of a LTE 800 filt</w:t>
      </w:r>
      <w:r w:rsidR="00170840">
        <w:rPr>
          <w:lang w:val="en-US"/>
        </w:rPr>
        <w:t>er, either head-end filters (if </w:t>
      </w:r>
      <w:r w:rsidRPr="0060093B">
        <w:rPr>
          <w:lang w:val="en-US"/>
        </w:rPr>
        <w:t>active systems like amplifiers are present between the roof</w:t>
      </w:r>
      <w:r>
        <w:rPr>
          <w:lang w:val="en-US"/>
        </w:rPr>
        <w:t>-top antenna and the television</w:t>
      </w:r>
      <w:r w:rsidRPr="0060093B">
        <w:rPr>
          <w:lang w:val="en-US"/>
        </w:rPr>
        <w:t xml:space="preserve">/set-top box) or user filters. </w:t>
      </w:r>
      <w:r w:rsidRPr="00260A51">
        <w:rPr>
          <w:szCs w:val="24"/>
          <w:lang w:val="en-US"/>
        </w:rPr>
        <w:t xml:space="preserve">In total </w:t>
      </w:r>
      <w:r w:rsidRPr="00CD2CBB">
        <w:rPr>
          <w:szCs w:val="24"/>
          <w:lang w:val="en-US" w:eastAsia="fr-FR"/>
        </w:rPr>
        <w:t xml:space="preserve">78500 filters were used to resolve or prevent the interference from LTE BS to DVB-T reception. </w:t>
      </w:r>
      <w:r w:rsidRPr="00260A51">
        <w:rPr>
          <w:szCs w:val="24"/>
          <w:lang w:val="en-US"/>
        </w:rPr>
        <w:t>The sp</w:t>
      </w:r>
      <w:r w:rsidRPr="0060093B">
        <w:rPr>
          <w:lang w:val="en-US"/>
        </w:rPr>
        <w:t>ecifications of these filters have been defined by the administration, taking into account studies conducted with the help of stakeholders (broadcasters and the 800 MHz mobile operators). An industrial label could help consumers and professional aerial installers to identify efficient filters.</w:t>
      </w:r>
    </w:p>
    <w:p w:rsidR="001C63BC" w:rsidRPr="002A2440" w:rsidRDefault="00CD2CBB" w:rsidP="00D7254E">
      <w:pPr>
        <w:pStyle w:val="Headingb"/>
        <w:rPr>
          <w:lang w:val="en-US"/>
        </w:rPr>
      </w:pPr>
      <w:r>
        <w:rPr>
          <w:lang w:val="en-US"/>
        </w:rPr>
        <w:t>C</w:t>
      </w:r>
      <w:r w:rsidR="001C63BC" w:rsidRPr="00490767">
        <w:rPr>
          <w:lang w:val="en-US"/>
        </w:rPr>
        <w:t>onclusions</w:t>
      </w:r>
    </w:p>
    <w:p w:rsidR="001C63BC" w:rsidRPr="0060093B" w:rsidRDefault="00CD2CBB" w:rsidP="00170840">
      <w:pPr>
        <w:rPr>
          <w:lang w:val="en-US"/>
        </w:rPr>
      </w:pPr>
      <w:r w:rsidRPr="0060093B">
        <w:rPr>
          <w:lang w:val="en-US"/>
        </w:rPr>
        <w:t xml:space="preserve">In view of the information detailed above, the following can be concluded about the interference situation between LTE </w:t>
      </w:r>
      <w:r>
        <w:rPr>
          <w:lang w:val="en-US"/>
        </w:rPr>
        <w:t xml:space="preserve">800 MHz </w:t>
      </w:r>
      <w:r w:rsidRPr="0060093B">
        <w:rPr>
          <w:lang w:val="en-US"/>
        </w:rPr>
        <w:t xml:space="preserve">BS downlinks and fixed roof-top </w:t>
      </w:r>
      <w:r>
        <w:rPr>
          <w:lang w:val="en-US"/>
        </w:rPr>
        <w:t>DVB-T</w:t>
      </w:r>
      <w:r w:rsidRPr="0060093B">
        <w:rPr>
          <w:lang w:val="en-US"/>
        </w:rPr>
        <w:t xml:space="preserve"> reception in adjacent band:</w:t>
      </w:r>
    </w:p>
    <w:p w:rsidR="00CD2CBB" w:rsidRPr="00CD2CBB" w:rsidRDefault="00CD2CBB" w:rsidP="00170840">
      <w:pPr>
        <w:rPr>
          <w:lang w:val="en-US"/>
        </w:rPr>
      </w:pPr>
      <w:r w:rsidRPr="00CD2CBB">
        <w:rPr>
          <w:lang w:val="en-US"/>
        </w:rPr>
        <w:t>Real-life experience of the roll-out of LTE 800 MHz networks in France shows that LTE base stations, operating in an adjacent band to DVB-T reception, cause harmful interference to the latter, despite a guard band of 1 MHz between DVB-T band edge at 790 MHz an</w:t>
      </w:r>
      <w:r w:rsidR="00170840">
        <w:rPr>
          <w:lang w:val="en-US"/>
        </w:rPr>
        <w:t>d LTE downlink band edge at 791 </w:t>
      </w:r>
      <w:r w:rsidRPr="00CD2CBB">
        <w:rPr>
          <w:lang w:val="en-US"/>
        </w:rPr>
        <w:t>MHz. T</w:t>
      </w:r>
      <w:bookmarkStart w:id="5" w:name="_GoBack"/>
      <w:bookmarkEnd w:id="5"/>
      <w:r w:rsidRPr="00CD2CBB">
        <w:rPr>
          <w:lang w:val="en-US"/>
        </w:rPr>
        <w:t>his has been observed since the beginning of the roll in France. Indeed, this interference is limited and can be resolved, case by case, by mitigation techniques; mainly by filtering out the interfering LTE signal by an external filter connected to DVB-T receiver antenna output.</w:t>
      </w:r>
    </w:p>
    <w:p w:rsidR="00CD2CBB" w:rsidRPr="00CD2CBB" w:rsidRDefault="00CD2CBB" w:rsidP="005701DF">
      <w:pPr>
        <w:rPr>
          <w:lang w:val="en-US"/>
        </w:rPr>
      </w:pPr>
      <w:r w:rsidRPr="00CD2CBB">
        <w:rPr>
          <w:lang w:val="en-US"/>
        </w:rPr>
        <w:lastRenderedPageBreak/>
        <w:t>Actually, on 31 May 2016, for 16283 active LTE BS, 67857 interferences to DVB-T reception were identified (</w:t>
      </w:r>
      <w:r w:rsidRPr="00905B06">
        <w:sym w:font="Symbol" w:char="F0BB"/>
      </w:r>
      <w:r w:rsidRPr="00CD2CBB">
        <w:rPr>
          <w:lang w:val="en-US"/>
        </w:rPr>
        <w:t xml:space="preserve"> 4 interferences per BS), which represents interference to 168778 households. All the interference cases were resolved by filtering. However, such operations cost time and money. Note that the total number of BS needed for full national coverage of the 800 MHz band is estimated to be about 30000 for the three network operators.</w:t>
      </w:r>
    </w:p>
    <w:p w:rsidR="00CD2CBB" w:rsidRPr="00CD2CBB" w:rsidRDefault="00CD2CBB" w:rsidP="005701DF">
      <w:pPr>
        <w:rPr>
          <w:lang w:val="en-US"/>
        </w:rPr>
      </w:pPr>
      <w:r w:rsidRPr="00905B06">
        <w:rPr>
          <w:lang w:val="en-US"/>
        </w:rPr>
        <w:t>The median interference distance between the interfering IMT base s</w:t>
      </w:r>
      <w:r w:rsidR="005701DF">
        <w:rPr>
          <w:lang w:val="en-US"/>
        </w:rPr>
        <w:t>tation and the fixed roof</w:t>
      </w:r>
      <w:r w:rsidR="005701DF">
        <w:rPr>
          <w:lang w:val="en-US"/>
        </w:rPr>
        <w:noBreakHyphen/>
      </w:r>
      <w:r w:rsidRPr="00905B06">
        <w:rPr>
          <w:lang w:val="en-US"/>
        </w:rPr>
        <w:t xml:space="preserve">top DTT reception installation is </w:t>
      </w:r>
      <w:r w:rsidRPr="00CD2CBB">
        <w:rPr>
          <w:rFonts w:eastAsia="Calibri"/>
          <w:color w:val="000000"/>
          <w:lang w:val="en-US"/>
        </w:rPr>
        <w:t xml:space="preserve">572 m and </w:t>
      </w:r>
      <w:r w:rsidRPr="00905B06">
        <w:rPr>
          <w:lang w:val="en-US"/>
        </w:rPr>
        <w:t>the maximum interference</w:t>
      </w:r>
      <w:r w:rsidR="00170840">
        <w:rPr>
          <w:lang w:val="en-US"/>
        </w:rPr>
        <w:t xml:space="preserve"> distance reported is about 6.5 </w:t>
      </w:r>
      <w:r w:rsidRPr="00905B06">
        <w:rPr>
          <w:lang w:val="en-US"/>
        </w:rPr>
        <w:t>km</w:t>
      </w:r>
      <w:r>
        <w:rPr>
          <w:lang w:val="en-US"/>
        </w:rPr>
        <w:t>,</w:t>
      </w:r>
      <w:r w:rsidRPr="00CD2CBB">
        <w:rPr>
          <w:rFonts w:eastAsia="Calibri"/>
          <w:color w:val="000000"/>
          <w:lang w:val="en-US"/>
        </w:rPr>
        <w:t xml:space="preserve"> while, </w:t>
      </w:r>
      <w:r w:rsidRPr="00905B06">
        <w:rPr>
          <w:lang w:val="en-US"/>
        </w:rPr>
        <w:t>in 99% of cases</w:t>
      </w:r>
      <w:r>
        <w:rPr>
          <w:lang w:val="en-US"/>
        </w:rPr>
        <w:t>,</w:t>
      </w:r>
      <w:r w:rsidRPr="00905B06">
        <w:rPr>
          <w:lang w:val="en-US"/>
        </w:rPr>
        <w:t xml:space="preserve"> the interference distance is below 2.1 km. Consequently, the interference from LTE BS to fixed roof-top </w:t>
      </w:r>
      <w:r>
        <w:rPr>
          <w:lang w:val="en-US"/>
        </w:rPr>
        <w:t>DVB-T</w:t>
      </w:r>
      <w:r w:rsidRPr="00905B06">
        <w:rPr>
          <w:lang w:val="en-US"/>
        </w:rPr>
        <w:t xml:space="preserve"> reception is essentially a national matter and does not require any provision in the RR.</w:t>
      </w:r>
    </w:p>
    <w:p w:rsidR="00CD2CBB" w:rsidRPr="00CD2CBB" w:rsidRDefault="00CD2CBB" w:rsidP="005701DF">
      <w:pPr>
        <w:rPr>
          <w:lang w:val="en-US"/>
        </w:rPr>
      </w:pPr>
      <w:r w:rsidRPr="00CD2CBB">
        <w:rPr>
          <w:lang w:val="en-US"/>
        </w:rPr>
        <w:t>A</w:t>
      </w:r>
      <w:r w:rsidRPr="0060093B">
        <w:rPr>
          <w:lang w:val="en-US"/>
        </w:rPr>
        <w:t>lmost all reported interference</w:t>
      </w:r>
      <w:r>
        <w:rPr>
          <w:lang w:val="en-US"/>
        </w:rPr>
        <w:t>s</w:t>
      </w:r>
      <w:r w:rsidRPr="0060093B">
        <w:rPr>
          <w:lang w:val="en-US"/>
        </w:rPr>
        <w:t xml:space="preserve"> were caused by LTE base station</w:t>
      </w:r>
      <w:r>
        <w:rPr>
          <w:lang w:val="en-US"/>
        </w:rPr>
        <w:t>s</w:t>
      </w:r>
      <w:r w:rsidRPr="0060093B">
        <w:rPr>
          <w:lang w:val="en-US"/>
        </w:rPr>
        <w:t xml:space="preserve"> provoking saturation </w:t>
      </w:r>
      <w:r>
        <w:rPr>
          <w:lang w:val="en-US"/>
        </w:rPr>
        <w:t xml:space="preserve">of DTT receivers </w:t>
      </w:r>
      <w:r w:rsidRPr="0060093B">
        <w:rPr>
          <w:lang w:val="en-US"/>
        </w:rPr>
        <w:t xml:space="preserve">(active systems like amplifiers </w:t>
      </w:r>
      <w:r>
        <w:rPr>
          <w:lang w:val="en-US"/>
        </w:rPr>
        <w:t>feeding</w:t>
      </w:r>
      <w:r w:rsidRPr="0060093B">
        <w:rPr>
          <w:lang w:val="en-US"/>
        </w:rPr>
        <w:t xml:space="preserve"> DTT television</w:t>
      </w:r>
      <w:r>
        <w:rPr>
          <w:lang w:val="en-US"/>
        </w:rPr>
        <w:t>s</w:t>
      </w:r>
      <w:r w:rsidRPr="0060093B">
        <w:rPr>
          <w:lang w:val="en-US"/>
        </w:rPr>
        <w:t xml:space="preserve"> / set-top box</w:t>
      </w:r>
      <w:r>
        <w:rPr>
          <w:lang w:val="en-US"/>
        </w:rPr>
        <w:t>es</w:t>
      </w:r>
      <w:r w:rsidRPr="0060093B">
        <w:rPr>
          <w:lang w:val="en-US"/>
        </w:rPr>
        <w:t>) and all had been resolved by the introduction of an LTE 800 filter</w:t>
      </w:r>
      <w:r w:rsidRPr="0027259F">
        <w:rPr>
          <w:lang w:val="en-US"/>
        </w:rPr>
        <w:t>.</w:t>
      </w:r>
      <w:r w:rsidRPr="0027259F">
        <w:rPr>
          <w:color w:val="000000"/>
          <w:lang w:val="en-US" w:eastAsia="fr-FR"/>
        </w:rPr>
        <w:t xml:space="preserve"> The filter is</w:t>
      </w:r>
      <w:r>
        <w:rPr>
          <w:color w:val="000000"/>
          <w:lang w:val="en-US" w:eastAsia="fr-FR"/>
        </w:rPr>
        <w:t xml:space="preserve"> installed at the DVB-</w:t>
      </w:r>
      <w:r w:rsidRPr="0027259F">
        <w:rPr>
          <w:color w:val="000000"/>
          <w:lang w:val="en-US" w:eastAsia="fr-FR"/>
        </w:rPr>
        <w:t>T receiving antenna of the household</w:t>
      </w:r>
      <w:r w:rsidRPr="0060093B">
        <w:rPr>
          <w:lang w:val="en-US"/>
        </w:rPr>
        <w:t xml:space="preserve"> (either head-end or user filters). Administration and operators have been able to manage successfully this kind of interference;</w:t>
      </w:r>
    </w:p>
    <w:p w:rsidR="00CD2CBB" w:rsidRDefault="00CD2CBB" w:rsidP="00170840">
      <w:pPr>
        <w:rPr>
          <w:lang w:val="en-US"/>
        </w:rPr>
      </w:pPr>
      <w:r w:rsidRPr="00CD2CBB">
        <w:rPr>
          <w:lang w:val="en-US"/>
        </w:rPr>
        <w:t>It should be underlined here that the interferences to DVB-T recepti</w:t>
      </w:r>
      <w:r w:rsidR="00170840">
        <w:rPr>
          <w:lang w:val="en-US"/>
        </w:rPr>
        <w:t>on are mainly caused by LTE 800 </w:t>
      </w:r>
      <w:r w:rsidRPr="00CD2CBB">
        <w:rPr>
          <w:lang w:val="en-US"/>
        </w:rPr>
        <w:t>MHz BS. LTE 700 MHz roll-out</w:t>
      </w:r>
      <w:r>
        <w:rPr>
          <w:lang w:val="en-US"/>
        </w:rPr>
        <w:t xml:space="preserve"> is at its very early stage in France, thus it is difficult to draw any conclusion on its impact on DVB-T reception yet. Indeed, in case of LTE</w:t>
      </w:r>
      <w:r w:rsidRPr="0060093B">
        <w:rPr>
          <w:lang w:val="en-US"/>
        </w:rPr>
        <w:t xml:space="preserve"> 700 MHz</w:t>
      </w:r>
      <w:r>
        <w:rPr>
          <w:lang w:val="en-US"/>
        </w:rPr>
        <w:t xml:space="preserve"> there is</w:t>
      </w:r>
      <w:r w:rsidRPr="0060093B">
        <w:rPr>
          <w:lang w:val="en-US"/>
        </w:rPr>
        <w:t xml:space="preserve"> a greater frequency </w:t>
      </w:r>
      <w:r>
        <w:rPr>
          <w:lang w:val="en-US"/>
        </w:rPr>
        <w:t>offset between the mobile downlink and the highest DVB-T channel</w:t>
      </w:r>
      <w:r w:rsidR="00170840">
        <w:rPr>
          <w:lang w:val="en-US"/>
        </w:rPr>
        <w:t> </w:t>
      </w:r>
      <w:r>
        <w:rPr>
          <w:lang w:val="en-US"/>
        </w:rPr>
        <w:t xml:space="preserve">48. However, according to the experience gained from LTE 800 MHz roll-out, it can be noted that the overloading of active DVB-T reception seems to be independent of the frequency offset </w:t>
      </w:r>
      <w:r w:rsidRPr="0060093B">
        <w:rPr>
          <w:lang w:val="en-US"/>
        </w:rPr>
        <w:t xml:space="preserve">between the mobile downlink and </w:t>
      </w:r>
      <w:r>
        <w:rPr>
          <w:lang w:val="en-US"/>
        </w:rPr>
        <w:t>DVB-T.</w:t>
      </w:r>
    </w:p>
    <w:p w:rsidR="000E09DE" w:rsidRDefault="00CD2CBB" w:rsidP="005701DF">
      <w:pPr>
        <w:rPr>
          <w:lang w:val="en-US"/>
        </w:rPr>
      </w:pPr>
      <w:r>
        <w:rPr>
          <w:lang w:val="en-US"/>
        </w:rPr>
        <w:t>Furthermore, t</w:t>
      </w:r>
      <w:r w:rsidRPr="0060093B">
        <w:rPr>
          <w:lang w:val="en-US"/>
        </w:rPr>
        <w:t xml:space="preserve">he </w:t>
      </w:r>
      <w:r>
        <w:rPr>
          <w:lang w:val="en-US"/>
        </w:rPr>
        <w:t xml:space="preserve">LTE </w:t>
      </w:r>
      <w:r w:rsidRPr="0060093B">
        <w:rPr>
          <w:lang w:val="en-US"/>
        </w:rPr>
        <w:t>800 MHz experience does not provide relevant information about the interference from mobile uplink to DTT reception.</w:t>
      </w:r>
    </w:p>
    <w:p w:rsidR="005701DF" w:rsidRDefault="005701DF" w:rsidP="005701DF">
      <w:pPr>
        <w:rPr>
          <w:lang w:val="en-US"/>
        </w:rPr>
      </w:pPr>
    </w:p>
    <w:p w:rsidR="005701DF" w:rsidRDefault="005701DF" w:rsidP="005701DF">
      <w:pPr>
        <w:rPr>
          <w:lang w:val="en-US"/>
        </w:rPr>
      </w:pPr>
    </w:p>
    <w:p w:rsidR="001C63BC" w:rsidRPr="002A4B34" w:rsidRDefault="001C63BC" w:rsidP="002A4B34">
      <w:pPr>
        <w:pStyle w:val="AnnexNoTitle"/>
        <w:rPr>
          <w:lang w:val="en-US"/>
        </w:rPr>
      </w:pPr>
      <w:r w:rsidRPr="002A4B34">
        <w:rPr>
          <w:lang w:val="en-US"/>
        </w:rPr>
        <w:t xml:space="preserve">Annex 3 </w:t>
      </w:r>
      <w:r w:rsidR="002A4B34" w:rsidRPr="002A4B34">
        <w:rPr>
          <w:lang w:val="en-US"/>
        </w:rPr>
        <w:br/>
      </w:r>
      <w:r w:rsidR="002A4B34">
        <w:rPr>
          <w:lang w:val="en-US"/>
        </w:rPr>
        <w:br/>
      </w:r>
      <w:r w:rsidRPr="002A4B34">
        <w:rPr>
          <w:lang w:val="en-US"/>
        </w:rPr>
        <w:t>Interim national field report on the LTE rollout in the 800 MHz band</w:t>
      </w:r>
      <w:r w:rsidRPr="002A4B34">
        <w:rPr>
          <w:lang w:val="en-US"/>
        </w:rPr>
        <w:br/>
        <w:t>in the Netherlands</w:t>
      </w:r>
      <w:r>
        <w:rPr>
          <w:rStyle w:val="FootnoteReference"/>
        </w:rPr>
        <w:footnoteReference w:id="1"/>
      </w:r>
    </w:p>
    <w:p w:rsidR="001C63BC" w:rsidRPr="002A2440" w:rsidRDefault="001C63BC" w:rsidP="00D7254E">
      <w:pPr>
        <w:pStyle w:val="Headingb"/>
        <w:rPr>
          <w:lang w:val="en-US" w:eastAsia="zh-CN"/>
        </w:rPr>
      </w:pPr>
      <w:r w:rsidRPr="00490767">
        <w:rPr>
          <w:lang w:val="en-US"/>
        </w:rPr>
        <w:t>Introduction</w:t>
      </w:r>
    </w:p>
    <w:p w:rsidR="001C63BC" w:rsidRPr="009F6806" w:rsidRDefault="001C63BC" w:rsidP="00864211">
      <w:pPr>
        <w:keepNext/>
        <w:keepLines/>
        <w:rPr>
          <w:lang w:val="en-US" w:eastAsia="zh-CN"/>
        </w:rPr>
      </w:pPr>
      <w:r w:rsidRPr="009F6806">
        <w:rPr>
          <w:lang w:val="en-US" w:eastAsia="zh-CN"/>
        </w:rPr>
        <w:t>On the 31</w:t>
      </w:r>
      <w:r w:rsidRPr="009F6806">
        <w:rPr>
          <w:vertAlign w:val="superscript"/>
          <w:lang w:val="en-US" w:eastAsia="zh-CN"/>
        </w:rPr>
        <w:t>st</w:t>
      </w:r>
      <w:r w:rsidRPr="009F6806">
        <w:rPr>
          <w:lang w:val="en-US" w:eastAsia="zh-CN"/>
        </w:rPr>
        <w:t xml:space="preserve"> of October 2012 the multiband auction for LTE started in the Netherlands and came to a conclusion on the 14</w:t>
      </w:r>
      <w:r w:rsidRPr="009F6806">
        <w:rPr>
          <w:vertAlign w:val="superscript"/>
          <w:lang w:val="en-US" w:eastAsia="zh-CN"/>
        </w:rPr>
        <w:t>th</w:t>
      </w:r>
      <w:r w:rsidRPr="009F6806">
        <w:rPr>
          <w:lang w:val="en-US" w:eastAsia="zh-CN"/>
        </w:rPr>
        <w:t xml:space="preserve"> of December 2012. As a result licenses to three companies were granted on the 2</w:t>
      </w:r>
      <w:r w:rsidRPr="009F6806">
        <w:rPr>
          <w:vertAlign w:val="superscript"/>
          <w:lang w:val="en-US" w:eastAsia="zh-CN"/>
        </w:rPr>
        <w:t>nd</w:t>
      </w:r>
      <w:r w:rsidRPr="009F6806">
        <w:rPr>
          <w:lang w:val="en-US" w:eastAsia="zh-CN"/>
        </w:rPr>
        <w:t xml:space="preserve"> of January 2013 in the 800 MHz band:</w:t>
      </w:r>
    </w:p>
    <w:p w:rsidR="001C63BC" w:rsidRPr="0060093B" w:rsidRDefault="001C63BC" w:rsidP="00864211">
      <w:pPr>
        <w:pStyle w:val="enumlev1"/>
        <w:keepNext/>
        <w:keepLines/>
        <w:rPr>
          <w:lang w:val="en-US" w:eastAsia="zh-CN"/>
        </w:rPr>
      </w:pPr>
      <w:r w:rsidRPr="0060093B">
        <w:rPr>
          <w:lang w:val="en-US" w:eastAsia="zh-CN"/>
        </w:rPr>
        <w:t>•</w:t>
      </w:r>
      <w:r w:rsidRPr="0060093B">
        <w:rPr>
          <w:lang w:val="en-US" w:eastAsia="zh-CN"/>
        </w:rPr>
        <w:tab/>
        <w:t xml:space="preserve">Tele2 mobiel B.V.: </w:t>
      </w:r>
      <w:r w:rsidRPr="0060093B">
        <w:rPr>
          <w:lang w:val="en-US" w:eastAsia="zh-CN"/>
        </w:rPr>
        <w:tab/>
      </w:r>
      <w:r w:rsidRPr="0060093B">
        <w:rPr>
          <w:lang w:val="en-US" w:eastAsia="zh-CN"/>
        </w:rPr>
        <w:tab/>
        <w:t>791-801 MHz paired with 832-842 MHz</w:t>
      </w:r>
    </w:p>
    <w:p w:rsidR="001C63BC" w:rsidRPr="0060093B" w:rsidRDefault="001C63BC" w:rsidP="001C63BC">
      <w:pPr>
        <w:pStyle w:val="enumlev1"/>
        <w:rPr>
          <w:lang w:val="en-US" w:eastAsia="zh-CN"/>
        </w:rPr>
      </w:pPr>
      <w:r w:rsidRPr="0060093B">
        <w:rPr>
          <w:lang w:val="en-US" w:eastAsia="zh-CN"/>
        </w:rPr>
        <w:t>•</w:t>
      </w:r>
      <w:r w:rsidRPr="0060093B">
        <w:rPr>
          <w:lang w:val="en-US" w:eastAsia="zh-CN"/>
        </w:rPr>
        <w:tab/>
        <w:t xml:space="preserve">Vodafone Libertel B.V.: </w:t>
      </w:r>
      <w:r w:rsidRPr="0060093B">
        <w:rPr>
          <w:lang w:val="en-US" w:eastAsia="zh-CN"/>
        </w:rPr>
        <w:tab/>
        <w:t>801-811 MHz paired with 842-852 MHz</w:t>
      </w:r>
    </w:p>
    <w:p w:rsidR="001C63BC" w:rsidRPr="0060093B" w:rsidRDefault="001C63BC" w:rsidP="001C63BC">
      <w:pPr>
        <w:pStyle w:val="enumlev1"/>
        <w:rPr>
          <w:lang w:val="en-US" w:eastAsia="zh-CN"/>
        </w:rPr>
      </w:pPr>
      <w:r w:rsidRPr="0060093B">
        <w:rPr>
          <w:lang w:val="en-US" w:eastAsia="zh-CN"/>
        </w:rPr>
        <w:t>•</w:t>
      </w:r>
      <w:r w:rsidRPr="0060093B">
        <w:rPr>
          <w:lang w:val="en-US" w:eastAsia="zh-CN"/>
        </w:rPr>
        <w:tab/>
        <w:t xml:space="preserve">KPN B.V.: </w:t>
      </w:r>
      <w:r w:rsidRPr="0060093B">
        <w:rPr>
          <w:lang w:val="en-US" w:eastAsia="zh-CN"/>
        </w:rPr>
        <w:tab/>
      </w:r>
      <w:r w:rsidRPr="0060093B">
        <w:rPr>
          <w:lang w:val="en-US" w:eastAsia="zh-CN"/>
        </w:rPr>
        <w:tab/>
      </w:r>
      <w:r w:rsidRPr="0060093B">
        <w:rPr>
          <w:lang w:val="en-US" w:eastAsia="zh-CN"/>
        </w:rPr>
        <w:tab/>
      </w:r>
      <w:r w:rsidR="005F4ABC">
        <w:rPr>
          <w:lang w:val="en-US" w:eastAsia="zh-CN"/>
        </w:rPr>
        <w:tab/>
      </w:r>
      <w:r w:rsidRPr="0060093B">
        <w:rPr>
          <w:lang w:val="en-US" w:eastAsia="zh-CN"/>
        </w:rPr>
        <w:t>811-821 MHz paired with 852-862 MHz</w:t>
      </w:r>
    </w:p>
    <w:p w:rsidR="001C63BC" w:rsidRPr="0060093B" w:rsidRDefault="001C63BC" w:rsidP="001C63BC">
      <w:pPr>
        <w:rPr>
          <w:lang w:val="en-US" w:eastAsia="zh-CN"/>
        </w:rPr>
      </w:pPr>
      <w:r w:rsidRPr="0060093B">
        <w:rPr>
          <w:lang w:val="en-US" w:eastAsia="zh-CN"/>
        </w:rPr>
        <w:t xml:space="preserve">Since then about 5 200 LTE antennas came in to service in the 800 MHz band. Vodafone Libertel rolled out about 775 LTE antennas in the cities Amsterdam, The Hague, Utrecht and Maastricht. All other antennas were rolled out by KPN mainly in the Randstad area (roughly the triangle between Amsterdam, Rotterdam and Utrecht). </w:t>
      </w:r>
    </w:p>
    <w:p w:rsidR="001C63BC" w:rsidRPr="009F6806" w:rsidRDefault="001C63BC" w:rsidP="00D7254E">
      <w:pPr>
        <w:pStyle w:val="Headingb"/>
        <w:rPr>
          <w:lang w:val="en-US"/>
        </w:rPr>
      </w:pPr>
      <w:r w:rsidRPr="002A2440">
        <w:rPr>
          <w:lang w:val="en-US" w:eastAsia="zh-CN"/>
        </w:rPr>
        <w:lastRenderedPageBreak/>
        <w:t xml:space="preserve">Precautionary </w:t>
      </w:r>
      <w:r w:rsidRPr="00490767">
        <w:rPr>
          <w:lang w:val="en-US"/>
        </w:rPr>
        <w:t>measures</w:t>
      </w:r>
    </w:p>
    <w:p w:rsidR="001C63BC" w:rsidRPr="009F6806" w:rsidRDefault="001C63BC" w:rsidP="00CE1598">
      <w:pPr>
        <w:rPr>
          <w:lang w:val="en-US" w:eastAsia="zh-CN"/>
        </w:rPr>
      </w:pPr>
      <w:r w:rsidRPr="009F6806">
        <w:rPr>
          <w:lang w:val="en-US" w:eastAsia="zh-CN"/>
        </w:rPr>
        <w:t>In order to prevent interference with existing users of the radio spectrum, especially the DVB-T usage below 790 MHz, only general precautionary measures were taken. In the granted licenses the follow wording was added (for convenience translated from Dutch):</w:t>
      </w:r>
    </w:p>
    <w:p w:rsidR="001C63BC" w:rsidRPr="0060093B" w:rsidRDefault="001C63BC" w:rsidP="001C63BC">
      <w:pPr>
        <w:pStyle w:val="enumlev1"/>
        <w:rPr>
          <w:lang w:val="en-US" w:eastAsia="zh-CN"/>
        </w:rPr>
      </w:pPr>
      <w:r w:rsidRPr="0060093B">
        <w:rPr>
          <w:lang w:val="en-US" w:eastAsia="zh-CN"/>
        </w:rPr>
        <w:t>•</w:t>
      </w:r>
      <w:r w:rsidRPr="0060093B">
        <w:rPr>
          <w:lang w:val="en-US" w:eastAsia="zh-CN"/>
        </w:rPr>
        <w:tab/>
        <w:t>“The usage of frequencies is such that adequate measures are taken to protect system</w:t>
      </w:r>
      <w:r w:rsidR="00CE1598">
        <w:rPr>
          <w:lang w:val="en-US" w:eastAsia="zh-CN"/>
        </w:rPr>
        <w:t>s in adjacent frequency bands.”</w:t>
      </w:r>
    </w:p>
    <w:p w:rsidR="001C63BC" w:rsidRPr="0060093B" w:rsidRDefault="001C63BC" w:rsidP="001C63BC">
      <w:pPr>
        <w:pStyle w:val="enumlev1"/>
        <w:rPr>
          <w:lang w:val="en-US" w:eastAsia="zh-CN"/>
        </w:rPr>
      </w:pPr>
      <w:r w:rsidRPr="0060093B">
        <w:rPr>
          <w:lang w:val="en-US" w:eastAsia="zh-CN"/>
        </w:rPr>
        <w:t>•</w:t>
      </w:r>
      <w:r w:rsidRPr="0060093B">
        <w:rPr>
          <w:lang w:val="en-US" w:eastAsia="zh-CN"/>
        </w:rPr>
        <w:tab/>
        <w:t xml:space="preserve">“The licensee causes no unacceptable barriers with the desired signal of radio transmitters into radio transmitters and receivers of electronic or electric facilities” </w:t>
      </w:r>
    </w:p>
    <w:p w:rsidR="001C63BC" w:rsidRPr="009F6806" w:rsidRDefault="001C63BC" w:rsidP="008F126D">
      <w:pPr>
        <w:rPr>
          <w:lang w:val="en-US" w:eastAsia="zh-CN"/>
        </w:rPr>
      </w:pPr>
      <w:r w:rsidRPr="009F6806">
        <w:rPr>
          <w:lang w:val="en-US" w:eastAsia="zh-CN"/>
        </w:rPr>
        <w:t xml:space="preserve">In the annex of the license additional technical requirements were defined for in band (64 dBm EIRP) and out of band emissions. For emissions in the band below 790 MHz additional requirements were defined: 0 dBm/8 MHz or less and if the base station causes no interference to the primary service below 790 MHz this level may be increased to a maximum of 22 dBm/8 MHz. </w:t>
      </w:r>
    </w:p>
    <w:p w:rsidR="001C63BC" w:rsidRPr="00490767" w:rsidRDefault="001C63BC" w:rsidP="00D7254E">
      <w:pPr>
        <w:pStyle w:val="Headingb"/>
        <w:rPr>
          <w:lang w:val="en-US"/>
        </w:rPr>
      </w:pPr>
      <w:r w:rsidRPr="002A2440">
        <w:rPr>
          <w:lang w:val="en-US" w:eastAsia="zh-CN"/>
        </w:rPr>
        <w:t xml:space="preserve">Network </w:t>
      </w:r>
      <w:r w:rsidRPr="009F6806">
        <w:rPr>
          <w:lang w:val="en-US"/>
        </w:rPr>
        <w:t>rollout</w:t>
      </w:r>
    </w:p>
    <w:p w:rsidR="001C63BC" w:rsidRDefault="001C63BC" w:rsidP="007D1CD5">
      <w:pPr>
        <w:rPr>
          <w:lang w:val="en-US" w:eastAsia="zh-CN"/>
        </w:rPr>
      </w:pPr>
      <w:r w:rsidRPr="0060093B">
        <w:rPr>
          <w:lang w:val="en-US" w:eastAsia="zh-CN"/>
        </w:rPr>
        <w:t>The picture below shows the LTE network rollout in the 800 MHz band on the 19</w:t>
      </w:r>
      <w:r w:rsidRPr="0060093B">
        <w:rPr>
          <w:vertAlign w:val="superscript"/>
          <w:lang w:val="en-US" w:eastAsia="zh-CN"/>
        </w:rPr>
        <w:t>th</w:t>
      </w:r>
      <w:r w:rsidRPr="0060093B">
        <w:rPr>
          <w:lang w:val="en-US" w:eastAsia="zh-CN"/>
        </w:rPr>
        <w:t xml:space="preserve"> of November</w:t>
      </w:r>
      <w:r w:rsidR="007D1CD5">
        <w:rPr>
          <w:lang w:val="en-US" w:eastAsia="zh-CN"/>
        </w:rPr>
        <w:t> </w:t>
      </w:r>
      <w:r w:rsidRPr="0060093B">
        <w:rPr>
          <w:lang w:val="en-US" w:eastAsia="zh-CN"/>
        </w:rPr>
        <w:t>2013. At that time only KPN and Vodafone Libertel had started to use the 800 MHz band. Vodafone Libertel rolled out about 775 LTE antennas in the cities Amsterdam, The Hague, Utrecht and Maastricht. All other antennas were rolled out by KPN mainly in the Randstad area.</w:t>
      </w:r>
    </w:p>
    <w:p w:rsidR="007D1CD5" w:rsidRPr="0060093B" w:rsidRDefault="007D1CD5" w:rsidP="007D1CD5">
      <w:pPr>
        <w:rPr>
          <w:lang w:val="en-US" w:eastAsia="zh-CN"/>
        </w:rPr>
      </w:pPr>
    </w:p>
    <w:p w:rsidR="001C63BC" w:rsidRDefault="001C63BC" w:rsidP="002A2440">
      <w:pPr>
        <w:pStyle w:val="Figure"/>
        <w:rPr>
          <w:lang w:eastAsia="zh-CN"/>
        </w:rPr>
      </w:pPr>
      <w:r>
        <w:rPr>
          <w:noProof/>
          <w:lang w:val="en-US" w:eastAsia="zh-CN"/>
        </w:rPr>
        <w:drawing>
          <wp:inline distT="0" distB="0" distL="0" distR="0" wp14:anchorId="6F990465" wp14:editId="5C4A96AB">
            <wp:extent cx="5759450" cy="2618740"/>
            <wp:effectExtent l="0" t="0" r="0" b="0"/>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2618740"/>
                    </a:xfrm>
                    <a:prstGeom prst="rect">
                      <a:avLst/>
                    </a:prstGeom>
                    <a:noFill/>
                    <a:ln>
                      <a:noFill/>
                    </a:ln>
                  </pic:spPr>
                </pic:pic>
              </a:graphicData>
            </a:graphic>
          </wp:inline>
        </w:drawing>
      </w:r>
    </w:p>
    <w:p w:rsidR="001C63BC" w:rsidRDefault="001C63BC" w:rsidP="001C63BC">
      <w:pPr>
        <w:overflowPunct/>
        <w:autoSpaceDE/>
        <w:autoSpaceDN/>
        <w:adjustRightInd/>
        <w:spacing w:before="0"/>
        <w:textAlignment w:val="auto"/>
        <w:rPr>
          <w:lang w:eastAsia="zh-CN"/>
        </w:rPr>
      </w:pPr>
    </w:p>
    <w:p w:rsidR="001C63BC" w:rsidRPr="0060093B" w:rsidRDefault="001C63BC" w:rsidP="00D7254E">
      <w:pPr>
        <w:pStyle w:val="Headingb"/>
        <w:rPr>
          <w:lang w:val="en-US" w:eastAsia="zh-CN"/>
        </w:rPr>
      </w:pPr>
      <w:r w:rsidRPr="0060093B">
        <w:rPr>
          <w:lang w:val="en-US" w:eastAsia="zh-CN"/>
        </w:rPr>
        <w:t xml:space="preserve">Interference </w:t>
      </w:r>
      <w:r w:rsidRPr="00490767">
        <w:rPr>
          <w:lang w:val="en-US"/>
        </w:rPr>
        <w:t>cases</w:t>
      </w:r>
    </w:p>
    <w:p w:rsidR="001C63BC" w:rsidRPr="0060093B" w:rsidRDefault="001C63BC" w:rsidP="001C63BC">
      <w:pPr>
        <w:rPr>
          <w:lang w:val="en-US" w:eastAsia="zh-CN"/>
        </w:rPr>
      </w:pPr>
      <w:r w:rsidRPr="0060093B">
        <w:rPr>
          <w:lang w:val="en-US" w:eastAsia="zh-CN"/>
        </w:rPr>
        <w:t>In the Netherlands DVB-T is operated by Digitenne which is a subsidiary of KPN. This eases the coordination of the LTE rollout in the 800 MHz band with DVB-T usage for KPN if necessary. However coordination within KPN with respect to the placing of LTE antennas did not take place. Digitenne reported no interference even when specifically asked. Nearly all DVB-T receivers put in to service by KPN are able to receive up to 862 MHz.</w:t>
      </w:r>
    </w:p>
    <w:p w:rsidR="001C63BC" w:rsidRPr="0060093B" w:rsidRDefault="001C63BC" w:rsidP="001C63BC">
      <w:pPr>
        <w:rPr>
          <w:lang w:val="en-US" w:eastAsia="zh-CN"/>
        </w:rPr>
      </w:pPr>
      <w:r w:rsidRPr="0060093B">
        <w:rPr>
          <w:lang w:val="en-US" w:eastAsia="zh-CN"/>
        </w:rPr>
        <w:t>As of the 19</w:t>
      </w:r>
      <w:r w:rsidRPr="0060093B">
        <w:rPr>
          <w:vertAlign w:val="superscript"/>
          <w:lang w:val="en-US" w:eastAsia="zh-CN"/>
        </w:rPr>
        <w:t>th</w:t>
      </w:r>
      <w:r w:rsidRPr="0060093B">
        <w:rPr>
          <w:lang w:val="en-US" w:eastAsia="zh-CN"/>
        </w:rPr>
        <w:t xml:space="preserve"> of November 2013 no interference cases were reported to the Radiocommunications Agency. Since Tele2 did not rollout any LTE antennas in the 800 MHz the most stringent sharing conditions between LTE and DVB-T still have to come.</w:t>
      </w:r>
    </w:p>
    <w:p w:rsidR="001C63BC" w:rsidRPr="0060093B" w:rsidRDefault="001C63BC" w:rsidP="007D1CD5">
      <w:pPr>
        <w:rPr>
          <w:lang w:val="en-US" w:eastAsia="zh-CN"/>
        </w:rPr>
      </w:pPr>
    </w:p>
    <w:p w:rsidR="001C63BC" w:rsidRPr="00B04ACB" w:rsidRDefault="001C63BC" w:rsidP="007D1CD5">
      <w:pPr>
        <w:rPr>
          <w:lang w:val="en-US"/>
        </w:rPr>
      </w:pPr>
    </w:p>
    <w:p w:rsidR="000E09DE" w:rsidRPr="000E09DE" w:rsidRDefault="000E09DE" w:rsidP="007D1CD5">
      <w:pPr>
        <w:pStyle w:val="AnnexNoTitle"/>
        <w:rPr>
          <w:rFonts w:asciiTheme="majorBidi" w:hAnsiTheme="majorBidi" w:cstheme="majorBidi"/>
          <w:lang w:val="en-US"/>
        </w:rPr>
      </w:pPr>
      <w:r>
        <w:rPr>
          <w:lang w:val="en-US" w:eastAsia="zh-CN"/>
        </w:rPr>
        <w:lastRenderedPageBreak/>
        <w:t>Annex 4</w:t>
      </w:r>
      <w:r>
        <w:rPr>
          <w:lang w:val="en-US" w:eastAsia="zh-CN"/>
        </w:rPr>
        <w:br/>
      </w:r>
      <w:r>
        <w:rPr>
          <w:lang w:val="en-US" w:eastAsia="zh-CN"/>
        </w:rPr>
        <w:br/>
        <w:t>Field report on interference to 800 MHz band IMT base stations in Portugal from DTTB transmissions in Spain</w:t>
      </w:r>
    </w:p>
    <w:p w:rsidR="000E09DE" w:rsidRPr="000E09DE" w:rsidRDefault="000E09DE" w:rsidP="000E09DE">
      <w:pPr>
        <w:pStyle w:val="Normalaftertitle"/>
        <w:rPr>
          <w:lang w:val="en-US"/>
        </w:rPr>
      </w:pPr>
      <w:r w:rsidRPr="000E09DE">
        <w:rPr>
          <w:lang w:val="en-US"/>
        </w:rPr>
        <w:t>During the process of freeing up the 800 MHz band in Spain there were interferences to several Base Stations operating LTE on the 800 MHz band in Portugal. The interferences were caused by the Spanish DTTB emissions in the same band.</w:t>
      </w:r>
    </w:p>
    <w:p w:rsidR="000E09DE" w:rsidRPr="000E09DE" w:rsidRDefault="000E09DE" w:rsidP="009269EE">
      <w:pPr>
        <w:rPr>
          <w:noProof/>
          <w:szCs w:val="24"/>
          <w:lang w:val="en-US" w:eastAsia="en-GB"/>
        </w:rPr>
      </w:pPr>
      <w:r w:rsidRPr="000E09DE">
        <w:rPr>
          <w:lang w:val="en-US"/>
        </w:rPr>
        <w:t>In Spain, among others, 3 nationwide SFN were in operation on channels 67-68-69, on the same frequency range as the 800 MHz LTE uplink, as shown in Fig</w:t>
      </w:r>
      <w:r w:rsidR="009269EE">
        <w:rPr>
          <w:lang w:val="en-US"/>
        </w:rPr>
        <w:t>.</w:t>
      </w:r>
      <w:r w:rsidRPr="000E09DE">
        <w:rPr>
          <w:lang w:val="en-US"/>
        </w:rPr>
        <w:t xml:space="preserve"> A4.1.</w:t>
      </w:r>
    </w:p>
    <w:p w:rsidR="000E09DE" w:rsidRPr="000E09DE" w:rsidRDefault="000E09DE" w:rsidP="000E09DE">
      <w:pPr>
        <w:pStyle w:val="FigureNo"/>
        <w:rPr>
          <w:noProof/>
          <w:lang w:val="en-US" w:eastAsia="en-GB"/>
        </w:rPr>
      </w:pPr>
      <w:r w:rsidRPr="000E09DE">
        <w:rPr>
          <w:noProof/>
          <w:lang w:val="en-US" w:eastAsia="en-GB"/>
        </w:rPr>
        <w:t>Figure A4.1</w:t>
      </w:r>
    </w:p>
    <w:p w:rsidR="000E09DE" w:rsidRPr="000E09DE" w:rsidRDefault="000E09DE" w:rsidP="000E09DE">
      <w:pPr>
        <w:pStyle w:val="Figuretitle"/>
        <w:rPr>
          <w:noProof/>
          <w:lang w:val="en-US"/>
        </w:rPr>
      </w:pPr>
      <w:r w:rsidRPr="000E09DE">
        <w:rPr>
          <w:noProof/>
          <w:lang w:val="en-US"/>
        </w:rPr>
        <w:t>Overlap between DTTB channels 67, 68 &amp; 69 and 800 MHz LTE</w:t>
      </w:r>
    </w:p>
    <w:p w:rsidR="000E09DE" w:rsidRPr="00856055" w:rsidRDefault="000E09DE" w:rsidP="000E09DE">
      <w:pPr>
        <w:pStyle w:val="Figure"/>
      </w:pPr>
      <w:r w:rsidRPr="00856055">
        <w:rPr>
          <w:noProof/>
          <w:lang w:val="en-US" w:eastAsia="zh-CN"/>
        </w:rPr>
        <w:drawing>
          <wp:inline distT="0" distB="0" distL="0" distR="0" wp14:anchorId="690F44B3" wp14:editId="09CB7BEB">
            <wp:extent cx="5400040" cy="1835785"/>
            <wp:effectExtent l="57150" t="57150" r="48260" b="50165"/>
            <wp:docPr id="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1835785"/>
                    </a:xfrm>
                    <a:prstGeom prst="rect">
                      <a:avLst/>
                    </a:prstGeom>
                    <a:solidFill>
                      <a:srgbClr val="FFFFFF">
                        <a:shade val="85000"/>
                      </a:srgbClr>
                    </a:solidFill>
                    <a:ln w="101600" cap="sq">
                      <a:noFill/>
                      <a:miter lim="800000"/>
                    </a:ln>
                    <a:effectLst/>
                    <a:scene3d>
                      <a:camera prst="perspectiveRelaxed">
                        <a:rot lat="0" lon="0" rev="0"/>
                      </a:camera>
                      <a:lightRig rig="twoPt" dir="t">
                        <a:rot lat="0" lon="0" rev="7200000"/>
                      </a:lightRig>
                    </a:scene3d>
                    <a:sp3d prstMaterial="matte">
                      <a:bevelT w="22860" h="12700"/>
                      <a:contourClr>
                        <a:srgbClr val="FFFFFF"/>
                      </a:contourClr>
                    </a:sp3d>
                  </pic:spPr>
                </pic:pic>
              </a:graphicData>
            </a:graphic>
          </wp:inline>
        </w:drawing>
      </w:r>
    </w:p>
    <w:p w:rsidR="000E09DE" w:rsidRPr="000E09DE" w:rsidRDefault="000E09DE" w:rsidP="000E09DE">
      <w:pPr>
        <w:rPr>
          <w:lang w:val="en-US"/>
        </w:rPr>
      </w:pPr>
      <w:r w:rsidRPr="000E09DE">
        <w:rPr>
          <w:lang w:val="en-US"/>
        </w:rPr>
        <w:t>Although Spain fully cleared the 800 MHz band on March the 31</w:t>
      </w:r>
      <w:r w:rsidRPr="000E09DE">
        <w:rPr>
          <w:vertAlign w:val="superscript"/>
          <w:lang w:val="en-US"/>
        </w:rPr>
        <w:t>st</w:t>
      </w:r>
      <w:r w:rsidRPr="000E09DE">
        <w:rPr>
          <w:lang w:val="en-US"/>
        </w:rPr>
        <w:t xml:space="preserve"> 2015, in order to avoid or minimise the interferences on the cross border zones, the Spanish administration has asked the DTTB network operator for an early change of frequencies in several border DTTB sites. Figure A4.2 shows the DTT transmitters in Spain impacting LTE800 in Portugal and which were switched off. Calculations showing the extent of the interference from Spain to Portugal are provided in Report ITU-R BT.2247.</w:t>
      </w:r>
    </w:p>
    <w:p w:rsidR="000E09DE" w:rsidRPr="000E09DE" w:rsidRDefault="000E09DE" w:rsidP="000E09DE">
      <w:pPr>
        <w:pStyle w:val="FigureNo"/>
        <w:rPr>
          <w:b/>
          <w:lang w:val="en-US"/>
        </w:rPr>
      </w:pPr>
      <w:r w:rsidRPr="000E09DE">
        <w:rPr>
          <w:lang w:val="en-US"/>
        </w:rPr>
        <w:lastRenderedPageBreak/>
        <w:t>Figure A4.2</w:t>
      </w:r>
    </w:p>
    <w:p w:rsidR="000E09DE" w:rsidRPr="000E09DE" w:rsidRDefault="000E09DE" w:rsidP="000E09DE">
      <w:pPr>
        <w:pStyle w:val="Figuretitle"/>
        <w:rPr>
          <w:lang w:val="en-US"/>
        </w:rPr>
      </w:pPr>
      <w:r w:rsidRPr="000E09DE">
        <w:rPr>
          <w:lang w:val="en-US"/>
        </w:rPr>
        <w:t>DTTB transmitters in Spain impacting LTE800 in Portugal</w:t>
      </w:r>
    </w:p>
    <w:p w:rsidR="00C04ACC" w:rsidRDefault="00C04ACC" w:rsidP="000E09DE">
      <w:pPr>
        <w:spacing w:before="0"/>
        <w:jc w:val="center"/>
      </w:pPr>
      <w:r>
        <w:rPr>
          <w:noProof/>
          <w:lang w:val="en-US" w:eastAsia="zh-CN"/>
        </w:rPr>
        <w:drawing>
          <wp:inline distT="0" distB="0" distL="0" distR="0" wp14:anchorId="6CBD617C" wp14:editId="3851BE05">
            <wp:extent cx="3670086" cy="7807569"/>
            <wp:effectExtent l="0" t="0" r="698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es.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70941" cy="7809388"/>
                    </a:xfrm>
                    <a:prstGeom prst="rect">
                      <a:avLst/>
                    </a:prstGeom>
                  </pic:spPr>
                </pic:pic>
              </a:graphicData>
            </a:graphic>
          </wp:inline>
        </w:drawing>
      </w:r>
    </w:p>
    <w:p w:rsidR="00C04ACC" w:rsidRDefault="00C04ACC" w:rsidP="00C04ACC">
      <w:pPr>
        <w:spacing w:before="240"/>
        <w:jc w:val="center"/>
      </w:pPr>
    </w:p>
    <w:p w:rsidR="005701DF" w:rsidRDefault="005701DF" w:rsidP="005701DF">
      <w:pPr>
        <w:pStyle w:val="Line"/>
      </w:pPr>
    </w:p>
    <w:sectPr w:rsidR="005701DF" w:rsidSect="007565CC">
      <w:headerReference w:type="even" r:id="rId18"/>
      <w:headerReference w:type="default" r:id="rId19"/>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3EE2" w:rsidRDefault="00EA3EE2">
      <w:r>
        <w:separator/>
      </w:r>
    </w:p>
  </w:endnote>
  <w:endnote w:type="continuationSeparator" w:id="0">
    <w:p w:rsidR="00EA3EE2" w:rsidRDefault="00EA3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panose1 w:val="020208030705050203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3EE2" w:rsidRDefault="00EA3EE2">
      <w:r>
        <w:separator/>
      </w:r>
    </w:p>
  </w:footnote>
  <w:footnote w:type="continuationSeparator" w:id="0">
    <w:p w:rsidR="00EA3EE2" w:rsidRDefault="00EA3EE2">
      <w:r>
        <w:continuationSeparator/>
      </w:r>
    </w:p>
  </w:footnote>
  <w:footnote w:id="1">
    <w:p w:rsidR="001C63BC" w:rsidRPr="000226C9" w:rsidRDefault="001C63BC" w:rsidP="001C63BC">
      <w:pPr>
        <w:pStyle w:val="FootnoteText"/>
        <w:ind w:left="227" w:hanging="227"/>
        <w:rPr>
          <w:lang w:val="en-US"/>
        </w:rPr>
      </w:pPr>
      <w:r>
        <w:rPr>
          <w:rStyle w:val="FootnoteReference"/>
        </w:rPr>
        <w:footnoteRef/>
      </w:r>
      <w:r w:rsidRPr="0060093B">
        <w:rPr>
          <w:lang w:val="en-US"/>
        </w:rPr>
        <w:t xml:space="preserve"> </w:t>
      </w:r>
      <w:r>
        <w:rPr>
          <w:lang w:val="en-US"/>
        </w:rPr>
        <w:tab/>
        <w:t>T</w:t>
      </w:r>
      <w:r w:rsidRPr="00424D2E">
        <w:rPr>
          <w:lang w:val="en-US"/>
        </w:rPr>
        <w:t>his interim report reflects the national situation in the Netherlands and will be updated when appropriate</w:t>
      </w:r>
      <w:r>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2604" w:rsidRPr="00CB2BE1" w:rsidRDefault="00F44B7F" w:rsidP="00292604">
    <w:pPr>
      <w:pStyle w:val="Header"/>
      <w:jc w:val="both"/>
      <w:rPr>
        <w:lang w:val="en-US"/>
      </w:rPr>
    </w:pPr>
    <w:r w:rsidRPr="00292604">
      <w:rPr>
        <w:b/>
        <w:bCs/>
      </w:rPr>
      <w:fldChar w:fldCharType="begin"/>
    </w:r>
    <w:r w:rsidR="00292604" w:rsidRPr="00292604">
      <w:rPr>
        <w:b/>
        <w:bCs/>
        <w:lang w:val="en-US"/>
      </w:rPr>
      <w:instrText xml:space="preserve"> PAGE </w:instrText>
    </w:r>
    <w:r w:rsidRPr="00292604">
      <w:rPr>
        <w:b/>
        <w:bCs/>
      </w:rPr>
      <w:fldChar w:fldCharType="separate"/>
    </w:r>
    <w:r w:rsidR="00D1013F">
      <w:rPr>
        <w:b/>
        <w:bCs/>
        <w:noProof/>
        <w:lang w:val="en-US"/>
      </w:rPr>
      <w:t>ii</w:t>
    </w:r>
    <w:r w:rsidRPr="00292604">
      <w:fldChar w:fldCharType="end"/>
    </w:r>
    <w:r w:rsidR="00292604" w:rsidRPr="00292604">
      <w:rPr>
        <w:lang w:val="en-US"/>
      </w:rPr>
      <w:tab/>
    </w:r>
    <w:r w:rsidR="00862B50">
      <w:fldChar w:fldCharType="begin"/>
    </w:r>
    <w:r w:rsidR="00862B50" w:rsidRPr="00CB2BE1">
      <w:rPr>
        <w:lang w:val="en-US"/>
      </w:rPr>
      <w:instrText xml:space="preserve"> DOCPROPERTY "Header 2" \* MERGEFORMAT </w:instrText>
    </w:r>
    <w:r w:rsidR="00862B50">
      <w:fldChar w:fldCharType="separate"/>
    </w:r>
    <w:r w:rsidR="00D1013F" w:rsidRPr="00D1013F">
      <w:rPr>
        <w:b/>
        <w:bCs/>
        <w:lang w:val="en-US"/>
      </w:rPr>
      <w:t xml:space="preserve">Rep. </w:t>
    </w:r>
    <w:r w:rsidR="00862B50">
      <w:rPr>
        <w:b/>
        <w:bCs/>
        <w:lang w:val="en-US"/>
      </w:rPr>
      <w:fldChar w:fldCharType="end"/>
    </w:r>
    <w:r w:rsidR="00292604" w:rsidRPr="00CB2BE1">
      <w:rPr>
        <w:b/>
        <w:bCs/>
        <w:lang w:val="en-US"/>
      </w:rPr>
      <w:t xml:space="preserve"> </w:t>
    </w:r>
    <w:r w:rsidRPr="00292604">
      <w:rPr>
        <w:b/>
        <w:bCs/>
      </w:rPr>
      <w:fldChar w:fldCharType="begin"/>
    </w:r>
    <w:r w:rsidR="00292604" w:rsidRPr="00292604">
      <w:rPr>
        <w:b/>
        <w:bCs/>
        <w:lang w:val="en-US"/>
      </w:rPr>
      <w:instrText>styleref href</w:instrText>
    </w:r>
    <w:r w:rsidRPr="00292604">
      <w:rPr>
        <w:b/>
        <w:bCs/>
      </w:rPr>
      <w:fldChar w:fldCharType="separate"/>
    </w:r>
    <w:r w:rsidR="00D1013F">
      <w:rPr>
        <w:b/>
        <w:bCs/>
        <w:noProof/>
      </w:rPr>
      <w:t>ITU-R  BT.2301-2</w:t>
    </w:r>
    <w:r w:rsidRPr="00292604">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2C9" w:rsidRDefault="001E576F" w:rsidP="00B033C8">
    <w:pPr>
      <w:pStyle w:val="Header"/>
      <w:ind w:right="360" w:firstLine="360"/>
    </w:pPr>
    <w:r>
      <w:rPr>
        <w:noProof/>
        <w:lang w:val="en-US" w:eastAsia="zh-CN"/>
      </w:rPr>
      <w:drawing>
        <wp:anchor distT="0" distB="0" distL="114300" distR="114300" simplePos="0" relativeHeight="251657728" behindDoc="1" locked="0" layoutInCell="1" allowOverlap="1" wp14:anchorId="190AA633" wp14:editId="4896BF07">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2C9" w:rsidRDefault="00F44B7F" w:rsidP="00F43F15">
    <w:pPr>
      <w:pStyle w:val="Header"/>
      <w:jc w:val="left"/>
      <w:rPr>
        <w:lang w:val="en-US"/>
      </w:rPr>
    </w:pPr>
    <w:r>
      <w:rPr>
        <w:rStyle w:val="PageNumber"/>
        <w:b/>
        <w:bCs/>
      </w:rPr>
      <w:fldChar w:fldCharType="begin"/>
    </w:r>
    <w:r w:rsidR="002B32C9">
      <w:rPr>
        <w:rStyle w:val="PageNumber"/>
        <w:b/>
        <w:bCs/>
        <w:lang w:val="en-US"/>
      </w:rPr>
      <w:instrText xml:space="preserve"> PAGE </w:instrText>
    </w:r>
    <w:r>
      <w:rPr>
        <w:rStyle w:val="PageNumber"/>
        <w:b/>
        <w:bCs/>
      </w:rPr>
      <w:fldChar w:fldCharType="separate"/>
    </w:r>
    <w:r w:rsidR="00D1013F">
      <w:rPr>
        <w:rStyle w:val="PageNumber"/>
        <w:b/>
        <w:bCs/>
        <w:noProof/>
        <w:lang w:val="en-US"/>
      </w:rPr>
      <w:t>12</w:t>
    </w:r>
    <w:r>
      <w:rPr>
        <w:rStyle w:val="PageNumber"/>
        <w:b/>
        <w:bCs/>
      </w:rPr>
      <w:fldChar w:fldCharType="end"/>
    </w:r>
    <w:r w:rsidR="002B32C9">
      <w:rPr>
        <w:lang w:val="en-US"/>
      </w:rPr>
      <w:tab/>
    </w:r>
    <w:fldSimple w:instr=" DOCPROPERTY &quot;Header 2&quot; \* MERGEFORMAT ">
      <w:r w:rsidR="00D1013F" w:rsidRPr="00D1013F">
        <w:rPr>
          <w:b/>
          <w:bCs/>
          <w:lang w:val="en-US"/>
        </w:rPr>
        <w:t xml:space="preserve">Rep. </w:t>
      </w:r>
    </w:fldSimple>
    <w:r w:rsidR="00F43F15" w:rsidRPr="00292604">
      <w:rPr>
        <w:b/>
        <w:bCs/>
      </w:rPr>
      <w:t xml:space="preserve"> </w:t>
    </w:r>
    <w:r w:rsidR="00F43F15" w:rsidRPr="00292604">
      <w:rPr>
        <w:b/>
        <w:bCs/>
      </w:rPr>
      <w:fldChar w:fldCharType="begin"/>
    </w:r>
    <w:r w:rsidR="00F43F15" w:rsidRPr="00292604">
      <w:rPr>
        <w:b/>
        <w:bCs/>
        <w:lang w:val="en-US"/>
      </w:rPr>
      <w:instrText>styleref href</w:instrText>
    </w:r>
    <w:r w:rsidR="00F43F15" w:rsidRPr="00292604">
      <w:rPr>
        <w:b/>
        <w:bCs/>
      </w:rPr>
      <w:fldChar w:fldCharType="separate"/>
    </w:r>
    <w:r w:rsidR="00D1013F">
      <w:rPr>
        <w:b/>
        <w:bCs/>
        <w:noProof/>
      </w:rPr>
      <w:t>ITU-R  BT.2301-2</w:t>
    </w:r>
    <w:r w:rsidR="00F43F15" w:rsidRPr="00292604">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2604" w:rsidRPr="00292604" w:rsidRDefault="00292604" w:rsidP="00292604">
    <w:pPr>
      <w:pStyle w:val="Header"/>
    </w:pPr>
    <w:r w:rsidRPr="00292604">
      <w:rPr>
        <w:lang w:val="en-US"/>
      </w:rPr>
      <w:tab/>
    </w:r>
    <w:r w:rsidR="00D1013F">
      <w:fldChar w:fldCharType="begin"/>
    </w:r>
    <w:r w:rsidR="00D1013F">
      <w:instrText xml:space="preserve"> DOCPROPERTY "Header 2" \* MERGEFORMAT </w:instrText>
    </w:r>
    <w:r w:rsidR="00D1013F">
      <w:fldChar w:fldCharType="separate"/>
    </w:r>
    <w:r w:rsidR="00D1013F" w:rsidRPr="00D1013F">
      <w:rPr>
        <w:b/>
        <w:bCs/>
        <w:lang w:val="en-US"/>
      </w:rPr>
      <w:t xml:space="preserve">Rep. </w:t>
    </w:r>
    <w:r w:rsidR="00D1013F">
      <w:rPr>
        <w:b/>
        <w:bCs/>
        <w:lang w:val="en-US"/>
      </w:rPr>
      <w:fldChar w:fldCharType="end"/>
    </w:r>
    <w:r w:rsidRPr="00292604">
      <w:rPr>
        <w:b/>
        <w:bCs/>
      </w:rPr>
      <w:t xml:space="preserve"> </w:t>
    </w:r>
    <w:r w:rsidR="00F44B7F" w:rsidRPr="00292604">
      <w:rPr>
        <w:b/>
        <w:bCs/>
      </w:rPr>
      <w:fldChar w:fldCharType="begin"/>
    </w:r>
    <w:r w:rsidRPr="00292604">
      <w:rPr>
        <w:b/>
        <w:bCs/>
        <w:lang w:val="en-US"/>
      </w:rPr>
      <w:instrText>styleref href</w:instrText>
    </w:r>
    <w:r w:rsidR="00F44B7F" w:rsidRPr="00292604">
      <w:rPr>
        <w:b/>
        <w:bCs/>
      </w:rPr>
      <w:fldChar w:fldCharType="separate"/>
    </w:r>
    <w:r w:rsidR="00D1013F">
      <w:rPr>
        <w:b/>
        <w:bCs/>
        <w:noProof/>
      </w:rPr>
      <w:t>ITU-R  BT.2301-2</w:t>
    </w:r>
    <w:r w:rsidR="00F44B7F" w:rsidRPr="00292604">
      <w:fldChar w:fldCharType="end"/>
    </w:r>
    <w:r w:rsidRPr="00292604">
      <w:tab/>
    </w:r>
    <w:r w:rsidR="00F44B7F" w:rsidRPr="00292604">
      <w:rPr>
        <w:b/>
        <w:bCs/>
      </w:rPr>
      <w:fldChar w:fldCharType="begin"/>
    </w:r>
    <w:r w:rsidRPr="00292604">
      <w:rPr>
        <w:b/>
        <w:bCs/>
        <w:lang w:val="en-US"/>
      </w:rPr>
      <w:instrText xml:space="preserve"> PAGE </w:instrText>
    </w:r>
    <w:r w:rsidR="00F44B7F" w:rsidRPr="00292604">
      <w:rPr>
        <w:b/>
        <w:bCs/>
      </w:rPr>
      <w:fldChar w:fldCharType="separate"/>
    </w:r>
    <w:r w:rsidR="00D1013F">
      <w:rPr>
        <w:b/>
        <w:bCs/>
        <w:noProof/>
        <w:lang w:val="en-US"/>
      </w:rPr>
      <w:t>11</w:t>
    </w:r>
    <w:r w:rsidR="00F44B7F" w:rsidRPr="00292604">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15:restartNumberingAfterBreak="0">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15:restartNumberingAfterBreak="0">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15:restartNumberingAfterBreak="0">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15:restartNumberingAfterBreak="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15:restartNumberingAfterBreak="0">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15:restartNumberingAfterBreak="0">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15:restartNumberingAfterBreak="0">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15:restartNumberingAfterBreak="0">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15:restartNumberingAfterBreak="0">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0" w15:restartNumberingAfterBreak="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2" w15:restartNumberingAfterBreak="0">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 w15:restartNumberingAfterBreak="0">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4" w15:restartNumberingAfterBreak="0">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5" w15:restartNumberingAfterBreak="0">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3"/>
  </w:num>
  <w:num w:numId="9">
    <w:abstractNumId w:val="8"/>
  </w:num>
  <w:num w:numId="10">
    <w:abstractNumId w:val="35"/>
  </w:num>
  <w:num w:numId="11">
    <w:abstractNumId w:val="22"/>
  </w:num>
  <w:num w:numId="12">
    <w:abstractNumId w:val="21"/>
  </w:num>
  <w:num w:numId="13">
    <w:abstractNumId w:val="36"/>
  </w:num>
  <w:num w:numId="14">
    <w:abstractNumId w:val="38"/>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29"/>
  </w:num>
  <w:num w:numId="20">
    <w:abstractNumId w:val="10"/>
  </w:num>
  <w:num w:numId="21">
    <w:abstractNumId w:val="20"/>
  </w:num>
  <w:num w:numId="22">
    <w:abstractNumId w:val="31"/>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10"/>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7"/>
  </w:num>
  <w:num w:numId="38">
    <w:abstractNumId w:val="15"/>
  </w:num>
  <w:num w:numId="39">
    <w:abstractNumId w:val="32"/>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3">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3E30"/>
    <w:rsid w:val="0004612A"/>
    <w:rsid w:val="00050D41"/>
    <w:rsid w:val="00072484"/>
    <w:rsid w:val="00081C0B"/>
    <w:rsid w:val="0009150E"/>
    <w:rsid w:val="00096612"/>
    <w:rsid w:val="000B4F09"/>
    <w:rsid w:val="000B7683"/>
    <w:rsid w:val="000B7B53"/>
    <w:rsid w:val="000C0413"/>
    <w:rsid w:val="000C32F1"/>
    <w:rsid w:val="000C3624"/>
    <w:rsid w:val="000E09DE"/>
    <w:rsid w:val="000E4FD1"/>
    <w:rsid w:val="000F3C25"/>
    <w:rsid w:val="000F6FC4"/>
    <w:rsid w:val="00102934"/>
    <w:rsid w:val="0011540D"/>
    <w:rsid w:val="00147110"/>
    <w:rsid w:val="00170840"/>
    <w:rsid w:val="0017151F"/>
    <w:rsid w:val="001A5259"/>
    <w:rsid w:val="001C63BC"/>
    <w:rsid w:val="001C70F6"/>
    <w:rsid w:val="001E576F"/>
    <w:rsid w:val="00201545"/>
    <w:rsid w:val="00202F9D"/>
    <w:rsid w:val="002058CE"/>
    <w:rsid w:val="00213578"/>
    <w:rsid w:val="002165F1"/>
    <w:rsid w:val="00247681"/>
    <w:rsid w:val="002558DC"/>
    <w:rsid w:val="00263254"/>
    <w:rsid w:val="00276D21"/>
    <w:rsid w:val="00280CD5"/>
    <w:rsid w:val="00292604"/>
    <w:rsid w:val="00296D7F"/>
    <w:rsid w:val="00297D43"/>
    <w:rsid w:val="002A2440"/>
    <w:rsid w:val="002A4B34"/>
    <w:rsid w:val="002B32C9"/>
    <w:rsid w:val="002B3CF6"/>
    <w:rsid w:val="002C768A"/>
    <w:rsid w:val="002D1160"/>
    <w:rsid w:val="002D5105"/>
    <w:rsid w:val="002D76C4"/>
    <w:rsid w:val="003141F6"/>
    <w:rsid w:val="00333184"/>
    <w:rsid w:val="00351573"/>
    <w:rsid w:val="003571CE"/>
    <w:rsid w:val="00357282"/>
    <w:rsid w:val="00362ED1"/>
    <w:rsid w:val="00377E78"/>
    <w:rsid w:val="00382E8A"/>
    <w:rsid w:val="0039014B"/>
    <w:rsid w:val="003E3E82"/>
    <w:rsid w:val="003E3EF6"/>
    <w:rsid w:val="00420DFD"/>
    <w:rsid w:val="00422AFA"/>
    <w:rsid w:val="00423429"/>
    <w:rsid w:val="004319C1"/>
    <w:rsid w:val="0046332B"/>
    <w:rsid w:val="00470E28"/>
    <w:rsid w:val="004720FC"/>
    <w:rsid w:val="00490767"/>
    <w:rsid w:val="004934C5"/>
    <w:rsid w:val="00505FB4"/>
    <w:rsid w:val="00526063"/>
    <w:rsid w:val="00556548"/>
    <w:rsid w:val="005600C9"/>
    <w:rsid w:val="005701DF"/>
    <w:rsid w:val="00586EF8"/>
    <w:rsid w:val="005A791E"/>
    <w:rsid w:val="005B49AB"/>
    <w:rsid w:val="005B50E7"/>
    <w:rsid w:val="005E4DFF"/>
    <w:rsid w:val="005E7B4F"/>
    <w:rsid w:val="005F4ABC"/>
    <w:rsid w:val="0060561C"/>
    <w:rsid w:val="00607D68"/>
    <w:rsid w:val="006149B1"/>
    <w:rsid w:val="00620020"/>
    <w:rsid w:val="00667B9B"/>
    <w:rsid w:val="00680D2B"/>
    <w:rsid w:val="00681B32"/>
    <w:rsid w:val="006A1F02"/>
    <w:rsid w:val="006A6DC8"/>
    <w:rsid w:val="006B0B82"/>
    <w:rsid w:val="006B690A"/>
    <w:rsid w:val="006D6AD8"/>
    <w:rsid w:val="006D7353"/>
    <w:rsid w:val="006E16DB"/>
    <w:rsid w:val="006E2037"/>
    <w:rsid w:val="00712870"/>
    <w:rsid w:val="00743D85"/>
    <w:rsid w:val="0074518F"/>
    <w:rsid w:val="00752FD3"/>
    <w:rsid w:val="00753CF4"/>
    <w:rsid w:val="007565CC"/>
    <w:rsid w:val="00763B9A"/>
    <w:rsid w:val="007A4F79"/>
    <w:rsid w:val="007A6AA8"/>
    <w:rsid w:val="007B203C"/>
    <w:rsid w:val="007C2459"/>
    <w:rsid w:val="007D1CD5"/>
    <w:rsid w:val="00811FBD"/>
    <w:rsid w:val="008310C9"/>
    <w:rsid w:val="00836298"/>
    <w:rsid w:val="00862B50"/>
    <w:rsid w:val="00864211"/>
    <w:rsid w:val="00870342"/>
    <w:rsid w:val="0087251C"/>
    <w:rsid w:val="008815AC"/>
    <w:rsid w:val="00894351"/>
    <w:rsid w:val="008A63F1"/>
    <w:rsid w:val="008B2CC6"/>
    <w:rsid w:val="008C38C0"/>
    <w:rsid w:val="008C7848"/>
    <w:rsid w:val="008D3D8D"/>
    <w:rsid w:val="008E673E"/>
    <w:rsid w:val="008E7EE2"/>
    <w:rsid w:val="008F0FBB"/>
    <w:rsid w:val="008F126D"/>
    <w:rsid w:val="009030CC"/>
    <w:rsid w:val="00917AF2"/>
    <w:rsid w:val="0092418A"/>
    <w:rsid w:val="009269EE"/>
    <w:rsid w:val="00934ED7"/>
    <w:rsid w:val="009474D9"/>
    <w:rsid w:val="009543C3"/>
    <w:rsid w:val="00966E1B"/>
    <w:rsid w:val="00994BAA"/>
    <w:rsid w:val="009A351D"/>
    <w:rsid w:val="009B0708"/>
    <w:rsid w:val="009C77A2"/>
    <w:rsid w:val="009E3B0C"/>
    <w:rsid w:val="009F2D2C"/>
    <w:rsid w:val="009F6806"/>
    <w:rsid w:val="00A54559"/>
    <w:rsid w:val="00A6617B"/>
    <w:rsid w:val="00A71FE5"/>
    <w:rsid w:val="00A77CE1"/>
    <w:rsid w:val="00AA3AD8"/>
    <w:rsid w:val="00AB0DC8"/>
    <w:rsid w:val="00AB258F"/>
    <w:rsid w:val="00AC3946"/>
    <w:rsid w:val="00AD26B8"/>
    <w:rsid w:val="00B033C8"/>
    <w:rsid w:val="00B036D9"/>
    <w:rsid w:val="00B04ACB"/>
    <w:rsid w:val="00B257C1"/>
    <w:rsid w:val="00B27180"/>
    <w:rsid w:val="00B33425"/>
    <w:rsid w:val="00B44E24"/>
    <w:rsid w:val="00B47809"/>
    <w:rsid w:val="00B54ECC"/>
    <w:rsid w:val="00B567BC"/>
    <w:rsid w:val="00B61918"/>
    <w:rsid w:val="00B714F3"/>
    <w:rsid w:val="00B75A37"/>
    <w:rsid w:val="00BC5D77"/>
    <w:rsid w:val="00BC6FC2"/>
    <w:rsid w:val="00BE2679"/>
    <w:rsid w:val="00BE5B84"/>
    <w:rsid w:val="00BF15C3"/>
    <w:rsid w:val="00BF487A"/>
    <w:rsid w:val="00C04ACC"/>
    <w:rsid w:val="00C165CD"/>
    <w:rsid w:val="00C46BD9"/>
    <w:rsid w:val="00C55258"/>
    <w:rsid w:val="00C728FC"/>
    <w:rsid w:val="00C73560"/>
    <w:rsid w:val="00C7761D"/>
    <w:rsid w:val="00C93B65"/>
    <w:rsid w:val="00CA245D"/>
    <w:rsid w:val="00CB0F14"/>
    <w:rsid w:val="00CB2BE1"/>
    <w:rsid w:val="00CB47A0"/>
    <w:rsid w:val="00CB60A4"/>
    <w:rsid w:val="00CD2CBB"/>
    <w:rsid w:val="00CD58B5"/>
    <w:rsid w:val="00CD659B"/>
    <w:rsid w:val="00CD7A62"/>
    <w:rsid w:val="00CE1598"/>
    <w:rsid w:val="00CE4858"/>
    <w:rsid w:val="00CF0D45"/>
    <w:rsid w:val="00CF34B5"/>
    <w:rsid w:val="00D0034D"/>
    <w:rsid w:val="00D075C7"/>
    <w:rsid w:val="00D1013F"/>
    <w:rsid w:val="00D10CF1"/>
    <w:rsid w:val="00D3253D"/>
    <w:rsid w:val="00D503C9"/>
    <w:rsid w:val="00D50B43"/>
    <w:rsid w:val="00D57367"/>
    <w:rsid w:val="00D7254E"/>
    <w:rsid w:val="00D73FBE"/>
    <w:rsid w:val="00D8150A"/>
    <w:rsid w:val="00D83331"/>
    <w:rsid w:val="00D86E38"/>
    <w:rsid w:val="00D91F7F"/>
    <w:rsid w:val="00DB4F6A"/>
    <w:rsid w:val="00DC3515"/>
    <w:rsid w:val="00DC4016"/>
    <w:rsid w:val="00DF087C"/>
    <w:rsid w:val="00DF4176"/>
    <w:rsid w:val="00E17240"/>
    <w:rsid w:val="00E1785F"/>
    <w:rsid w:val="00E24C9D"/>
    <w:rsid w:val="00E72F11"/>
    <w:rsid w:val="00E7610E"/>
    <w:rsid w:val="00E83CDE"/>
    <w:rsid w:val="00E91AE3"/>
    <w:rsid w:val="00EA3EE2"/>
    <w:rsid w:val="00ED683F"/>
    <w:rsid w:val="00EF3D72"/>
    <w:rsid w:val="00F103A9"/>
    <w:rsid w:val="00F20231"/>
    <w:rsid w:val="00F30C9B"/>
    <w:rsid w:val="00F354B1"/>
    <w:rsid w:val="00F43F15"/>
    <w:rsid w:val="00F44B7F"/>
    <w:rsid w:val="00F545E6"/>
    <w:rsid w:val="00F72869"/>
    <w:rsid w:val="00F77437"/>
    <w:rsid w:val="00F90896"/>
    <w:rsid w:val="00FB0E4E"/>
    <w:rsid w:val="00FD7C2D"/>
    <w:rsid w:val="00FE79FE"/>
    <w:rsid w:val="00FF5A0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8193">
      <o:colormru v:ext="edit" colors="#d62a47"/>
    </o:shapedefaults>
    <o:shapelayout v:ext="edit">
      <o:idmap v:ext="edit" data="1"/>
    </o:shapelayout>
  </w:shapeDefaults>
  <w:decimalSymbol w:val="."/>
  <w:listSeparator w:val=","/>
  <w15:docId w15:val="{3A3BBB31-E711-4645-A282-9DAFBE751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2B5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862B50"/>
    <w:pPr>
      <w:keepNext/>
      <w:keepLines/>
      <w:spacing w:before="480"/>
      <w:ind w:left="794" w:hanging="794"/>
      <w:outlineLvl w:val="0"/>
    </w:pPr>
    <w:rPr>
      <w:b/>
    </w:rPr>
  </w:style>
  <w:style w:type="paragraph" w:styleId="Heading2">
    <w:name w:val="heading 2"/>
    <w:basedOn w:val="Heading1"/>
    <w:next w:val="Normal"/>
    <w:qFormat/>
    <w:rsid w:val="00862B50"/>
    <w:pPr>
      <w:spacing w:before="320"/>
      <w:outlineLvl w:val="1"/>
    </w:pPr>
  </w:style>
  <w:style w:type="paragraph" w:styleId="Heading3">
    <w:name w:val="heading 3"/>
    <w:basedOn w:val="Heading1"/>
    <w:next w:val="Normal"/>
    <w:qFormat/>
    <w:rsid w:val="00862B50"/>
    <w:pPr>
      <w:spacing w:before="200"/>
      <w:outlineLvl w:val="2"/>
    </w:pPr>
  </w:style>
  <w:style w:type="paragraph" w:styleId="Heading4">
    <w:name w:val="heading 4"/>
    <w:basedOn w:val="Heading3"/>
    <w:next w:val="Normal"/>
    <w:qFormat/>
    <w:rsid w:val="00862B50"/>
    <w:pPr>
      <w:tabs>
        <w:tab w:val="clear" w:pos="794"/>
        <w:tab w:val="left" w:pos="992"/>
      </w:tabs>
      <w:ind w:left="992" w:hanging="992"/>
      <w:outlineLvl w:val="3"/>
    </w:pPr>
  </w:style>
  <w:style w:type="paragraph" w:styleId="Heading5">
    <w:name w:val="heading 5"/>
    <w:basedOn w:val="Heading4"/>
    <w:next w:val="Normal"/>
    <w:qFormat/>
    <w:rsid w:val="00862B50"/>
    <w:pPr>
      <w:outlineLvl w:val="4"/>
    </w:pPr>
  </w:style>
  <w:style w:type="paragraph" w:styleId="Heading6">
    <w:name w:val="heading 6"/>
    <w:basedOn w:val="Heading4"/>
    <w:next w:val="Normal"/>
    <w:qFormat/>
    <w:rsid w:val="00862B50"/>
    <w:pPr>
      <w:tabs>
        <w:tab w:val="clear" w:pos="992"/>
        <w:tab w:val="clear" w:pos="1191"/>
      </w:tabs>
      <w:ind w:left="1588" w:hanging="1588"/>
      <w:outlineLvl w:val="5"/>
    </w:pPr>
  </w:style>
  <w:style w:type="paragraph" w:styleId="Heading7">
    <w:name w:val="heading 7"/>
    <w:basedOn w:val="Heading6"/>
    <w:next w:val="Normal"/>
    <w:qFormat/>
    <w:rsid w:val="00862B50"/>
    <w:pPr>
      <w:outlineLvl w:val="6"/>
    </w:pPr>
  </w:style>
  <w:style w:type="paragraph" w:styleId="Heading8">
    <w:name w:val="heading 8"/>
    <w:basedOn w:val="Heading6"/>
    <w:next w:val="Normal"/>
    <w:qFormat/>
    <w:rsid w:val="00862B50"/>
    <w:pPr>
      <w:outlineLvl w:val="7"/>
    </w:pPr>
  </w:style>
  <w:style w:type="paragraph" w:styleId="Heading9">
    <w:name w:val="heading 9"/>
    <w:basedOn w:val="Heading6"/>
    <w:next w:val="Normal"/>
    <w:qFormat/>
    <w:rsid w:val="00862B50"/>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862B50"/>
    <w:pPr>
      <w:keepNext/>
      <w:keepLines/>
      <w:spacing w:after="280"/>
      <w:jc w:val="center"/>
    </w:pPr>
  </w:style>
  <w:style w:type="paragraph" w:customStyle="1" w:styleId="Blanc">
    <w:name w:val="Blanc"/>
    <w:basedOn w:val="Normal"/>
    <w:next w:val="Tabletext"/>
    <w:rsid w:val="00862B50"/>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862B5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rsid w:val="00862B5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62B5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62B50"/>
  </w:style>
  <w:style w:type="paragraph" w:customStyle="1" w:styleId="Headingb">
    <w:name w:val="Heading_b"/>
    <w:basedOn w:val="Heading3"/>
    <w:next w:val="Normal"/>
    <w:rsid w:val="00862B50"/>
    <w:pPr>
      <w:spacing w:before="160"/>
      <w:ind w:left="0" w:firstLine="0"/>
      <w:outlineLvl w:val="9"/>
    </w:pPr>
  </w:style>
  <w:style w:type="paragraph" w:customStyle="1" w:styleId="Headingi">
    <w:name w:val="Heading_i"/>
    <w:basedOn w:val="Heading3"/>
    <w:next w:val="Normal"/>
    <w:rsid w:val="00862B50"/>
    <w:pPr>
      <w:spacing w:before="160"/>
      <w:ind w:left="0" w:firstLine="0"/>
    </w:pPr>
    <w:rPr>
      <w:b w:val="0"/>
      <w:i/>
    </w:rPr>
  </w:style>
  <w:style w:type="character" w:customStyle="1" w:styleId="href">
    <w:name w:val="href"/>
    <w:basedOn w:val="DefaultParagraphFont"/>
    <w:rsid w:val="00862B50"/>
  </w:style>
  <w:style w:type="paragraph" w:customStyle="1" w:styleId="AnnexNoTitle">
    <w:name w:val="Annex_NoTitle"/>
    <w:basedOn w:val="Normal"/>
    <w:next w:val="Normalaftertitle"/>
    <w:rsid w:val="00862B50"/>
    <w:pPr>
      <w:keepNext/>
      <w:keepLines/>
      <w:spacing w:before="480" w:after="80"/>
      <w:jc w:val="center"/>
    </w:pPr>
    <w:rPr>
      <w:b/>
      <w:sz w:val="28"/>
    </w:rPr>
  </w:style>
  <w:style w:type="paragraph" w:customStyle="1" w:styleId="enumlev1">
    <w:name w:val="enumlev1"/>
    <w:basedOn w:val="Normal"/>
    <w:link w:val="enumlev1Char"/>
    <w:uiPriority w:val="99"/>
    <w:rsid w:val="00862B50"/>
    <w:pPr>
      <w:spacing w:before="80"/>
      <w:ind w:left="794" w:hanging="794"/>
    </w:pPr>
  </w:style>
  <w:style w:type="paragraph" w:customStyle="1" w:styleId="Equation">
    <w:name w:val="Equation"/>
    <w:basedOn w:val="Normal"/>
    <w:rsid w:val="00862B50"/>
    <w:pPr>
      <w:tabs>
        <w:tab w:val="clear" w:pos="1191"/>
        <w:tab w:val="clear" w:pos="1588"/>
        <w:tab w:val="clear" w:pos="1985"/>
        <w:tab w:val="center" w:pos="4820"/>
        <w:tab w:val="right" w:pos="9639"/>
      </w:tabs>
    </w:pPr>
  </w:style>
  <w:style w:type="paragraph" w:customStyle="1" w:styleId="enumlev2">
    <w:name w:val="enumlev2"/>
    <w:basedOn w:val="enumlev1"/>
    <w:rsid w:val="00862B50"/>
    <w:pPr>
      <w:ind w:left="1191" w:hanging="397"/>
    </w:pPr>
  </w:style>
  <w:style w:type="paragraph" w:styleId="FootnoteText">
    <w:name w:val="footnote text"/>
    <w:basedOn w:val="Normal"/>
    <w:link w:val="FootnoteTextChar"/>
    <w:rsid w:val="00862B50"/>
    <w:pPr>
      <w:keepLines/>
      <w:tabs>
        <w:tab w:val="left" w:pos="255"/>
      </w:tabs>
      <w:ind w:left="255" w:hanging="255"/>
    </w:pPr>
    <w:rPr>
      <w:sz w:val="22"/>
    </w:rPr>
  </w:style>
  <w:style w:type="paragraph" w:customStyle="1" w:styleId="Normalaftertitle">
    <w:name w:val="Normal_after_title"/>
    <w:basedOn w:val="Normal"/>
    <w:next w:val="Normal"/>
    <w:rsid w:val="00862B50"/>
    <w:pPr>
      <w:spacing w:before="320"/>
    </w:pPr>
  </w:style>
  <w:style w:type="paragraph" w:customStyle="1" w:styleId="enumlev3">
    <w:name w:val="enumlev3"/>
    <w:basedOn w:val="enumlev2"/>
    <w:rsid w:val="00862B50"/>
    <w:pPr>
      <w:ind w:left="1588"/>
    </w:pPr>
  </w:style>
  <w:style w:type="paragraph" w:customStyle="1" w:styleId="Note">
    <w:name w:val="Note"/>
    <w:basedOn w:val="Normal"/>
    <w:rsid w:val="00862B5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62B5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62B50"/>
    <w:pPr>
      <w:keepNext/>
      <w:keepLines/>
      <w:spacing w:before="240"/>
      <w:jc w:val="center"/>
    </w:pPr>
    <w:rPr>
      <w:b/>
      <w:sz w:val="28"/>
    </w:rPr>
  </w:style>
  <w:style w:type="paragraph" w:customStyle="1" w:styleId="Recref">
    <w:name w:val="Rec_ref"/>
    <w:basedOn w:val="Normal"/>
    <w:next w:val="Recdate"/>
    <w:rsid w:val="00862B50"/>
    <w:pPr>
      <w:jc w:val="center"/>
    </w:pPr>
  </w:style>
  <w:style w:type="paragraph" w:customStyle="1" w:styleId="Recdate">
    <w:name w:val="Rec_date"/>
    <w:basedOn w:val="Recref"/>
    <w:next w:val="Normalaftertitle"/>
    <w:rsid w:val="00862B50"/>
    <w:pPr>
      <w:jc w:val="right"/>
    </w:pPr>
  </w:style>
  <w:style w:type="paragraph" w:customStyle="1" w:styleId="HeadingSum">
    <w:name w:val="Heading_Sum"/>
    <w:basedOn w:val="Headingb"/>
    <w:next w:val="Normal"/>
    <w:autoRedefine/>
    <w:rsid w:val="00862B50"/>
    <w:pPr>
      <w:spacing w:before="240"/>
    </w:pPr>
    <w:rPr>
      <w:lang w:val="es-ES_tradnl"/>
    </w:rPr>
  </w:style>
  <w:style w:type="paragraph" w:customStyle="1" w:styleId="AppendixNoTitle">
    <w:name w:val="Appendix_NoTitle"/>
    <w:basedOn w:val="AnnexNoTitle"/>
    <w:next w:val="Normal"/>
    <w:rsid w:val="00862B50"/>
  </w:style>
  <w:style w:type="paragraph" w:customStyle="1" w:styleId="Tablefin">
    <w:name w:val="Table_fin"/>
    <w:basedOn w:val="Normal"/>
    <w:next w:val="Normal"/>
    <w:rsid w:val="00862B50"/>
    <w:pPr>
      <w:spacing w:before="0"/>
    </w:pPr>
    <w:rPr>
      <w:sz w:val="20"/>
      <w:lang w:val="en-GB"/>
    </w:rPr>
  </w:style>
  <w:style w:type="paragraph" w:customStyle="1" w:styleId="Tablehead">
    <w:name w:val="Table_head"/>
    <w:basedOn w:val="Normal"/>
    <w:next w:val="Normal"/>
    <w:rsid w:val="00862B5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62B5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62B50"/>
    <w:pPr>
      <w:keepNext/>
      <w:spacing w:before="360" w:after="120"/>
      <w:jc w:val="center"/>
    </w:pPr>
  </w:style>
  <w:style w:type="paragraph" w:customStyle="1" w:styleId="Equationlegend">
    <w:name w:val="Equation_legend"/>
    <w:basedOn w:val="NormalIndent"/>
    <w:rsid w:val="00862B5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62B50"/>
    <w:pPr>
      <w:ind w:left="794"/>
    </w:pPr>
  </w:style>
  <w:style w:type="paragraph" w:customStyle="1" w:styleId="Figurelegend">
    <w:name w:val="Figure_legend"/>
    <w:basedOn w:val="Normal"/>
    <w:rsid w:val="00862B5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62B50"/>
    <w:pPr>
      <w:keepNext/>
      <w:keepLines/>
      <w:spacing w:before="480" w:after="80"/>
      <w:jc w:val="center"/>
    </w:pPr>
    <w:rPr>
      <w:caps/>
      <w:sz w:val="18"/>
    </w:rPr>
  </w:style>
  <w:style w:type="paragraph" w:customStyle="1" w:styleId="Figuretitle">
    <w:name w:val="Figure_title"/>
    <w:basedOn w:val="Normal"/>
    <w:next w:val="Figure"/>
    <w:rsid w:val="00862B50"/>
    <w:pPr>
      <w:keepNext/>
      <w:spacing w:before="0" w:after="120"/>
      <w:jc w:val="center"/>
    </w:pPr>
    <w:rPr>
      <w:rFonts w:ascii="Times New Roman Bold" w:hAnsi="Times New Roman Bold"/>
      <w:b/>
      <w:sz w:val="18"/>
    </w:rPr>
  </w:style>
  <w:style w:type="paragraph" w:customStyle="1" w:styleId="Figure">
    <w:name w:val="Figure"/>
    <w:basedOn w:val="FigureNo"/>
    <w:next w:val="Normal"/>
    <w:rsid w:val="00862B50"/>
    <w:pPr>
      <w:keepNext w:val="0"/>
      <w:spacing w:before="0" w:after="240"/>
    </w:pPr>
  </w:style>
  <w:style w:type="paragraph" w:customStyle="1" w:styleId="tocpart">
    <w:name w:val="tocpart"/>
    <w:basedOn w:val="Normal"/>
    <w:rsid w:val="00862B5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62B50"/>
    <w:pPr>
      <w:keepNext/>
      <w:keepLines/>
      <w:spacing w:before="480"/>
      <w:jc w:val="center"/>
    </w:pPr>
    <w:rPr>
      <w:sz w:val="28"/>
    </w:rPr>
  </w:style>
  <w:style w:type="paragraph" w:customStyle="1" w:styleId="Arttitle">
    <w:name w:val="Art_title"/>
    <w:basedOn w:val="Normal"/>
    <w:next w:val="Normalaftertitle"/>
    <w:rsid w:val="00862B50"/>
    <w:pPr>
      <w:keepNext/>
      <w:keepLines/>
      <w:spacing w:before="240"/>
      <w:jc w:val="center"/>
    </w:pPr>
    <w:rPr>
      <w:b/>
      <w:sz w:val="28"/>
    </w:rPr>
  </w:style>
  <w:style w:type="paragraph" w:customStyle="1" w:styleId="ASN1">
    <w:name w:val="ASN.1"/>
    <w:basedOn w:val="Normal"/>
    <w:next w:val="Normal"/>
    <w:rsid w:val="00862B5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62B50"/>
    <w:pPr>
      <w:keepNext/>
      <w:keepLines/>
      <w:spacing w:before="160"/>
      <w:ind w:left="794"/>
    </w:pPr>
    <w:rPr>
      <w:i/>
    </w:rPr>
  </w:style>
  <w:style w:type="paragraph" w:customStyle="1" w:styleId="ChapNo">
    <w:name w:val="Chap_No"/>
    <w:basedOn w:val="ArtNo"/>
    <w:next w:val="Chaptitle"/>
    <w:rsid w:val="00862B50"/>
    <w:rPr>
      <w:b/>
    </w:rPr>
  </w:style>
  <w:style w:type="character" w:styleId="FootnoteReference">
    <w:name w:val="footnote reference"/>
    <w:basedOn w:val="DefaultParagraphFont"/>
    <w:rsid w:val="00862B50"/>
    <w:rPr>
      <w:position w:val="6"/>
      <w:sz w:val="18"/>
    </w:rPr>
  </w:style>
  <w:style w:type="paragraph" w:styleId="Index1">
    <w:name w:val="index 1"/>
    <w:basedOn w:val="Normal"/>
    <w:next w:val="Normal"/>
    <w:semiHidden/>
    <w:rsid w:val="00862B50"/>
  </w:style>
  <w:style w:type="paragraph" w:styleId="Index2">
    <w:name w:val="index 2"/>
    <w:basedOn w:val="Normal"/>
    <w:next w:val="Normal"/>
    <w:semiHidden/>
    <w:rsid w:val="00862B50"/>
    <w:pPr>
      <w:ind w:left="283"/>
    </w:pPr>
  </w:style>
  <w:style w:type="paragraph" w:styleId="Index3">
    <w:name w:val="index 3"/>
    <w:basedOn w:val="Normal"/>
    <w:next w:val="Normal"/>
    <w:semiHidden/>
    <w:rsid w:val="00862B50"/>
    <w:pPr>
      <w:ind w:left="566"/>
    </w:pPr>
  </w:style>
  <w:style w:type="paragraph" w:styleId="IndexHeading">
    <w:name w:val="index heading"/>
    <w:basedOn w:val="Normal"/>
    <w:next w:val="Index1"/>
    <w:semiHidden/>
    <w:rsid w:val="00862B50"/>
  </w:style>
  <w:style w:type="paragraph" w:customStyle="1" w:styleId="Line">
    <w:name w:val="Line"/>
    <w:basedOn w:val="Normal"/>
    <w:next w:val="Normal"/>
    <w:rsid w:val="00862B5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62B5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62B50"/>
  </w:style>
  <w:style w:type="paragraph" w:customStyle="1" w:styleId="Partref">
    <w:name w:val="Part_ref"/>
    <w:basedOn w:val="Normal"/>
    <w:next w:val="Normal"/>
    <w:rsid w:val="00862B50"/>
    <w:pPr>
      <w:keepNext/>
      <w:keepLines/>
      <w:spacing w:after="280"/>
      <w:jc w:val="center"/>
    </w:pPr>
  </w:style>
  <w:style w:type="paragraph" w:customStyle="1" w:styleId="Parttitle">
    <w:name w:val="Part_title"/>
    <w:basedOn w:val="Normal"/>
    <w:next w:val="Normalaftertitle"/>
    <w:rsid w:val="00862B5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62B50"/>
  </w:style>
  <w:style w:type="paragraph" w:customStyle="1" w:styleId="QuestionNo">
    <w:name w:val="Question_No"/>
    <w:basedOn w:val="RecNo"/>
    <w:next w:val="Normal"/>
    <w:rsid w:val="00862B50"/>
  </w:style>
  <w:style w:type="paragraph" w:customStyle="1" w:styleId="Questionref">
    <w:name w:val="Question_ref"/>
    <w:basedOn w:val="Recref"/>
    <w:next w:val="Questiondate"/>
    <w:rsid w:val="00862B50"/>
  </w:style>
  <w:style w:type="paragraph" w:customStyle="1" w:styleId="Questiontitle">
    <w:name w:val="Question_title"/>
    <w:basedOn w:val="Normal"/>
    <w:next w:val="Questionref"/>
    <w:rsid w:val="00862B50"/>
  </w:style>
  <w:style w:type="paragraph" w:customStyle="1" w:styleId="Reftext">
    <w:name w:val="Ref_text"/>
    <w:basedOn w:val="Normal"/>
    <w:rsid w:val="00862B50"/>
    <w:pPr>
      <w:ind w:left="794" w:hanging="794"/>
    </w:pPr>
    <w:rPr>
      <w:sz w:val="22"/>
    </w:rPr>
  </w:style>
  <w:style w:type="paragraph" w:customStyle="1" w:styleId="Reftitle">
    <w:name w:val="Ref_title"/>
    <w:basedOn w:val="Normal"/>
    <w:next w:val="Reftext"/>
    <w:rsid w:val="00862B5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62B50"/>
  </w:style>
  <w:style w:type="paragraph" w:customStyle="1" w:styleId="RepNo">
    <w:name w:val="Rep_No"/>
    <w:basedOn w:val="RecNo"/>
    <w:next w:val="Reptitle"/>
    <w:rsid w:val="00862B50"/>
  </w:style>
  <w:style w:type="paragraph" w:customStyle="1" w:styleId="Reptitle">
    <w:name w:val="Rep_title"/>
    <w:basedOn w:val="Rectitle"/>
    <w:next w:val="Repref"/>
    <w:rsid w:val="00862B50"/>
  </w:style>
  <w:style w:type="paragraph" w:customStyle="1" w:styleId="Repref">
    <w:name w:val="Rep_ref"/>
    <w:basedOn w:val="Recref"/>
    <w:next w:val="Repdate"/>
    <w:rsid w:val="00862B50"/>
  </w:style>
  <w:style w:type="paragraph" w:customStyle="1" w:styleId="Resdate">
    <w:name w:val="Res_date"/>
    <w:basedOn w:val="Recdate"/>
    <w:next w:val="Normalaftertitle"/>
    <w:rsid w:val="00862B50"/>
  </w:style>
  <w:style w:type="paragraph" w:customStyle="1" w:styleId="ResNo">
    <w:name w:val="Res_No"/>
    <w:basedOn w:val="RecNo"/>
    <w:next w:val="Restitle"/>
    <w:rsid w:val="00862B50"/>
  </w:style>
  <w:style w:type="paragraph" w:customStyle="1" w:styleId="Restitle">
    <w:name w:val="Res_title"/>
    <w:basedOn w:val="Normal"/>
    <w:next w:val="Resref"/>
    <w:rsid w:val="00862B50"/>
    <w:pPr>
      <w:spacing w:before="240"/>
      <w:jc w:val="center"/>
    </w:pPr>
    <w:rPr>
      <w:b/>
      <w:sz w:val="28"/>
    </w:rPr>
  </w:style>
  <w:style w:type="paragraph" w:customStyle="1" w:styleId="Resref">
    <w:name w:val="Res_ref"/>
    <w:basedOn w:val="Recref"/>
    <w:next w:val="Resdate"/>
    <w:rsid w:val="00862B50"/>
  </w:style>
  <w:style w:type="paragraph" w:customStyle="1" w:styleId="SectionNo">
    <w:name w:val="Section_No"/>
    <w:basedOn w:val="Normal"/>
    <w:next w:val="Normal"/>
    <w:rsid w:val="00862B50"/>
  </w:style>
  <w:style w:type="paragraph" w:customStyle="1" w:styleId="Sectiontitle">
    <w:name w:val="Section_title"/>
    <w:basedOn w:val="Normal"/>
    <w:next w:val="Normalaftertitle"/>
    <w:rsid w:val="00862B5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62B50"/>
    <w:pPr>
      <w:tabs>
        <w:tab w:val="clear" w:pos="794"/>
        <w:tab w:val="clear" w:pos="1191"/>
        <w:tab w:val="clear" w:pos="1588"/>
        <w:tab w:val="clear" w:pos="1985"/>
        <w:tab w:val="right" w:pos="9611"/>
      </w:tabs>
    </w:pPr>
    <w:rPr>
      <w:i/>
    </w:rPr>
  </w:style>
  <w:style w:type="paragraph" w:styleId="TOC1">
    <w:name w:val="toc 1"/>
    <w:basedOn w:val="Normal"/>
    <w:semiHidden/>
    <w:rsid w:val="00862B5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62B50"/>
    <w:pPr>
      <w:tabs>
        <w:tab w:val="clear" w:pos="567"/>
        <w:tab w:val="left" w:pos="1276"/>
      </w:tabs>
      <w:spacing w:before="160"/>
      <w:ind w:left="1276" w:hanging="709"/>
    </w:pPr>
  </w:style>
  <w:style w:type="paragraph" w:styleId="TOC3">
    <w:name w:val="toc 3"/>
    <w:basedOn w:val="TOC2"/>
    <w:semiHidden/>
    <w:rsid w:val="00862B50"/>
    <w:pPr>
      <w:tabs>
        <w:tab w:val="clear" w:pos="1276"/>
        <w:tab w:val="left" w:pos="2155"/>
      </w:tabs>
      <w:ind w:left="2155" w:hanging="879"/>
    </w:pPr>
  </w:style>
  <w:style w:type="paragraph" w:styleId="TOC4">
    <w:name w:val="toc 4"/>
    <w:basedOn w:val="TOC3"/>
    <w:semiHidden/>
    <w:rsid w:val="00862B50"/>
    <w:pPr>
      <w:tabs>
        <w:tab w:val="left" w:pos="3261"/>
      </w:tabs>
      <w:spacing w:before="80"/>
      <w:ind w:left="3261" w:hanging="993"/>
    </w:pPr>
  </w:style>
  <w:style w:type="paragraph" w:styleId="TOC5">
    <w:name w:val="toc 5"/>
    <w:basedOn w:val="TOC4"/>
    <w:semiHidden/>
    <w:rsid w:val="00862B50"/>
  </w:style>
  <w:style w:type="paragraph" w:styleId="TOC6">
    <w:name w:val="toc 6"/>
    <w:basedOn w:val="TOC4"/>
    <w:semiHidden/>
    <w:rsid w:val="00862B50"/>
  </w:style>
  <w:style w:type="paragraph" w:styleId="TOC7">
    <w:name w:val="toc 7"/>
    <w:basedOn w:val="TOC4"/>
    <w:semiHidden/>
    <w:rsid w:val="00862B50"/>
  </w:style>
  <w:style w:type="paragraph" w:styleId="TOC8">
    <w:name w:val="toc 8"/>
    <w:basedOn w:val="TOC4"/>
    <w:semiHidden/>
    <w:rsid w:val="00862B50"/>
  </w:style>
  <w:style w:type="paragraph" w:customStyle="1" w:styleId="Appendixref">
    <w:name w:val="Appendix_ref"/>
    <w:basedOn w:val="Annexref"/>
    <w:next w:val="Normalaftertitle"/>
    <w:rsid w:val="00862B50"/>
  </w:style>
  <w:style w:type="paragraph" w:customStyle="1" w:styleId="Tabletitle">
    <w:name w:val="Table_title"/>
    <w:basedOn w:val="Normal"/>
    <w:next w:val="Tablehead"/>
    <w:rsid w:val="00862B50"/>
    <w:pPr>
      <w:keepNext/>
      <w:spacing w:before="0" w:after="120"/>
      <w:jc w:val="center"/>
    </w:pPr>
    <w:rPr>
      <w:b/>
    </w:rPr>
  </w:style>
  <w:style w:type="paragraph" w:customStyle="1" w:styleId="Summary">
    <w:name w:val="Summary"/>
    <w:basedOn w:val="Normal"/>
    <w:next w:val="Normalaftertitle"/>
    <w:autoRedefine/>
    <w:rsid w:val="00862B50"/>
    <w:pPr>
      <w:spacing w:after="480"/>
    </w:pPr>
    <w:rPr>
      <w:lang w:val="es-ES_tradnl"/>
    </w:rPr>
  </w:style>
  <w:style w:type="character" w:styleId="Hyperlink">
    <w:name w:val="Hyperlink"/>
    <w:basedOn w:val="DefaultParagraphFont"/>
    <w:rsid w:val="00934ED7"/>
    <w:rPr>
      <w:color w:val="0000FF"/>
      <w:u w:val="single"/>
    </w:rPr>
  </w:style>
  <w:style w:type="paragraph" w:customStyle="1" w:styleId="Chaptitle">
    <w:name w:val="Chap_title"/>
    <w:basedOn w:val="Arttitle"/>
    <w:next w:val="Normalaftertitle"/>
    <w:rsid w:val="00862B50"/>
  </w:style>
  <w:style w:type="paragraph" w:customStyle="1" w:styleId="TableLegendNote">
    <w:name w:val="Table_Legend_Note"/>
    <w:basedOn w:val="Tablelegend"/>
    <w:next w:val="Tablelegend"/>
    <w:rsid w:val="00862B50"/>
    <w:pPr>
      <w:ind w:left="-85" w:firstLine="0"/>
    </w:pPr>
    <w:rPr>
      <w:lang w:val="en-US"/>
    </w:rPr>
  </w:style>
  <w:style w:type="paragraph" w:customStyle="1" w:styleId="AnnexNo">
    <w:name w:val="Annex_No"/>
    <w:basedOn w:val="Normal"/>
    <w:next w:val="Normal"/>
    <w:rsid w:val="001C63BC"/>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1C63B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rsid w:val="001C63BC"/>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Reasons">
    <w:name w:val="Reasons"/>
    <w:basedOn w:val="Normal"/>
    <w:qFormat/>
    <w:rsid w:val="001C63BC"/>
    <w:pPr>
      <w:tabs>
        <w:tab w:val="clear" w:pos="794"/>
        <w:tab w:val="clear" w:pos="1191"/>
        <w:tab w:val="left" w:pos="1134"/>
      </w:tabs>
      <w:jc w:val="left"/>
    </w:pPr>
    <w:rPr>
      <w:lang w:val="en-GB"/>
    </w:rPr>
  </w:style>
  <w:style w:type="character" w:customStyle="1" w:styleId="FootnoteTextChar">
    <w:name w:val="Footnote Text Char"/>
    <w:basedOn w:val="DefaultParagraphFont"/>
    <w:link w:val="FootnoteText"/>
    <w:rsid w:val="001C63BC"/>
    <w:rPr>
      <w:sz w:val="22"/>
      <w:lang w:val="fr-FR" w:eastAsia="en-US"/>
    </w:rPr>
  </w:style>
  <w:style w:type="character" w:customStyle="1" w:styleId="enumlev1Char">
    <w:name w:val="enumlev1 Char"/>
    <w:link w:val="enumlev1"/>
    <w:uiPriority w:val="99"/>
    <w:locked/>
    <w:rsid w:val="001C63BC"/>
    <w:rPr>
      <w:sz w:val="24"/>
      <w:lang w:val="fr-FR" w:eastAsia="en-US"/>
    </w:rPr>
  </w:style>
  <w:style w:type="table" w:styleId="TableGrid">
    <w:name w:val="Table Grid"/>
    <w:basedOn w:val="TableNormal"/>
    <w:uiPriority w:val="59"/>
    <w:rsid w:val="00CD2CBB"/>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image" Target="media/image7.tiff"/><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ITU-R/go/patents/en"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78</TotalTime>
  <Pages>14</Pages>
  <Words>4280</Words>
  <Characters>22929</Characters>
  <Application>Microsoft Office Word</Application>
  <DocSecurity>0</DocSecurity>
  <Lines>498</Lines>
  <Paragraphs>578</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26631</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ITU-T Study Group un</dc:creator>
  <cp:keywords/>
  <dc:description>Saved by JK-106306 at 10:34:24 on 03.07.2009</dc:description>
  <cp:lastModifiedBy>Gachet, Christelle</cp:lastModifiedBy>
  <cp:revision>27</cp:revision>
  <cp:lastPrinted>2016-11-24T14:54:00Z</cp:lastPrinted>
  <dcterms:created xsi:type="dcterms:W3CDTF">2015-10-15T11:17:00Z</dcterms:created>
  <dcterms:modified xsi:type="dcterms:W3CDTF">2016-11-24T14:55:00Z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