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p w:rsidR="00BB1D4E" w:rsidRDefault="00BB1D4E" w:rsidP="00BB1D4E"/>
    <w:tbl>
      <w:tblPr>
        <w:tblW w:w="10089" w:type="dxa"/>
        <w:tblLook w:val="01E0" w:firstRow="1" w:lastRow="1" w:firstColumn="1" w:lastColumn="1" w:noHBand="0" w:noVBand="0"/>
      </w:tblPr>
      <w:tblGrid>
        <w:gridCol w:w="10089"/>
      </w:tblGrid>
      <w:tr w:rsidR="00BB1D4E" w:rsidRPr="00F7015E" w:rsidTr="003927B7">
        <w:tc>
          <w:tcPr>
            <w:tcW w:w="10089" w:type="dxa"/>
          </w:tcPr>
          <w:p w:rsidR="00BB1D4E" w:rsidRPr="00C92658" w:rsidRDefault="00BB1D4E" w:rsidP="003927B7">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7" o:title=""/>
                </v:shape>
                <o:OLEObject Type="Embed" ProgID="Equation.3" ShapeID="_x0000_i1025" DrawAspect="Content" ObjectID="_1613541224" r:id="rId8"/>
              </w:object>
            </w:r>
          </w:p>
          <w:p w:rsidR="00BB1D4E" w:rsidRPr="00C92658" w:rsidRDefault="00BB1D4E" w:rsidP="00BB1D4E">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2438-0</w:t>
            </w:r>
          </w:p>
          <w:p w:rsidR="00BB1D4E" w:rsidRPr="00C92658" w:rsidRDefault="00BB1D4E" w:rsidP="00BB1D4E">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11</w:t>
            </w:r>
            <w:r w:rsidRPr="00C92658">
              <w:rPr>
                <w:rFonts w:ascii="Tahoma" w:hAnsi="Tahoma" w:cs="Tahoma"/>
                <w:b/>
                <w:bCs/>
                <w:iCs/>
                <w:color w:val="509141"/>
                <w:szCs w:val="24"/>
                <w:lang w:val="en-US"/>
              </w:rPr>
              <w:t>/</w:t>
            </w:r>
            <w:r>
              <w:rPr>
                <w:rFonts w:ascii="Tahoma" w:hAnsi="Tahoma" w:cs="Tahoma"/>
                <w:b/>
                <w:bCs/>
                <w:iCs/>
                <w:color w:val="509141"/>
                <w:szCs w:val="24"/>
                <w:lang w:val="en-US"/>
              </w:rPr>
              <w:t>2018</w:t>
            </w:r>
            <w:r w:rsidRPr="00C92658">
              <w:rPr>
                <w:rFonts w:ascii="Tahoma" w:hAnsi="Tahoma" w:cs="Tahoma"/>
                <w:b/>
                <w:bCs/>
                <w:iCs/>
                <w:color w:val="509141"/>
                <w:szCs w:val="24"/>
                <w:lang w:val="en-US"/>
              </w:rPr>
              <w:t>)</w:t>
            </w:r>
          </w:p>
        </w:tc>
      </w:tr>
      <w:tr w:rsidR="00BB1D4E" w:rsidRPr="00310FAC" w:rsidTr="003927B7">
        <w:tc>
          <w:tcPr>
            <w:tcW w:w="10089" w:type="dxa"/>
          </w:tcPr>
          <w:p w:rsidR="00BB1D4E" w:rsidRPr="00C92658" w:rsidRDefault="00BB1D4E" w:rsidP="003927B7">
            <w:pPr>
              <w:spacing w:before="80" w:line="500" w:lineRule="exact"/>
              <w:jc w:val="right"/>
              <w:rPr>
                <w:rFonts w:ascii="Tahoma" w:hAnsi="Tahoma" w:cs="Tahoma"/>
                <w:b/>
                <w:bCs/>
                <w:iCs/>
                <w:color w:val="509141"/>
                <w:sz w:val="44"/>
                <w:szCs w:val="44"/>
                <w:lang w:val="en-US"/>
              </w:rPr>
            </w:pPr>
          </w:p>
          <w:p w:rsidR="00BB1D4E" w:rsidRPr="00C92658" w:rsidRDefault="00BB1D4E" w:rsidP="00BB1D4E">
            <w:pPr>
              <w:spacing w:before="80" w:line="500" w:lineRule="exact"/>
              <w:jc w:val="right"/>
              <w:rPr>
                <w:rFonts w:ascii="Tahoma" w:hAnsi="Tahoma" w:cs="Tahoma"/>
                <w:b/>
                <w:bCs/>
                <w:iCs/>
                <w:color w:val="509141"/>
                <w:sz w:val="44"/>
                <w:szCs w:val="44"/>
                <w:lang w:val="en-US"/>
              </w:rPr>
            </w:pPr>
            <w:r w:rsidRPr="00BB1D4E">
              <w:rPr>
                <w:rFonts w:ascii="Tahoma" w:hAnsi="Tahoma" w:cs="Tahoma"/>
                <w:b/>
                <w:bCs/>
                <w:iCs/>
                <w:color w:val="509141"/>
                <w:sz w:val="44"/>
                <w:szCs w:val="44"/>
                <w:lang w:val="en-GB"/>
              </w:rPr>
              <w:t>Spectrum needs of high</w:t>
            </w:r>
            <w:r w:rsidRPr="00BB1D4E">
              <w:rPr>
                <w:rFonts w:ascii="Tahoma" w:hAnsi="Tahoma" w:cs="Tahoma"/>
                <w:b/>
                <w:bCs/>
                <w:iCs/>
                <w:color w:val="509141"/>
                <w:sz w:val="44"/>
                <w:szCs w:val="44"/>
                <w:lang w:val="en-GB"/>
              </w:rPr>
              <w:noBreakHyphen/>
              <w:t xml:space="preserve">altitude platform stations broadband links </w:t>
            </w:r>
            <w:r w:rsidRPr="00BB1D4E">
              <w:rPr>
                <w:rFonts w:ascii="Tahoma" w:hAnsi="Tahoma" w:cs="Tahoma"/>
                <w:b/>
                <w:bCs/>
                <w:iCs/>
                <w:color w:val="509141"/>
                <w:sz w:val="44"/>
                <w:szCs w:val="44"/>
                <w:lang w:val="en-GB"/>
              </w:rPr>
              <w:br/>
              <w:t>operating in the fixed service</w:t>
            </w:r>
          </w:p>
          <w:p w:rsidR="00BB1D4E" w:rsidRPr="00C92658" w:rsidRDefault="00BB1D4E" w:rsidP="003927B7">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BB1D4E" w:rsidRPr="00C92658" w:rsidTr="003927B7">
        <w:tc>
          <w:tcPr>
            <w:tcW w:w="10089" w:type="dxa"/>
          </w:tcPr>
          <w:p w:rsidR="00BB1D4E" w:rsidRPr="00C546FC" w:rsidRDefault="00BB1D4E" w:rsidP="003927B7">
            <w:pPr>
              <w:spacing w:before="80" w:line="280" w:lineRule="exact"/>
              <w:ind w:right="640"/>
              <w:rPr>
                <w:rFonts w:ascii="Tahoma" w:hAnsi="Tahoma" w:cs="Tahoma"/>
                <w:b/>
                <w:bCs/>
                <w:iCs/>
                <w:color w:val="509141"/>
                <w:sz w:val="36"/>
                <w:szCs w:val="36"/>
                <w:lang w:val="en-US"/>
              </w:rPr>
            </w:pPr>
          </w:p>
          <w:p w:rsidR="00BB1D4E" w:rsidRPr="00C546FC" w:rsidRDefault="00BB1D4E" w:rsidP="003927B7">
            <w:pPr>
              <w:spacing w:before="80" w:line="280" w:lineRule="exact"/>
              <w:ind w:right="640"/>
              <w:rPr>
                <w:rFonts w:ascii="Tahoma" w:hAnsi="Tahoma" w:cs="Tahoma"/>
                <w:b/>
                <w:bCs/>
                <w:iCs/>
                <w:color w:val="509141"/>
                <w:sz w:val="36"/>
                <w:szCs w:val="36"/>
                <w:lang w:val="en-US"/>
              </w:rPr>
            </w:pPr>
          </w:p>
          <w:p w:rsidR="00BB1D4E" w:rsidRPr="00C546FC" w:rsidRDefault="00BB1D4E" w:rsidP="003927B7">
            <w:pPr>
              <w:spacing w:before="80" w:line="280" w:lineRule="exact"/>
              <w:ind w:right="640"/>
              <w:rPr>
                <w:rFonts w:ascii="Tahoma" w:hAnsi="Tahoma" w:cs="Tahoma"/>
                <w:b/>
                <w:bCs/>
                <w:iCs/>
                <w:color w:val="509141"/>
                <w:sz w:val="36"/>
                <w:szCs w:val="36"/>
                <w:lang w:val="en-US"/>
              </w:rPr>
            </w:pPr>
          </w:p>
          <w:p w:rsidR="00BB1D4E" w:rsidRPr="00C546FC" w:rsidRDefault="00BB1D4E" w:rsidP="003927B7">
            <w:pPr>
              <w:spacing w:before="80" w:after="180" w:line="360" w:lineRule="exact"/>
              <w:jc w:val="right"/>
              <w:rPr>
                <w:rFonts w:ascii="Tahoma" w:hAnsi="Tahoma" w:cs="Tahoma"/>
                <w:b/>
                <w:bCs/>
                <w:iCs/>
                <w:color w:val="509141"/>
                <w:sz w:val="36"/>
                <w:szCs w:val="36"/>
                <w:lang w:val="en-US"/>
              </w:rPr>
            </w:pPr>
          </w:p>
          <w:p w:rsidR="00BB1D4E" w:rsidRPr="00C92658" w:rsidRDefault="00BB1D4E" w:rsidP="003927B7">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BB1D4E" w:rsidRPr="00C92658" w:rsidRDefault="00BB1D4E" w:rsidP="003927B7">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BB1D4E" w:rsidRDefault="00BB1D4E" w:rsidP="00BB1D4E">
      <w:pPr>
        <w:spacing w:before="80"/>
        <w:rPr>
          <w:i/>
          <w:sz w:val="22"/>
          <w:lang w:val="en-US"/>
        </w:rPr>
      </w:pPr>
    </w:p>
    <w:p w:rsidR="00BB1D4E" w:rsidRDefault="00BB1D4E" w:rsidP="00BB1D4E">
      <w:pPr>
        <w:spacing w:before="80"/>
        <w:rPr>
          <w:i/>
          <w:sz w:val="22"/>
          <w:lang w:val="en-US"/>
        </w:rPr>
      </w:pPr>
    </w:p>
    <w:p w:rsidR="00BB1D4E" w:rsidRDefault="00BB1D4E" w:rsidP="00BB1D4E">
      <w:pPr>
        <w:spacing w:before="80"/>
        <w:rPr>
          <w:i/>
          <w:sz w:val="22"/>
          <w:lang w:val="en-US"/>
        </w:rPr>
      </w:pPr>
    </w:p>
    <w:p w:rsidR="00BB1D4E" w:rsidRDefault="00BB1D4E" w:rsidP="00BB1D4E">
      <w:pPr>
        <w:spacing w:before="80"/>
        <w:rPr>
          <w:i/>
          <w:sz w:val="22"/>
          <w:lang w:val="en-US"/>
        </w:rPr>
      </w:pPr>
    </w:p>
    <w:p w:rsidR="00BB1D4E" w:rsidRDefault="00BB1D4E" w:rsidP="00BB1D4E">
      <w:pPr>
        <w:spacing w:before="80"/>
        <w:rPr>
          <w:i/>
          <w:sz w:val="22"/>
          <w:lang w:val="en-US"/>
        </w:rPr>
      </w:pPr>
    </w:p>
    <w:p w:rsidR="00BB1D4E" w:rsidRDefault="00BB1D4E" w:rsidP="00BB1D4E">
      <w:pPr>
        <w:spacing w:before="80"/>
        <w:rPr>
          <w:i/>
          <w:sz w:val="22"/>
          <w:lang w:val="en-US"/>
        </w:rPr>
      </w:pPr>
    </w:p>
    <w:p w:rsidR="00BB1D4E" w:rsidRDefault="00BB1D4E" w:rsidP="00BB1D4E">
      <w:pPr>
        <w:rPr>
          <w:rFonts w:ascii="Palatino Linotype" w:hAnsi="Palatino Linotype"/>
          <w:lang w:val="en-US"/>
        </w:rPr>
        <w:sectPr w:rsidR="00BB1D4E" w:rsidSect="003927B7">
          <w:headerReference w:type="even" r:id="rId9"/>
          <w:headerReference w:type="default" r:id="rId10"/>
          <w:pgSz w:w="11907" w:h="16840" w:code="9"/>
          <w:pgMar w:top="1089" w:right="1089" w:bottom="284" w:left="1089" w:header="567" w:footer="284" w:gutter="0"/>
          <w:pgNumType w:start="1"/>
          <w:cols w:space="720"/>
        </w:sectPr>
      </w:pPr>
    </w:p>
    <w:p w:rsidR="00BB1D4E" w:rsidRDefault="00BB1D4E" w:rsidP="00BB1D4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B1D4E" w:rsidRDefault="00BB1D4E" w:rsidP="00BB1D4E">
      <w:pPr>
        <w:spacing w:before="240"/>
        <w:rPr>
          <w:sz w:val="20"/>
          <w:lang w:val="en-US"/>
        </w:rPr>
      </w:pPr>
      <w:r>
        <w:rPr>
          <w:sz w:val="20"/>
          <w:lang w:val="en-US"/>
        </w:rPr>
        <w:t xml:space="preserve">The role of the Radiocommunication Sector is to ensure the rational, equitable, efficient </w:t>
      </w:r>
      <w:r w:rsidR="005F61EA">
        <w:rPr>
          <w:sz w:val="20"/>
          <w:lang w:val="en-US"/>
        </w:rPr>
        <w:t>and economical use of the radio</w:t>
      </w:r>
      <w:r w:rsidR="005F61EA">
        <w:rPr>
          <w:sz w:val="20"/>
          <w:lang w:val="en-US"/>
        </w:rPr>
        <w:noBreakHyphen/>
      </w:r>
      <w:r>
        <w:rPr>
          <w:sz w:val="20"/>
          <w:lang w:val="en-US"/>
        </w:rPr>
        <w:t>frequency spectrum by all radiocommunication services, including satellite services, and carry out studies without limit of frequency range on the basis of which Recommendations are adopted.</w:t>
      </w:r>
    </w:p>
    <w:p w:rsidR="00BB1D4E" w:rsidRDefault="00BB1D4E" w:rsidP="00BB1D4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B1D4E" w:rsidRDefault="00BB1D4E" w:rsidP="00BB1D4E">
      <w:pPr>
        <w:pStyle w:val="Heading1"/>
        <w:spacing w:before="400"/>
        <w:jc w:val="center"/>
        <w:rPr>
          <w:szCs w:val="24"/>
          <w:lang w:val="en-US"/>
        </w:rPr>
      </w:pPr>
    </w:p>
    <w:p w:rsidR="00BB1D4E" w:rsidRDefault="00BB1D4E" w:rsidP="00BB1D4E">
      <w:pPr>
        <w:pStyle w:val="Heading1"/>
        <w:spacing w:before="540"/>
        <w:jc w:val="center"/>
        <w:rPr>
          <w:szCs w:val="24"/>
          <w:lang w:val="en-US"/>
        </w:rPr>
      </w:pPr>
      <w:r>
        <w:rPr>
          <w:szCs w:val="24"/>
          <w:lang w:val="en-US"/>
        </w:rPr>
        <w:t>Policy on Intellectual Property Right (IPR)</w:t>
      </w:r>
    </w:p>
    <w:p w:rsidR="00BB1D4E" w:rsidRDefault="00BB1D4E" w:rsidP="00BB1D4E">
      <w:pPr>
        <w:tabs>
          <w:tab w:val="left" w:pos="720"/>
        </w:tabs>
        <w:spacing w:before="240"/>
        <w:rPr>
          <w:sz w:val="20"/>
          <w:lang w:val="en-US"/>
        </w:rPr>
      </w:pPr>
      <w:r>
        <w:rPr>
          <w:sz w:val="20"/>
          <w:lang w:val="en-US"/>
        </w:rPr>
        <w:t>ITU-R policy on IPR is described in the Common Patent Policy for ITU-T/ITU-R/ISO/I</w:t>
      </w:r>
      <w:r w:rsidR="005F61EA">
        <w:rPr>
          <w:sz w:val="20"/>
          <w:lang w:val="en-US"/>
        </w:rPr>
        <w:t>EC referenced in Resolution ITU</w:t>
      </w:r>
      <w:r w:rsidR="005F61EA">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B1D4E" w:rsidRDefault="00BB1D4E" w:rsidP="00BB1D4E">
      <w:pPr>
        <w:jc w:val="center"/>
        <w:rPr>
          <w:sz w:val="22"/>
          <w:lang w:val="en-US"/>
        </w:rPr>
      </w:pPr>
    </w:p>
    <w:p w:rsidR="00BB1D4E" w:rsidRDefault="00BB1D4E" w:rsidP="00BB1D4E">
      <w:pPr>
        <w:jc w:val="center"/>
        <w:rPr>
          <w:sz w:val="22"/>
          <w:lang w:val="en-US"/>
        </w:rPr>
      </w:pPr>
    </w:p>
    <w:p w:rsidR="00BB1D4E" w:rsidRDefault="00BB1D4E" w:rsidP="00BB1D4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1D4E" w:rsidRPr="00310FAC" w:rsidTr="003927B7">
        <w:tc>
          <w:tcPr>
            <w:tcW w:w="9360" w:type="dxa"/>
            <w:gridSpan w:val="2"/>
            <w:tcBorders>
              <w:top w:val="single" w:sz="12" w:space="0" w:color="000080"/>
              <w:left w:val="single" w:sz="12" w:space="0" w:color="000080"/>
              <w:bottom w:val="nil"/>
              <w:right w:val="single" w:sz="12" w:space="0" w:color="000080"/>
            </w:tcBorders>
          </w:tcPr>
          <w:p w:rsidR="00BB1D4E" w:rsidRPr="00C7761D" w:rsidRDefault="00BB1D4E" w:rsidP="003927B7">
            <w:pPr>
              <w:pStyle w:val="ChapNo"/>
              <w:spacing w:before="240"/>
              <w:rPr>
                <w:sz w:val="22"/>
                <w:szCs w:val="22"/>
                <w:lang w:val="en-US"/>
              </w:rPr>
            </w:pPr>
            <w:r w:rsidRPr="00C7761D">
              <w:rPr>
                <w:sz w:val="22"/>
                <w:szCs w:val="22"/>
                <w:lang w:val="en-US"/>
              </w:rPr>
              <w:t xml:space="preserve">Series of ITU-R Reports </w:t>
            </w:r>
          </w:p>
          <w:p w:rsidR="00BB1D4E"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B1D4E" w:rsidTr="003927B7">
        <w:tc>
          <w:tcPr>
            <w:tcW w:w="1140" w:type="dxa"/>
            <w:tcBorders>
              <w:top w:val="nil"/>
              <w:left w:val="single" w:sz="12" w:space="0" w:color="000080"/>
              <w:bottom w:val="nil"/>
              <w:right w:val="nil"/>
            </w:tcBorders>
          </w:tcPr>
          <w:p w:rsidR="00BB1D4E" w:rsidRDefault="00BB1D4E" w:rsidP="003927B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B1D4E"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B1D4E" w:rsidTr="003927B7">
        <w:tc>
          <w:tcPr>
            <w:tcW w:w="1140" w:type="dxa"/>
            <w:tcBorders>
              <w:top w:val="nil"/>
              <w:left w:val="single" w:sz="12" w:space="0" w:color="000080"/>
              <w:bottom w:val="nil"/>
              <w:right w:val="nil"/>
            </w:tcBorders>
            <w:shd w:val="clear" w:color="auto" w:fill="auto"/>
          </w:tcPr>
          <w:p w:rsidR="00BB1D4E" w:rsidRPr="006F2B77" w:rsidRDefault="00BB1D4E" w:rsidP="003927B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B1D4E" w:rsidRPr="006F2B77"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B1D4E" w:rsidRPr="00310FAC"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B1D4E"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B1D4E" w:rsidRPr="00D55B55" w:rsidTr="003927B7">
        <w:tc>
          <w:tcPr>
            <w:tcW w:w="1140" w:type="dxa"/>
            <w:tcBorders>
              <w:top w:val="nil"/>
              <w:left w:val="single" w:sz="12" w:space="0" w:color="000080"/>
              <w:bottom w:val="nil"/>
              <w:right w:val="nil"/>
            </w:tcBorders>
            <w:shd w:val="clear" w:color="auto" w:fill="auto"/>
          </w:tcPr>
          <w:p w:rsidR="00BB1D4E" w:rsidRPr="00D55B55" w:rsidRDefault="00BB1D4E" w:rsidP="003927B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B1D4E" w:rsidRPr="00D55B55"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B1D4E" w:rsidRPr="00BD3F5C" w:rsidTr="003927B7">
        <w:tc>
          <w:tcPr>
            <w:tcW w:w="1140" w:type="dxa"/>
            <w:tcBorders>
              <w:top w:val="nil"/>
              <w:left w:val="single" w:sz="12" w:space="0" w:color="000080"/>
              <w:bottom w:val="nil"/>
              <w:right w:val="nil"/>
            </w:tcBorders>
            <w:shd w:val="clear" w:color="auto" w:fill="auto"/>
          </w:tcPr>
          <w:p w:rsidR="00BB1D4E" w:rsidRPr="00BD3F5C" w:rsidRDefault="00BB1D4E" w:rsidP="003927B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B1D4E" w:rsidRPr="00BD3F5C"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B1D4E" w:rsidTr="003927B7">
        <w:tc>
          <w:tcPr>
            <w:tcW w:w="1140" w:type="dxa"/>
            <w:tcBorders>
              <w:top w:val="nil"/>
              <w:left w:val="single" w:sz="12" w:space="0" w:color="000080"/>
              <w:bottom w:val="nil"/>
              <w:right w:val="nil"/>
            </w:tcBorders>
            <w:shd w:val="clear" w:color="auto" w:fill="F3F3F3"/>
          </w:tcPr>
          <w:p w:rsidR="00BB1D4E" w:rsidRPr="00D55B55" w:rsidRDefault="00BB1D4E" w:rsidP="003927B7">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BB1D4E" w:rsidRPr="00D55B55" w:rsidRDefault="00BB1D4E" w:rsidP="003927B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BB1D4E" w:rsidRPr="008D3D8D" w:rsidTr="003927B7">
        <w:tc>
          <w:tcPr>
            <w:tcW w:w="1140" w:type="dxa"/>
            <w:tcBorders>
              <w:top w:val="nil"/>
              <w:left w:val="single" w:sz="12" w:space="0" w:color="000080"/>
              <w:bottom w:val="nil"/>
              <w:right w:val="nil"/>
            </w:tcBorders>
            <w:shd w:val="clear" w:color="auto" w:fill="auto"/>
          </w:tcPr>
          <w:p w:rsidR="00BB1D4E" w:rsidRPr="008D3D8D" w:rsidRDefault="00BB1D4E" w:rsidP="003927B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B1D4E" w:rsidRPr="008D3D8D" w:rsidRDefault="00BB1D4E" w:rsidP="003927B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B1D4E"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B1D4E" w:rsidRDefault="00BB1D4E" w:rsidP="003927B7">
            <w:pPr>
              <w:spacing w:before="30" w:after="30"/>
              <w:jc w:val="left"/>
              <w:rPr>
                <w:sz w:val="20"/>
                <w:lang w:val="fr-CH"/>
              </w:rPr>
            </w:pPr>
            <w:r>
              <w:rPr>
                <w:sz w:val="20"/>
                <w:lang w:val="fr-CH"/>
              </w:rPr>
              <w:t>Radiowave propagation</w:t>
            </w:r>
          </w:p>
        </w:tc>
      </w:tr>
      <w:tr w:rsidR="00BB1D4E"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B1D4E" w:rsidRDefault="00BB1D4E" w:rsidP="003927B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B1D4E"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B1D4E" w:rsidRDefault="00BB1D4E" w:rsidP="003927B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B1D4E"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B1D4E" w:rsidRDefault="00BB1D4E" w:rsidP="003927B7">
            <w:pPr>
              <w:spacing w:before="30" w:after="30"/>
              <w:jc w:val="left"/>
              <w:rPr>
                <w:sz w:val="20"/>
                <w:lang w:val="en-US"/>
              </w:rPr>
            </w:pPr>
            <w:r>
              <w:rPr>
                <w:sz w:val="20"/>
                <w:lang w:val="en-US"/>
              </w:rPr>
              <w:t>Fixed-satellite service</w:t>
            </w:r>
          </w:p>
        </w:tc>
      </w:tr>
      <w:tr w:rsidR="00BB1D4E"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B1D4E" w:rsidRDefault="00BB1D4E" w:rsidP="003927B7">
            <w:pPr>
              <w:spacing w:before="30" w:after="30"/>
              <w:jc w:val="left"/>
              <w:rPr>
                <w:sz w:val="20"/>
                <w:lang w:val="en-US"/>
              </w:rPr>
            </w:pPr>
            <w:r>
              <w:rPr>
                <w:sz w:val="20"/>
                <w:lang w:val="en-US"/>
              </w:rPr>
              <w:t>Space applications and meteorology</w:t>
            </w:r>
          </w:p>
        </w:tc>
      </w:tr>
      <w:tr w:rsidR="00BB1D4E" w:rsidRPr="00310FAC" w:rsidTr="003927B7">
        <w:tc>
          <w:tcPr>
            <w:tcW w:w="1140" w:type="dxa"/>
            <w:tcBorders>
              <w:top w:val="nil"/>
              <w:left w:val="single" w:sz="12" w:space="0" w:color="000080"/>
              <w:bottom w:val="nil"/>
              <w:right w:val="nil"/>
            </w:tcBorders>
          </w:tcPr>
          <w:p w:rsidR="00BB1D4E" w:rsidRDefault="00BB1D4E" w:rsidP="003927B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B1D4E" w:rsidRDefault="00BB1D4E" w:rsidP="003927B7">
            <w:pPr>
              <w:spacing w:before="30" w:after="30"/>
              <w:jc w:val="left"/>
              <w:rPr>
                <w:sz w:val="20"/>
                <w:lang w:val="en-US"/>
              </w:rPr>
            </w:pPr>
            <w:r>
              <w:rPr>
                <w:sz w:val="20"/>
                <w:lang w:val="en-US"/>
              </w:rPr>
              <w:t>Frequency sharing and coordination between fixed-satellite and fixed service systems</w:t>
            </w:r>
          </w:p>
        </w:tc>
      </w:tr>
      <w:tr w:rsidR="00BB1D4E" w:rsidTr="003927B7">
        <w:tc>
          <w:tcPr>
            <w:tcW w:w="1140" w:type="dxa"/>
            <w:tcBorders>
              <w:top w:val="nil"/>
              <w:left w:val="single" w:sz="12" w:space="0" w:color="000080"/>
              <w:bottom w:val="single" w:sz="12" w:space="0" w:color="000080"/>
              <w:right w:val="nil"/>
            </w:tcBorders>
          </w:tcPr>
          <w:p w:rsidR="00BB1D4E" w:rsidRDefault="00BB1D4E" w:rsidP="003927B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B1D4E" w:rsidRDefault="00BB1D4E" w:rsidP="003927B7">
            <w:pPr>
              <w:spacing w:before="30" w:after="180"/>
              <w:jc w:val="left"/>
              <w:rPr>
                <w:sz w:val="20"/>
                <w:lang w:val="en-US"/>
              </w:rPr>
            </w:pPr>
            <w:r>
              <w:rPr>
                <w:sz w:val="20"/>
                <w:lang w:val="en-US"/>
              </w:rPr>
              <w:t>Spectrum management</w:t>
            </w:r>
          </w:p>
        </w:tc>
      </w:tr>
    </w:tbl>
    <w:p w:rsidR="00BB1D4E" w:rsidRDefault="00BB1D4E" w:rsidP="00BB1D4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1D4E" w:rsidTr="003927B7">
        <w:tc>
          <w:tcPr>
            <w:tcW w:w="720" w:type="dxa"/>
          </w:tcPr>
          <w:p w:rsidR="00BB1D4E" w:rsidRDefault="00BB1D4E" w:rsidP="003927B7">
            <w:pPr>
              <w:jc w:val="center"/>
              <w:rPr>
                <w:sz w:val="22"/>
                <w:lang w:val="en-US"/>
              </w:rPr>
            </w:pPr>
          </w:p>
        </w:tc>
      </w:tr>
    </w:tbl>
    <w:p w:rsidR="00BB1D4E" w:rsidRDefault="00BB1D4E" w:rsidP="00BB1D4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B1D4E" w:rsidRPr="00310FAC" w:rsidTr="003927B7">
        <w:tc>
          <w:tcPr>
            <w:tcW w:w="9360" w:type="dxa"/>
            <w:tcBorders>
              <w:top w:val="single" w:sz="12" w:space="0" w:color="000080"/>
              <w:left w:val="single" w:sz="12" w:space="0" w:color="000080"/>
              <w:bottom w:val="single" w:sz="12" w:space="0" w:color="000080"/>
              <w:right w:val="single" w:sz="12" w:space="0" w:color="000080"/>
            </w:tcBorders>
          </w:tcPr>
          <w:p w:rsidR="00BB1D4E" w:rsidRPr="00C92658" w:rsidRDefault="00BB1D4E" w:rsidP="003927B7">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BB1D4E" w:rsidRDefault="00BB1D4E" w:rsidP="00BB1D4E">
      <w:pPr>
        <w:spacing w:before="0"/>
        <w:jc w:val="center"/>
        <w:rPr>
          <w:sz w:val="22"/>
          <w:lang w:val="en-US"/>
        </w:rPr>
      </w:pPr>
    </w:p>
    <w:p w:rsidR="00BB1D4E" w:rsidRDefault="00BB1D4E" w:rsidP="00BB1D4E">
      <w:pPr>
        <w:spacing w:before="0"/>
        <w:jc w:val="center"/>
        <w:rPr>
          <w:sz w:val="22"/>
          <w:lang w:val="en-US"/>
        </w:rPr>
      </w:pPr>
    </w:p>
    <w:p w:rsidR="00BB1D4E" w:rsidRDefault="00BB1D4E" w:rsidP="00BB1D4E">
      <w:pPr>
        <w:spacing w:before="0"/>
        <w:jc w:val="right"/>
        <w:rPr>
          <w:i/>
          <w:iCs/>
          <w:sz w:val="20"/>
          <w:lang w:val="en-US"/>
        </w:rPr>
      </w:pPr>
      <w:r>
        <w:rPr>
          <w:i/>
          <w:iCs/>
          <w:sz w:val="20"/>
          <w:lang w:val="en-US"/>
        </w:rPr>
        <w:t>Electronic Publication</w:t>
      </w:r>
    </w:p>
    <w:p w:rsidR="00BB1D4E" w:rsidRDefault="00BB1D4E" w:rsidP="00BB1D4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2018</w:t>
      </w:r>
    </w:p>
    <w:p w:rsidR="00BB1D4E" w:rsidRDefault="00BB1D4E" w:rsidP="00BB1D4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2018</w:t>
      </w:r>
    </w:p>
    <w:p w:rsidR="00BB1D4E" w:rsidRDefault="00BB1D4E" w:rsidP="00BB1D4E">
      <w:pPr>
        <w:rPr>
          <w:sz w:val="18"/>
          <w:szCs w:val="18"/>
          <w:lang w:val="en-US"/>
        </w:rPr>
      </w:pPr>
      <w:r>
        <w:rPr>
          <w:sz w:val="18"/>
          <w:szCs w:val="18"/>
          <w:lang w:val="en-US"/>
        </w:rPr>
        <w:t>All rights reserved. No part of this publication may be reproduced, by any means whatsoever, without written permission of ITU.</w:t>
      </w:r>
    </w:p>
    <w:p w:rsidR="00BB1D4E" w:rsidRDefault="00BB1D4E" w:rsidP="00BB1D4E">
      <w:pPr>
        <w:tabs>
          <w:tab w:val="clear" w:pos="794"/>
          <w:tab w:val="clear" w:pos="1191"/>
          <w:tab w:val="clear" w:pos="1588"/>
          <w:tab w:val="clear" w:pos="1985"/>
        </w:tabs>
        <w:overflowPunct/>
        <w:autoSpaceDE/>
        <w:autoSpaceDN/>
        <w:adjustRightInd/>
        <w:spacing w:before="0"/>
        <w:jc w:val="left"/>
        <w:rPr>
          <w:i/>
          <w:sz w:val="20"/>
          <w:lang w:val="en-US"/>
        </w:rPr>
        <w:sectPr w:rsidR="00BB1D4E">
          <w:pgSz w:w="11907" w:h="16834"/>
          <w:pgMar w:top="1418" w:right="1134" w:bottom="1134" w:left="1134" w:header="720" w:footer="482" w:gutter="0"/>
          <w:paperSrc w:first="15" w:other="15"/>
          <w:pgNumType w:fmt="lowerRoman" w:start="2"/>
          <w:cols w:space="720"/>
        </w:sectPr>
      </w:pPr>
    </w:p>
    <w:p w:rsidR="00BB1D4E" w:rsidRPr="008D3D8D" w:rsidRDefault="00BB1D4E" w:rsidP="00BB1D4E">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2438-0</w:t>
      </w:r>
    </w:p>
    <w:p w:rsidR="003927B7" w:rsidRDefault="003927B7" w:rsidP="003927B7">
      <w:pPr>
        <w:pStyle w:val="Reptitle"/>
        <w:rPr>
          <w:lang w:val="en-US"/>
        </w:rPr>
      </w:pPr>
      <w:r w:rsidRPr="00BB1D4E">
        <w:rPr>
          <w:lang w:val="en-GB"/>
        </w:rPr>
        <w:t>Spectrum needs of high</w:t>
      </w:r>
      <w:r w:rsidRPr="00BB1D4E">
        <w:rPr>
          <w:lang w:val="en-GB"/>
        </w:rPr>
        <w:noBreakHyphen/>
        <w:t xml:space="preserve">altitude platform stations broadband links </w:t>
      </w:r>
      <w:r w:rsidRPr="00BB1D4E">
        <w:rPr>
          <w:lang w:val="en-GB"/>
        </w:rPr>
        <w:br/>
        <w:t>operating in the fixed service</w:t>
      </w:r>
    </w:p>
    <w:p w:rsidR="00B24B6C" w:rsidRPr="003927B7" w:rsidRDefault="00B24B6C" w:rsidP="00B24B6C">
      <w:pPr>
        <w:pStyle w:val="Recdate"/>
        <w:rPr>
          <w:lang w:val="en-US"/>
        </w:rPr>
      </w:pPr>
      <w:r w:rsidRPr="003927B7">
        <w:rPr>
          <w:lang w:val="en-US"/>
        </w:rPr>
        <w:t>(2018)</w:t>
      </w:r>
    </w:p>
    <w:p w:rsidR="00BB1D4E" w:rsidRPr="00BB1D4E" w:rsidRDefault="00BB1D4E" w:rsidP="00BB1D4E">
      <w:pPr>
        <w:pStyle w:val="Heading1"/>
        <w:rPr>
          <w:lang w:val="en-US"/>
        </w:rPr>
      </w:pPr>
      <w:r w:rsidRPr="00BB1D4E">
        <w:rPr>
          <w:lang w:val="en-US"/>
        </w:rPr>
        <w:t>1</w:t>
      </w:r>
      <w:r w:rsidRPr="00BB1D4E">
        <w:rPr>
          <w:lang w:val="en-US"/>
        </w:rPr>
        <w:tab/>
        <w:t>Scope</w:t>
      </w:r>
    </w:p>
    <w:p w:rsidR="00BB1D4E" w:rsidRPr="00BB1D4E" w:rsidRDefault="00BB1D4E" w:rsidP="00BB1D4E">
      <w:pPr>
        <w:rPr>
          <w:lang w:val="en-US"/>
        </w:rPr>
      </w:pPr>
      <w:r w:rsidRPr="00BB1D4E">
        <w:rPr>
          <w:lang w:val="en-US"/>
        </w:rPr>
        <w:t>The 2015 World Radiocommunication Conference (WRC</w:t>
      </w:r>
      <w:r w:rsidR="00B24B6C">
        <w:rPr>
          <w:lang w:val="en-US"/>
        </w:rPr>
        <w:t>-15</w:t>
      </w:r>
      <w:r w:rsidRPr="00BB1D4E">
        <w:rPr>
          <w:lang w:val="en-US"/>
        </w:rPr>
        <w:t>) a</w:t>
      </w:r>
      <w:r w:rsidR="00C546FC">
        <w:rPr>
          <w:lang w:val="en-US"/>
        </w:rPr>
        <w:t>dopted agenda item 1.14 for WRC</w:t>
      </w:r>
      <w:r w:rsidR="00C546FC">
        <w:rPr>
          <w:lang w:val="en-US"/>
        </w:rPr>
        <w:noBreakHyphen/>
      </w:r>
      <w:r w:rsidRPr="00BB1D4E">
        <w:rPr>
          <w:lang w:val="en-US"/>
        </w:rPr>
        <w:t xml:space="preserve">19 along with Resolution </w:t>
      </w:r>
      <w:r w:rsidRPr="00BB1D4E">
        <w:rPr>
          <w:b/>
          <w:lang w:val="en-US"/>
        </w:rPr>
        <w:t>160 (WRC-15)</w:t>
      </w:r>
      <w:r w:rsidRPr="00BB1D4E">
        <w:rPr>
          <w:lang w:val="en-US"/>
        </w:rPr>
        <w:t xml:space="preserve"> on facilitating access to broadband applications delivered by high altitude platform station (HAPS).</w:t>
      </w:r>
    </w:p>
    <w:p w:rsidR="00BB1D4E" w:rsidRPr="00BB1D4E" w:rsidRDefault="00BB1D4E" w:rsidP="00BB1D4E">
      <w:pPr>
        <w:rPr>
          <w:lang w:val="en-US"/>
        </w:rPr>
      </w:pPr>
      <w:r w:rsidRPr="00BB1D4E">
        <w:rPr>
          <w:lang w:val="en-US"/>
        </w:rPr>
        <w:t xml:space="preserve">This contribution addresses </w:t>
      </w:r>
      <w:r w:rsidRPr="00BB1D4E">
        <w:rPr>
          <w:i/>
          <w:iCs/>
          <w:lang w:val="en-US"/>
        </w:rPr>
        <w:t>resolves</w:t>
      </w:r>
      <w:r w:rsidRPr="00BB1D4E">
        <w:rPr>
          <w:lang w:val="en-US"/>
        </w:rPr>
        <w:t xml:space="preserve"> 1 of WRC-19 agenda item 1.14, which invites the ITU-R to study additional spectrum needs for gateway and fixed terminal links required for HAPS to provide broadband connectivity in the fixed service.</w:t>
      </w:r>
    </w:p>
    <w:p w:rsidR="00BB1D4E" w:rsidRPr="00BB1D4E" w:rsidRDefault="00BB1D4E" w:rsidP="00BB1D4E">
      <w:pPr>
        <w:pStyle w:val="Heading1"/>
        <w:rPr>
          <w:lang w:val="en-US"/>
        </w:rPr>
      </w:pPr>
      <w:r w:rsidRPr="00BB1D4E">
        <w:rPr>
          <w:lang w:val="en-US"/>
        </w:rPr>
        <w:t>2</w:t>
      </w:r>
      <w:r w:rsidRPr="00BB1D4E">
        <w:rPr>
          <w:lang w:val="en-US"/>
        </w:rPr>
        <w:tab/>
        <w:t>Introduction</w:t>
      </w:r>
    </w:p>
    <w:p w:rsidR="00BB1D4E" w:rsidRPr="00BB1D4E" w:rsidRDefault="00BB1D4E" w:rsidP="00BB1D4E">
      <w:pPr>
        <w:rPr>
          <w:lang w:val="en-US"/>
        </w:rPr>
      </w:pPr>
      <w:r w:rsidRPr="00BB1D4E">
        <w:rPr>
          <w:lang w:val="en-US"/>
        </w:rPr>
        <w:t>This Report, including its Annexes</w:t>
      </w:r>
      <w:r w:rsidR="00B24B6C">
        <w:rPr>
          <w:lang w:val="en-US"/>
        </w:rPr>
        <w:t>,</w:t>
      </w:r>
      <w:r w:rsidRPr="00BB1D4E">
        <w:rPr>
          <w:lang w:val="en-US"/>
        </w:rPr>
        <w:t xml:space="preserve"> and under the framework of WRC-19 agenda item 1.14, provides the results of HAPS broadband applications spectrum needs.</w:t>
      </w:r>
    </w:p>
    <w:p w:rsidR="00BB1D4E" w:rsidRPr="00B24B6C" w:rsidRDefault="00BB1D4E" w:rsidP="004620B6">
      <w:pPr>
        <w:pStyle w:val="Heading1"/>
        <w:rPr>
          <w:lang w:val="en-GB"/>
        </w:rPr>
      </w:pPr>
      <w:r w:rsidRPr="00B24B6C">
        <w:rPr>
          <w:lang w:val="en-GB"/>
        </w:rPr>
        <w:t>3</w:t>
      </w:r>
      <w:r w:rsidRPr="00B24B6C">
        <w:rPr>
          <w:lang w:val="en-GB"/>
        </w:rPr>
        <w:tab/>
        <w:t>Glossary</w:t>
      </w:r>
    </w:p>
    <w:p w:rsidR="00BB1D4E" w:rsidRPr="00BB1D4E" w:rsidRDefault="00BB1D4E" w:rsidP="005671D4">
      <w:pPr>
        <w:tabs>
          <w:tab w:val="clear" w:pos="794"/>
        </w:tabs>
        <w:rPr>
          <w:szCs w:val="24"/>
          <w:lang w:val="en-US"/>
        </w:rPr>
      </w:pPr>
      <w:r w:rsidRPr="00BB1D4E">
        <w:rPr>
          <w:szCs w:val="24"/>
          <w:lang w:val="en-US"/>
        </w:rPr>
        <w:t>CDF</w:t>
      </w:r>
      <w:r w:rsidRPr="00BB1D4E">
        <w:rPr>
          <w:szCs w:val="24"/>
          <w:lang w:val="en-US"/>
        </w:rPr>
        <w:tab/>
        <w:t>Cumulative distribution function</w:t>
      </w:r>
    </w:p>
    <w:p w:rsidR="00BB1D4E" w:rsidRPr="00BB1D4E" w:rsidRDefault="00BB1D4E" w:rsidP="005671D4">
      <w:pPr>
        <w:tabs>
          <w:tab w:val="clear" w:pos="794"/>
        </w:tabs>
        <w:rPr>
          <w:szCs w:val="24"/>
          <w:lang w:val="en-US"/>
        </w:rPr>
      </w:pPr>
      <w:r w:rsidRPr="00BB1D4E">
        <w:rPr>
          <w:szCs w:val="24"/>
          <w:lang w:val="en-US"/>
        </w:rPr>
        <w:t>CPE</w:t>
      </w:r>
      <w:r w:rsidRPr="00BB1D4E">
        <w:rPr>
          <w:szCs w:val="24"/>
          <w:lang w:val="en-US"/>
        </w:rPr>
        <w:tab/>
        <w:t>Customer premise</w:t>
      </w:r>
      <w:r w:rsidR="00824C36">
        <w:rPr>
          <w:szCs w:val="24"/>
          <w:lang w:val="en-US"/>
        </w:rPr>
        <w:t>s</w:t>
      </w:r>
      <w:r w:rsidRPr="00BB1D4E">
        <w:rPr>
          <w:szCs w:val="24"/>
          <w:lang w:val="en-US"/>
        </w:rPr>
        <w:t xml:space="preserve"> equipment (serves fixed terminal links between HAPS and customer </w:t>
      </w:r>
      <w:r w:rsidRPr="00BB1D4E">
        <w:rPr>
          <w:szCs w:val="24"/>
          <w:lang w:val="en-US"/>
        </w:rPr>
        <w:tab/>
        <w:t>networks)</w:t>
      </w:r>
    </w:p>
    <w:p w:rsidR="00BB1D4E" w:rsidRPr="00BB1D4E" w:rsidRDefault="00BB1D4E" w:rsidP="005671D4">
      <w:pPr>
        <w:tabs>
          <w:tab w:val="clear" w:pos="794"/>
        </w:tabs>
        <w:rPr>
          <w:szCs w:val="24"/>
          <w:lang w:val="en-US"/>
        </w:rPr>
      </w:pPr>
      <w:r w:rsidRPr="00BB1D4E">
        <w:rPr>
          <w:szCs w:val="24"/>
          <w:lang w:val="en-US"/>
        </w:rPr>
        <w:t>DL</w:t>
      </w:r>
      <w:r w:rsidRPr="00BB1D4E">
        <w:rPr>
          <w:szCs w:val="24"/>
          <w:lang w:val="en-US"/>
        </w:rPr>
        <w:tab/>
        <w:t>Down Link</w:t>
      </w:r>
    </w:p>
    <w:p w:rsidR="00BB1D4E" w:rsidRPr="00BB1D4E" w:rsidRDefault="00BB1D4E" w:rsidP="005671D4">
      <w:pPr>
        <w:tabs>
          <w:tab w:val="clear" w:pos="794"/>
        </w:tabs>
        <w:rPr>
          <w:szCs w:val="24"/>
          <w:lang w:val="en-US"/>
        </w:rPr>
      </w:pPr>
      <w:r w:rsidRPr="00BB1D4E">
        <w:rPr>
          <w:szCs w:val="24"/>
          <w:lang w:val="en-US"/>
        </w:rPr>
        <w:t>e.i.r.p.</w:t>
      </w:r>
      <w:r w:rsidRPr="00BB1D4E">
        <w:rPr>
          <w:szCs w:val="24"/>
          <w:lang w:val="en-US"/>
        </w:rPr>
        <w:tab/>
        <w:t>Equivalent isotopically radiated power</w:t>
      </w:r>
    </w:p>
    <w:p w:rsidR="00BB1D4E" w:rsidRPr="00BB1D4E" w:rsidRDefault="00BB1D4E" w:rsidP="005671D4">
      <w:pPr>
        <w:tabs>
          <w:tab w:val="clear" w:pos="794"/>
        </w:tabs>
        <w:rPr>
          <w:szCs w:val="24"/>
          <w:lang w:val="en-US"/>
        </w:rPr>
      </w:pPr>
      <w:r w:rsidRPr="00BB1D4E">
        <w:rPr>
          <w:szCs w:val="24"/>
          <w:lang w:val="en-US"/>
        </w:rPr>
        <w:t>G/T</w:t>
      </w:r>
      <w:r w:rsidRPr="00BB1D4E">
        <w:rPr>
          <w:szCs w:val="24"/>
          <w:lang w:val="en-US"/>
        </w:rPr>
        <w:tab/>
        <w:t>Gain to equivalent system temperature ratio</w:t>
      </w:r>
    </w:p>
    <w:p w:rsidR="00BB1D4E" w:rsidRPr="00BB1D4E" w:rsidRDefault="00BB1D4E" w:rsidP="005671D4">
      <w:pPr>
        <w:tabs>
          <w:tab w:val="clear" w:pos="794"/>
        </w:tabs>
        <w:rPr>
          <w:szCs w:val="24"/>
          <w:lang w:val="en-US"/>
        </w:rPr>
      </w:pPr>
      <w:r w:rsidRPr="00BB1D4E">
        <w:rPr>
          <w:szCs w:val="24"/>
          <w:lang w:val="en-US"/>
        </w:rPr>
        <w:t>GW</w:t>
      </w:r>
      <w:r w:rsidRPr="00BB1D4E">
        <w:rPr>
          <w:szCs w:val="24"/>
          <w:lang w:val="en-US"/>
        </w:rPr>
        <w:tab/>
        <w:t>Gateway (provides feeder link service between ground and HAPS)</w:t>
      </w:r>
    </w:p>
    <w:p w:rsidR="00BB1D4E" w:rsidRPr="00BB1D4E" w:rsidRDefault="00BB1D4E" w:rsidP="005671D4">
      <w:pPr>
        <w:tabs>
          <w:tab w:val="clear" w:pos="794"/>
        </w:tabs>
        <w:rPr>
          <w:szCs w:val="24"/>
          <w:lang w:val="en-US"/>
        </w:rPr>
      </w:pPr>
      <w:r w:rsidRPr="00BB1D4E">
        <w:rPr>
          <w:szCs w:val="24"/>
          <w:lang w:val="en-US"/>
        </w:rPr>
        <w:t>HAPS</w:t>
      </w:r>
      <w:r w:rsidRPr="00BB1D4E">
        <w:rPr>
          <w:szCs w:val="24"/>
          <w:lang w:val="en-US"/>
        </w:rPr>
        <w:tab/>
        <w:t xml:space="preserve">High altitude platform station </w:t>
      </w:r>
    </w:p>
    <w:p w:rsidR="00BB1D4E" w:rsidRPr="00BB1D4E" w:rsidRDefault="00BB1D4E" w:rsidP="005671D4">
      <w:pPr>
        <w:tabs>
          <w:tab w:val="clear" w:pos="794"/>
        </w:tabs>
        <w:rPr>
          <w:szCs w:val="24"/>
          <w:lang w:val="en-US"/>
        </w:rPr>
      </w:pPr>
      <w:r w:rsidRPr="00BB1D4E">
        <w:rPr>
          <w:szCs w:val="24"/>
          <w:lang w:val="en-US"/>
        </w:rPr>
        <w:t>LHCP</w:t>
      </w:r>
      <w:r w:rsidRPr="00BB1D4E">
        <w:rPr>
          <w:szCs w:val="24"/>
          <w:lang w:val="en-US"/>
        </w:rPr>
        <w:tab/>
        <w:t>Left hand circular polarisation</w:t>
      </w:r>
    </w:p>
    <w:p w:rsidR="00BB1D4E" w:rsidRPr="00BB1D4E" w:rsidRDefault="00BB1D4E" w:rsidP="005671D4">
      <w:pPr>
        <w:tabs>
          <w:tab w:val="clear" w:pos="794"/>
        </w:tabs>
        <w:rPr>
          <w:szCs w:val="24"/>
          <w:lang w:val="en-US"/>
        </w:rPr>
      </w:pPr>
      <w:r w:rsidRPr="00BB1D4E">
        <w:rPr>
          <w:szCs w:val="24"/>
          <w:lang w:val="en-US"/>
        </w:rPr>
        <w:t>PPDR</w:t>
      </w:r>
      <w:r w:rsidRPr="00BB1D4E">
        <w:rPr>
          <w:szCs w:val="24"/>
          <w:lang w:val="en-US"/>
        </w:rPr>
        <w:tab/>
        <w:t>Public protection and disaster relief</w:t>
      </w:r>
    </w:p>
    <w:p w:rsidR="00BB1D4E" w:rsidRPr="00BB1D4E" w:rsidRDefault="00BB1D4E" w:rsidP="005671D4">
      <w:pPr>
        <w:tabs>
          <w:tab w:val="clear" w:pos="794"/>
        </w:tabs>
        <w:rPr>
          <w:szCs w:val="24"/>
          <w:lang w:val="en-US"/>
        </w:rPr>
      </w:pPr>
      <w:r w:rsidRPr="00BB1D4E">
        <w:rPr>
          <w:szCs w:val="24"/>
          <w:lang w:val="en-US"/>
        </w:rPr>
        <w:t>Pfd</w:t>
      </w:r>
      <w:r w:rsidRPr="00BB1D4E">
        <w:rPr>
          <w:szCs w:val="24"/>
          <w:lang w:val="en-US"/>
        </w:rPr>
        <w:tab/>
        <w:t>Power flux density</w:t>
      </w:r>
    </w:p>
    <w:p w:rsidR="00BB1D4E" w:rsidRPr="00BB1D4E" w:rsidRDefault="00BB1D4E" w:rsidP="005671D4">
      <w:pPr>
        <w:tabs>
          <w:tab w:val="clear" w:pos="794"/>
        </w:tabs>
        <w:rPr>
          <w:szCs w:val="24"/>
          <w:lang w:val="en-US"/>
        </w:rPr>
      </w:pPr>
      <w:r w:rsidRPr="00BB1D4E">
        <w:rPr>
          <w:szCs w:val="24"/>
          <w:lang w:val="en-US"/>
        </w:rPr>
        <w:t>RHCP</w:t>
      </w:r>
      <w:r w:rsidRPr="00BB1D4E">
        <w:rPr>
          <w:szCs w:val="24"/>
          <w:lang w:val="en-US"/>
        </w:rPr>
        <w:tab/>
        <w:t>Right hand circular polarisation</w:t>
      </w:r>
    </w:p>
    <w:p w:rsidR="00BB1D4E" w:rsidRPr="00BB1D4E" w:rsidRDefault="00BB1D4E" w:rsidP="005671D4">
      <w:pPr>
        <w:tabs>
          <w:tab w:val="clear" w:pos="794"/>
        </w:tabs>
        <w:rPr>
          <w:szCs w:val="24"/>
          <w:lang w:val="en-US"/>
        </w:rPr>
      </w:pPr>
      <w:r w:rsidRPr="00BB1D4E">
        <w:rPr>
          <w:szCs w:val="24"/>
          <w:lang w:val="en-US"/>
        </w:rPr>
        <w:t>TX</w:t>
      </w:r>
      <w:r w:rsidRPr="00BB1D4E">
        <w:rPr>
          <w:szCs w:val="24"/>
          <w:lang w:val="en-US"/>
        </w:rPr>
        <w:tab/>
        <w:t>Transmitter</w:t>
      </w:r>
    </w:p>
    <w:p w:rsidR="00BB1D4E" w:rsidRPr="00BB1D4E" w:rsidRDefault="00BB1D4E" w:rsidP="005671D4">
      <w:pPr>
        <w:tabs>
          <w:tab w:val="clear" w:pos="794"/>
        </w:tabs>
        <w:rPr>
          <w:szCs w:val="24"/>
          <w:lang w:val="en-US"/>
        </w:rPr>
      </w:pPr>
      <w:r w:rsidRPr="00BB1D4E">
        <w:rPr>
          <w:szCs w:val="24"/>
          <w:lang w:val="en-US"/>
        </w:rPr>
        <w:t>UL</w:t>
      </w:r>
      <w:r w:rsidRPr="00BB1D4E">
        <w:rPr>
          <w:szCs w:val="24"/>
          <w:lang w:val="en-US"/>
        </w:rPr>
        <w:tab/>
        <w:t>Up Link</w:t>
      </w:r>
    </w:p>
    <w:p w:rsidR="00BB1D4E" w:rsidRPr="00824C36" w:rsidRDefault="00BB1D4E" w:rsidP="003927B7">
      <w:pPr>
        <w:pStyle w:val="Heading1"/>
        <w:rPr>
          <w:lang w:val="en-US"/>
        </w:rPr>
      </w:pPr>
      <w:r w:rsidRPr="00824C36">
        <w:rPr>
          <w:lang w:val="en-US"/>
        </w:rPr>
        <w:t>4</w:t>
      </w:r>
      <w:r w:rsidRPr="00824C36">
        <w:rPr>
          <w:lang w:val="en-US"/>
        </w:rPr>
        <w:tab/>
        <w:t>Broadband HAPS applications</w:t>
      </w:r>
    </w:p>
    <w:p w:rsidR="00BB1D4E" w:rsidRPr="00824C36" w:rsidRDefault="00BB1D4E" w:rsidP="003927B7">
      <w:pPr>
        <w:pStyle w:val="Heading2"/>
        <w:rPr>
          <w:lang w:val="en-US"/>
        </w:rPr>
      </w:pPr>
      <w:r w:rsidRPr="00824C36">
        <w:rPr>
          <w:lang w:val="en-US"/>
        </w:rPr>
        <w:t>4.1</w:t>
      </w:r>
      <w:r w:rsidRPr="00824C36">
        <w:rPr>
          <w:lang w:val="en-US"/>
        </w:rPr>
        <w:tab/>
        <w:t>Broadband HAPS connectivity applications</w:t>
      </w:r>
    </w:p>
    <w:p w:rsidR="00BB1D4E" w:rsidRPr="00BB1D4E" w:rsidRDefault="00BB1D4E" w:rsidP="00BB1D4E">
      <w:pPr>
        <w:rPr>
          <w:lang w:val="en-US"/>
        </w:rPr>
      </w:pPr>
      <w:r w:rsidRPr="00BB1D4E">
        <w:rPr>
          <w:lang w:val="en-US"/>
        </w:rPr>
        <w:t>The aim of HAPS broadband connectivity is to provide internet acce</w:t>
      </w:r>
      <w:r w:rsidR="00534E20">
        <w:rPr>
          <w:lang w:val="en-US"/>
        </w:rPr>
        <w:t>ss to users on a medium to long</w:t>
      </w:r>
      <w:r w:rsidR="00534E20">
        <w:rPr>
          <w:lang w:val="en-US"/>
        </w:rPr>
        <w:noBreakHyphen/>
      </w:r>
      <w:r w:rsidRPr="00BB1D4E">
        <w:rPr>
          <w:lang w:val="en-US"/>
        </w:rPr>
        <w:t>term basis. It can be direct to home access, or it can be a link to an access point.</w:t>
      </w:r>
    </w:p>
    <w:p w:rsidR="00BB1D4E" w:rsidRPr="00BB1D4E" w:rsidRDefault="00BB1D4E" w:rsidP="00BB1D4E">
      <w:pPr>
        <w:pStyle w:val="Heading2"/>
        <w:rPr>
          <w:lang w:val="en-US"/>
        </w:rPr>
      </w:pPr>
      <w:r w:rsidRPr="00BB1D4E">
        <w:rPr>
          <w:lang w:val="en-US"/>
        </w:rPr>
        <w:lastRenderedPageBreak/>
        <w:t>4.2</w:t>
      </w:r>
      <w:r w:rsidRPr="00BB1D4E">
        <w:rPr>
          <w:lang w:val="en-US"/>
        </w:rPr>
        <w:tab/>
        <w:t xml:space="preserve">Broadband HAPS for specific applications </w:t>
      </w:r>
    </w:p>
    <w:p w:rsidR="00BB1D4E" w:rsidRPr="00BB1D4E" w:rsidRDefault="00BB1D4E" w:rsidP="00BB1D4E">
      <w:pPr>
        <w:rPr>
          <w:lang w:val="en-US"/>
        </w:rPr>
      </w:pPr>
      <w:r w:rsidRPr="00BB1D4E">
        <w:rPr>
          <w:lang w:val="en-US"/>
        </w:rPr>
        <w:t>In contrast to the broadband connectivity case described above, broadband HAPS for specific applications is designed to focus on various usage cases. Some broadband HAPS specific applications communication usages foreseen are:</w:t>
      </w:r>
    </w:p>
    <w:p w:rsidR="00BB1D4E" w:rsidRPr="00BB1D4E" w:rsidRDefault="00BB1D4E" w:rsidP="00BB1D4E">
      <w:pPr>
        <w:pStyle w:val="enumlev1"/>
        <w:rPr>
          <w:lang w:val="en-US"/>
        </w:rPr>
      </w:pPr>
      <w:r w:rsidRPr="00BB1D4E">
        <w:rPr>
          <w:lang w:val="en-US"/>
        </w:rPr>
        <w:t>–</w:t>
      </w:r>
      <w:r w:rsidRPr="00BB1D4E">
        <w:rPr>
          <w:lang w:val="en-US"/>
        </w:rPr>
        <w:tab/>
        <w:t>Natural disaster relief missions, where communication for coordination and situation awareness across help and humanitarian aid organisations is needed.</w:t>
      </w:r>
    </w:p>
    <w:p w:rsidR="00BB1D4E" w:rsidRPr="00BB1D4E" w:rsidRDefault="00BB1D4E" w:rsidP="00BB1D4E">
      <w:pPr>
        <w:pStyle w:val="enumlev1"/>
        <w:rPr>
          <w:lang w:val="en-US"/>
        </w:rPr>
      </w:pPr>
      <w:r w:rsidRPr="00BB1D4E">
        <w:rPr>
          <w:lang w:val="en-US"/>
        </w:rPr>
        <w:t>–</w:t>
      </w:r>
      <w:r w:rsidRPr="00BB1D4E">
        <w:rPr>
          <w:lang w:val="en-US"/>
        </w:rPr>
        <w:tab/>
        <w:t>Fire detection, monitoring and firefighting missions to ensure communication between actors.</w:t>
      </w:r>
    </w:p>
    <w:p w:rsidR="00BB1D4E" w:rsidRPr="00BB1D4E" w:rsidRDefault="00BB1D4E" w:rsidP="00BB1D4E">
      <w:pPr>
        <w:pStyle w:val="enumlev1"/>
        <w:rPr>
          <w:lang w:val="en-US"/>
        </w:rPr>
      </w:pPr>
      <w:r w:rsidRPr="00BB1D4E">
        <w:rPr>
          <w:lang w:val="en-US"/>
        </w:rPr>
        <w:t>–</w:t>
      </w:r>
      <w:r w:rsidRPr="00BB1D4E">
        <w:rPr>
          <w:lang w:val="en-US"/>
        </w:rPr>
        <w:tab/>
        <w:t>Law enforcement with communication needs across local actors and regional headquarters.</w:t>
      </w:r>
    </w:p>
    <w:p w:rsidR="00BB1D4E" w:rsidRPr="00BB1D4E" w:rsidRDefault="00BB1D4E" w:rsidP="00BB1D4E">
      <w:pPr>
        <w:pStyle w:val="enumlev1"/>
        <w:rPr>
          <w:lang w:val="en-US"/>
        </w:rPr>
      </w:pPr>
      <w:r w:rsidRPr="00BB1D4E">
        <w:rPr>
          <w:lang w:val="en-US"/>
        </w:rPr>
        <w:t>–</w:t>
      </w:r>
      <w:r w:rsidRPr="00BB1D4E">
        <w:rPr>
          <w:lang w:val="en-US"/>
        </w:rPr>
        <w:tab/>
        <w:t>Exploration missions with communication needs between exploration teams and regional home base.</w:t>
      </w:r>
    </w:p>
    <w:p w:rsidR="00BB1D4E" w:rsidRPr="00BB1D4E" w:rsidRDefault="00BB1D4E" w:rsidP="00BB1D4E">
      <w:pPr>
        <w:pStyle w:val="Heading1"/>
        <w:rPr>
          <w:lang w:val="en-US"/>
        </w:rPr>
      </w:pPr>
      <w:r w:rsidRPr="00BB1D4E">
        <w:rPr>
          <w:lang w:val="en-US"/>
        </w:rPr>
        <w:t>5</w:t>
      </w:r>
      <w:r w:rsidRPr="00BB1D4E">
        <w:rPr>
          <w:lang w:val="en-US"/>
        </w:rPr>
        <w:tab/>
        <w:t>Harmonization of spectrum</w:t>
      </w:r>
    </w:p>
    <w:p w:rsidR="00BB1D4E" w:rsidRPr="00BB1D4E" w:rsidRDefault="00BB1D4E" w:rsidP="00BB1D4E">
      <w:pPr>
        <w:rPr>
          <w:lang w:val="en-US"/>
        </w:rPr>
      </w:pPr>
      <w:r w:rsidRPr="00BB1D4E">
        <w:rPr>
          <w:lang w:val="en-US"/>
        </w:rPr>
        <w:t>Experience has shown spectrum that is harmonized has benefits including economic benefits, the development of compatible networks and effective services. This also supports interoperability of equipment internationally and nationally for those agencies that require national and cross-border cooperation with other agencies and organizations. Specifically, some potential benefits are identified to be economies of scale in the manufacturing, competitive market for equipment, increased spectral efficiency, efficient planning of HAPS spectrum and effective response to disaster relief.</w:t>
      </w:r>
    </w:p>
    <w:p w:rsidR="00BB1D4E" w:rsidRPr="00824C36" w:rsidRDefault="00BB1D4E" w:rsidP="005671D4">
      <w:pPr>
        <w:pStyle w:val="Heading1"/>
        <w:rPr>
          <w:lang w:val="en-US"/>
        </w:rPr>
      </w:pPr>
      <w:r w:rsidRPr="00824C36">
        <w:rPr>
          <w:lang w:val="en-US"/>
        </w:rPr>
        <w:t>6</w:t>
      </w:r>
      <w:r w:rsidRPr="00824C36">
        <w:rPr>
          <w:lang w:val="en-US"/>
        </w:rPr>
        <w:tab/>
        <w:t>Analysis of broadband HAPS applications capacity demand</w:t>
      </w:r>
    </w:p>
    <w:p w:rsidR="00BB1D4E" w:rsidRPr="00BB1D4E" w:rsidRDefault="00BB1D4E" w:rsidP="00BB1D4E">
      <w:pPr>
        <w:rPr>
          <w:lang w:val="en-US"/>
        </w:rPr>
      </w:pPr>
      <w:r w:rsidRPr="00BB1D4E">
        <w:rPr>
          <w:lang w:val="en-US"/>
        </w:rPr>
        <w:t>The characteristics of HAPS systems used to derive the broadband HAPS spectrum needs can be found in Report ITU-R F.2439.</w:t>
      </w:r>
    </w:p>
    <w:p w:rsidR="00BB1D4E" w:rsidRPr="00BB1D4E" w:rsidRDefault="00BB1D4E" w:rsidP="00BB1D4E">
      <w:pPr>
        <w:rPr>
          <w:szCs w:val="24"/>
          <w:lang w:val="en-US"/>
        </w:rPr>
      </w:pPr>
      <w:r w:rsidRPr="00BB1D4E">
        <w:rPr>
          <w:szCs w:val="24"/>
          <w:lang w:val="en-US"/>
        </w:rPr>
        <w:t>Table 1 depicts the capacity demand for the different approaches envisaged (see Annex 1 for detailed analysis of the systems) for broadband HAPS applications.</w:t>
      </w:r>
    </w:p>
    <w:p w:rsidR="00BB1D4E" w:rsidRPr="00BB1D4E" w:rsidRDefault="003927B7" w:rsidP="003927B7">
      <w:pPr>
        <w:pStyle w:val="TableNo"/>
        <w:rPr>
          <w:lang w:val="en-US"/>
        </w:rPr>
      </w:pPr>
      <w:r w:rsidRPr="00824C36">
        <w:rPr>
          <w:lang w:val="en-US"/>
        </w:rPr>
        <w:t>TABLE</w:t>
      </w:r>
      <w:r w:rsidRPr="00BB1D4E">
        <w:rPr>
          <w:lang w:val="en-US"/>
        </w:rPr>
        <w:t xml:space="preserve"> </w:t>
      </w:r>
      <w:r w:rsidR="00BB1D4E" w:rsidRPr="00BB1D4E">
        <w:rPr>
          <w:lang w:val="en-US"/>
        </w:rPr>
        <w:t xml:space="preserve">1 </w:t>
      </w:r>
    </w:p>
    <w:p w:rsidR="00BB1D4E" w:rsidRPr="00BB1D4E" w:rsidRDefault="00BB1D4E" w:rsidP="003927B7">
      <w:pPr>
        <w:pStyle w:val="Tabletitle"/>
        <w:rPr>
          <w:lang w:val="en-US"/>
        </w:rPr>
      </w:pPr>
      <w:r w:rsidRPr="00BB1D4E">
        <w:rPr>
          <w:lang w:val="en-US"/>
        </w:rPr>
        <w:t xml:space="preserve">Capacity demand for the </w:t>
      </w:r>
      <w:r w:rsidRPr="00824C36">
        <w:rPr>
          <w:lang w:val="en-US"/>
        </w:rPr>
        <w:t>envisage</w:t>
      </w:r>
      <w:r w:rsidRPr="00BB1D4E">
        <w:rPr>
          <w:lang w:val="en-US"/>
        </w:rPr>
        <w:t xml:space="preserve"> systems providing broadband HAPS applications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81"/>
        <w:gridCol w:w="1293"/>
        <w:gridCol w:w="861"/>
        <w:gridCol w:w="1008"/>
        <w:gridCol w:w="1007"/>
        <w:gridCol w:w="863"/>
        <w:gridCol w:w="1008"/>
        <w:gridCol w:w="2018"/>
      </w:tblGrid>
      <w:tr w:rsidR="005671D4" w:rsidRPr="004E6817" w:rsidTr="005671D4">
        <w:trPr>
          <w:trHeight w:val="208"/>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927B7">
            <w:pPr>
              <w:pStyle w:val="Tablehead"/>
              <w:rPr>
                <w:sz w:val="18"/>
                <w:szCs w:val="18"/>
              </w:rPr>
            </w:pPr>
            <w:r w:rsidRPr="004E6817">
              <w:rPr>
                <w:sz w:val="18"/>
                <w:szCs w:val="18"/>
              </w:rPr>
              <w:t>Parameter</w:t>
            </w:r>
          </w:p>
        </w:tc>
        <w:tc>
          <w:tcPr>
            <w:tcW w:w="1274" w:type="dxa"/>
            <w:tcBorders>
              <w:top w:val="single" w:sz="4" w:space="0" w:color="auto"/>
              <w:left w:val="single" w:sz="4" w:space="0" w:color="auto"/>
              <w:bottom w:val="single" w:sz="4" w:space="0" w:color="auto"/>
              <w:right w:val="single" w:sz="4" w:space="0" w:color="auto"/>
            </w:tcBorders>
          </w:tcPr>
          <w:p w:rsidR="00BB1D4E" w:rsidRPr="004E6817" w:rsidRDefault="00BB1D4E" w:rsidP="003927B7">
            <w:pPr>
              <w:pStyle w:val="Tablehead"/>
              <w:rPr>
                <w:sz w:val="18"/>
                <w:szCs w:val="18"/>
              </w:rPr>
            </w:pPr>
          </w:p>
        </w:tc>
        <w:tc>
          <w:tcPr>
            <w:tcW w:w="848" w:type="dxa"/>
            <w:tcBorders>
              <w:top w:val="single" w:sz="4" w:space="0" w:color="auto"/>
              <w:left w:val="single" w:sz="4" w:space="0" w:color="auto"/>
              <w:bottom w:val="single" w:sz="4" w:space="0" w:color="auto"/>
              <w:right w:val="single" w:sz="4" w:space="0" w:color="auto"/>
            </w:tcBorders>
            <w:hideMark/>
          </w:tcPr>
          <w:p w:rsidR="00BB1D4E" w:rsidRPr="004E6817" w:rsidRDefault="00BB1D4E" w:rsidP="005671D4">
            <w:pPr>
              <w:pStyle w:val="Tablehead"/>
              <w:ind w:right="-57"/>
              <w:rPr>
                <w:sz w:val="18"/>
                <w:szCs w:val="18"/>
              </w:rPr>
            </w:pPr>
            <w:r w:rsidRPr="004E6817">
              <w:rPr>
                <w:sz w:val="18"/>
                <w:szCs w:val="18"/>
              </w:rPr>
              <w:t xml:space="preserve">System 2 </w:t>
            </w:r>
          </w:p>
        </w:tc>
        <w:tc>
          <w:tcPr>
            <w:tcW w:w="993" w:type="dxa"/>
            <w:tcBorders>
              <w:top w:val="single" w:sz="4" w:space="0" w:color="auto"/>
              <w:left w:val="single" w:sz="4" w:space="0" w:color="auto"/>
              <w:bottom w:val="single" w:sz="4" w:space="0" w:color="auto"/>
              <w:right w:val="single" w:sz="4" w:space="0" w:color="auto"/>
            </w:tcBorders>
            <w:hideMark/>
          </w:tcPr>
          <w:p w:rsidR="00BB1D4E" w:rsidRPr="004E6817" w:rsidRDefault="00BB1D4E" w:rsidP="005671D4">
            <w:pPr>
              <w:pStyle w:val="Tablehead"/>
              <w:rPr>
                <w:sz w:val="18"/>
                <w:szCs w:val="18"/>
              </w:rPr>
            </w:pPr>
            <w:r w:rsidRPr="004E6817">
              <w:rPr>
                <w:sz w:val="18"/>
                <w:szCs w:val="18"/>
              </w:rPr>
              <w:t>System 4a</w:t>
            </w:r>
          </w:p>
        </w:tc>
        <w:tc>
          <w:tcPr>
            <w:tcW w:w="992" w:type="dxa"/>
            <w:tcBorders>
              <w:top w:val="single" w:sz="4" w:space="0" w:color="auto"/>
              <w:left w:val="single" w:sz="4" w:space="0" w:color="auto"/>
              <w:bottom w:val="single" w:sz="4" w:space="0" w:color="auto"/>
              <w:right w:val="single" w:sz="4" w:space="0" w:color="auto"/>
            </w:tcBorders>
            <w:hideMark/>
          </w:tcPr>
          <w:p w:rsidR="00BB1D4E" w:rsidRPr="004E6817" w:rsidRDefault="00BB1D4E" w:rsidP="005671D4">
            <w:pPr>
              <w:pStyle w:val="Tablehead"/>
              <w:rPr>
                <w:sz w:val="18"/>
                <w:szCs w:val="18"/>
              </w:rPr>
            </w:pPr>
            <w:r w:rsidRPr="004E6817">
              <w:rPr>
                <w:sz w:val="18"/>
                <w:szCs w:val="18"/>
              </w:rPr>
              <w:t>System 4b</w:t>
            </w:r>
          </w:p>
        </w:tc>
        <w:tc>
          <w:tcPr>
            <w:tcW w:w="850" w:type="dxa"/>
            <w:tcBorders>
              <w:top w:val="single" w:sz="4" w:space="0" w:color="auto"/>
              <w:left w:val="single" w:sz="4" w:space="0" w:color="auto"/>
              <w:bottom w:val="single" w:sz="4" w:space="0" w:color="auto"/>
              <w:right w:val="single" w:sz="4" w:space="0" w:color="auto"/>
            </w:tcBorders>
            <w:hideMark/>
          </w:tcPr>
          <w:p w:rsidR="00BB1D4E" w:rsidRPr="004E6817" w:rsidRDefault="00BB1D4E" w:rsidP="005671D4">
            <w:pPr>
              <w:pStyle w:val="Tablehead"/>
              <w:ind w:right="-57"/>
              <w:rPr>
                <w:sz w:val="18"/>
                <w:szCs w:val="18"/>
              </w:rPr>
            </w:pPr>
            <w:r w:rsidRPr="004E6817">
              <w:rPr>
                <w:sz w:val="18"/>
                <w:szCs w:val="18"/>
              </w:rPr>
              <w:t>System 5</w:t>
            </w:r>
          </w:p>
        </w:tc>
        <w:tc>
          <w:tcPr>
            <w:tcW w:w="993" w:type="dxa"/>
            <w:tcBorders>
              <w:top w:val="single" w:sz="4" w:space="0" w:color="auto"/>
              <w:left w:val="single" w:sz="4" w:space="0" w:color="auto"/>
              <w:bottom w:val="single" w:sz="4" w:space="0" w:color="auto"/>
              <w:right w:val="single" w:sz="4" w:space="0" w:color="auto"/>
            </w:tcBorders>
          </w:tcPr>
          <w:p w:rsidR="00BB1D4E" w:rsidRPr="004E6817" w:rsidRDefault="00BB1D4E" w:rsidP="003927B7">
            <w:pPr>
              <w:pStyle w:val="Tablehead"/>
              <w:rPr>
                <w:sz w:val="18"/>
                <w:szCs w:val="18"/>
              </w:rPr>
            </w:pPr>
            <w:r w:rsidRPr="004E6817">
              <w:rPr>
                <w:sz w:val="18"/>
                <w:szCs w:val="18"/>
              </w:rPr>
              <w:t>System 6*</w:t>
            </w:r>
          </w:p>
        </w:tc>
        <w:tc>
          <w:tcPr>
            <w:tcW w:w="1988" w:type="dxa"/>
            <w:tcBorders>
              <w:top w:val="single" w:sz="4" w:space="0" w:color="auto"/>
              <w:left w:val="single" w:sz="4" w:space="0" w:color="auto"/>
              <w:bottom w:val="single" w:sz="4" w:space="0" w:color="auto"/>
              <w:right w:val="single" w:sz="4" w:space="0" w:color="auto"/>
            </w:tcBorders>
          </w:tcPr>
          <w:p w:rsidR="00BB1D4E" w:rsidRPr="004E6817" w:rsidRDefault="00BB1D4E" w:rsidP="003927B7">
            <w:pPr>
              <w:pStyle w:val="Tablehead"/>
              <w:rPr>
                <w:sz w:val="18"/>
                <w:szCs w:val="18"/>
              </w:rPr>
            </w:pPr>
          </w:p>
        </w:tc>
      </w:tr>
      <w:tr w:rsidR="005671D4" w:rsidRPr="004E6817" w:rsidTr="005671D4">
        <w:trPr>
          <w:trHeight w:val="165"/>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927B7">
            <w:pPr>
              <w:pStyle w:val="Tabletext"/>
              <w:jc w:val="left"/>
              <w:rPr>
                <w:sz w:val="18"/>
                <w:szCs w:val="18"/>
              </w:rPr>
            </w:pPr>
            <w:r w:rsidRPr="004E6817">
              <w:rPr>
                <w:sz w:val="18"/>
                <w:szCs w:val="18"/>
              </w:rPr>
              <w:t>Radius coverage</w:t>
            </w:r>
          </w:p>
        </w:tc>
        <w:tc>
          <w:tcPr>
            <w:tcW w:w="1274"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km</w:t>
            </w: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50</w:t>
            </w:r>
          </w:p>
        </w:tc>
        <w:tc>
          <w:tcPr>
            <w:tcW w:w="993" w:type="dxa"/>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50</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a</w:t>
            </w:r>
          </w:p>
        </w:tc>
      </w:tr>
      <w:tr w:rsidR="005671D4" w:rsidRPr="003927B7" w:rsidTr="005671D4">
        <w:trPr>
          <w:trHeight w:val="171"/>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331F5">
            <w:pPr>
              <w:pStyle w:val="Tabletext"/>
              <w:ind w:right="-113"/>
              <w:jc w:val="left"/>
              <w:rPr>
                <w:sz w:val="18"/>
                <w:szCs w:val="18"/>
              </w:rPr>
            </w:pPr>
            <w:r w:rsidRPr="004E6817">
              <w:rPr>
                <w:sz w:val="18"/>
                <w:szCs w:val="18"/>
              </w:rPr>
              <w:t>Population density</w:t>
            </w:r>
          </w:p>
        </w:tc>
        <w:tc>
          <w:tcPr>
            <w:tcW w:w="1274"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164E57">
            <w:pPr>
              <w:pStyle w:val="Tabletext"/>
              <w:ind w:right="-113"/>
              <w:jc w:val="left"/>
              <w:rPr>
                <w:sz w:val="18"/>
                <w:szCs w:val="18"/>
                <w:lang w:val="en-US"/>
              </w:rPr>
            </w:pPr>
            <w:r w:rsidRPr="003927B7">
              <w:rPr>
                <w:sz w:val="18"/>
                <w:szCs w:val="18"/>
                <w:lang w:val="en-US"/>
              </w:rPr>
              <w:t>inhabitants/km</w:t>
            </w:r>
            <w:r w:rsidRPr="003927B7">
              <w:rPr>
                <w:sz w:val="18"/>
                <w:szCs w:val="18"/>
                <w:vertAlign w:val="superscript"/>
                <w:lang w:val="en-US"/>
              </w:rPr>
              <w:t>2</w:t>
            </w: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5671D4">
            <w:pPr>
              <w:pStyle w:val="Tabletext"/>
              <w:jc w:val="center"/>
              <w:rPr>
                <w:sz w:val="18"/>
                <w:szCs w:val="18"/>
                <w:lang w:val="en-US"/>
              </w:rPr>
            </w:pPr>
            <w:r w:rsidRPr="003927B7">
              <w:rPr>
                <w:sz w:val="18"/>
                <w:szCs w:val="18"/>
                <w:lang w:val="en-US"/>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10</w:t>
            </w:r>
          </w:p>
        </w:tc>
        <w:tc>
          <w:tcPr>
            <w:tcW w:w="993" w:type="dxa"/>
            <w:tcBorders>
              <w:top w:val="single" w:sz="4" w:space="0" w:color="auto"/>
              <w:left w:val="single" w:sz="4" w:space="0" w:color="auto"/>
              <w:bottom w:val="single" w:sz="4" w:space="0" w:color="auto"/>
              <w:right w:val="single" w:sz="4" w:space="0" w:color="auto"/>
            </w:tcBorders>
            <w:vAlign w:val="center"/>
          </w:tcPr>
          <w:p w:rsidR="00BB1D4E" w:rsidRPr="003927B7" w:rsidRDefault="00BB1D4E" w:rsidP="003927B7">
            <w:pPr>
              <w:pStyle w:val="Tabletext"/>
              <w:jc w:val="center"/>
              <w:rPr>
                <w:sz w:val="18"/>
                <w:szCs w:val="18"/>
                <w:lang w:val="en-US"/>
              </w:rPr>
            </w:pPr>
            <w:r w:rsidRPr="003927B7">
              <w:rPr>
                <w:sz w:val="18"/>
                <w:szCs w:val="18"/>
                <w:lang w:val="en-US"/>
              </w:rPr>
              <w:t>100</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b</w:t>
            </w:r>
          </w:p>
        </w:tc>
      </w:tr>
      <w:tr w:rsidR="005671D4" w:rsidRPr="003927B7" w:rsidTr="005671D4">
        <w:trPr>
          <w:trHeight w:val="219"/>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3927B7" w:rsidRDefault="00BB1D4E" w:rsidP="003927B7">
            <w:pPr>
              <w:pStyle w:val="Tabletext"/>
              <w:jc w:val="left"/>
              <w:rPr>
                <w:sz w:val="18"/>
                <w:szCs w:val="18"/>
                <w:lang w:val="en-US"/>
              </w:rPr>
            </w:pPr>
            <w:r w:rsidRPr="003927B7">
              <w:rPr>
                <w:sz w:val="18"/>
                <w:szCs w:val="18"/>
                <w:lang w:val="en-US"/>
              </w:rPr>
              <w:t>Penetration rate</w:t>
            </w:r>
          </w:p>
        </w:tc>
        <w:tc>
          <w:tcPr>
            <w:tcW w:w="1274"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w:t>
            </w: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33%</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33%</w:t>
            </w:r>
          </w:p>
        </w:tc>
        <w:tc>
          <w:tcPr>
            <w:tcW w:w="993" w:type="dxa"/>
            <w:tcBorders>
              <w:top w:val="single" w:sz="4" w:space="0" w:color="auto"/>
              <w:left w:val="single" w:sz="4" w:space="0" w:color="auto"/>
              <w:bottom w:val="single" w:sz="4" w:space="0" w:color="auto"/>
              <w:right w:val="single" w:sz="4" w:space="0" w:color="auto"/>
            </w:tcBorders>
            <w:vAlign w:val="center"/>
          </w:tcPr>
          <w:p w:rsidR="00BB1D4E" w:rsidRPr="003927B7" w:rsidRDefault="00BB1D4E" w:rsidP="003927B7">
            <w:pPr>
              <w:pStyle w:val="Tabletext"/>
              <w:jc w:val="center"/>
              <w:rPr>
                <w:sz w:val="18"/>
                <w:szCs w:val="18"/>
                <w:lang w:val="en-US"/>
              </w:rPr>
            </w:pPr>
            <w:r w:rsidRPr="003927B7">
              <w:rPr>
                <w:sz w:val="18"/>
                <w:szCs w:val="18"/>
                <w:lang w:val="en-US"/>
              </w:rPr>
              <w:t>33%</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927B7">
            <w:pPr>
              <w:pStyle w:val="Tabletext"/>
              <w:jc w:val="center"/>
              <w:rPr>
                <w:sz w:val="18"/>
                <w:szCs w:val="18"/>
                <w:lang w:val="en-US"/>
              </w:rPr>
            </w:pPr>
            <w:r w:rsidRPr="003927B7">
              <w:rPr>
                <w:sz w:val="18"/>
                <w:szCs w:val="18"/>
                <w:lang w:val="en-US"/>
              </w:rPr>
              <w:t>c</w:t>
            </w:r>
          </w:p>
        </w:tc>
      </w:tr>
      <w:tr w:rsidR="005671D4" w:rsidRPr="004E6817" w:rsidTr="005671D4">
        <w:trPr>
          <w:trHeight w:val="461"/>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B1D4E" w:rsidRPr="003927B7" w:rsidRDefault="00BB1D4E" w:rsidP="003331F5">
            <w:pPr>
              <w:pStyle w:val="Tabletext"/>
              <w:jc w:val="left"/>
              <w:rPr>
                <w:sz w:val="18"/>
                <w:szCs w:val="18"/>
                <w:lang w:val="en-US"/>
              </w:rPr>
            </w:pPr>
            <w:r w:rsidRPr="003927B7">
              <w:rPr>
                <w:sz w:val="18"/>
                <w:szCs w:val="18"/>
                <w:lang w:val="en-US"/>
              </w:rPr>
              <w:t>Number of users</w:t>
            </w:r>
          </w:p>
        </w:tc>
        <w:tc>
          <w:tcPr>
            <w:tcW w:w="1274" w:type="dxa"/>
            <w:tcBorders>
              <w:top w:val="single" w:sz="4" w:space="0" w:color="auto"/>
              <w:left w:val="single" w:sz="4" w:space="0" w:color="auto"/>
              <w:bottom w:val="single" w:sz="4" w:space="0" w:color="auto"/>
              <w:right w:val="single" w:sz="4" w:space="0" w:color="auto"/>
            </w:tcBorders>
          </w:tcPr>
          <w:p w:rsidR="00BB1D4E" w:rsidRPr="003927B7" w:rsidRDefault="00BB1D4E" w:rsidP="003331F5">
            <w:pPr>
              <w:pStyle w:val="Tabletext"/>
              <w:jc w:val="center"/>
              <w:rPr>
                <w:sz w:val="18"/>
                <w:szCs w:val="18"/>
                <w:lang w:val="en-US"/>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331F5">
            <w:pPr>
              <w:pStyle w:val="Tabletext"/>
              <w:jc w:val="center"/>
              <w:rPr>
                <w:sz w:val="18"/>
                <w:szCs w:val="18"/>
                <w:lang w:val="en-US"/>
              </w:rPr>
            </w:pPr>
            <w:r w:rsidRPr="003927B7">
              <w:rPr>
                <w:sz w:val="18"/>
                <w:szCs w:val="18"/>
                <w:lang w:val="en-US"/>
              </w:rPr>
              <w:t>160 000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331F5">
            <w:pPr>
              <w:pStyle w:val="Tabletext"/>
              <w:jc w:val="center"/>
              <w:rPr>
                <w:sz w:val="18"/>
                <w:szCs w:val="18"/>
                <w:lang w:val="en-US"/>
              </w:rPr>
            </w:pPr>
            <w:r w:rsidRPr="003927B7">
              <w:rPr>
                <w:sz w:val="18"/>
                <w:szCs w:val="18"/>
                <w:lang w:val="en-US"/>
              </w:rPr>
              <w:t>160</w:t>
            </w:r>
            <w:r w:rsidR="005671D4">
              <w:rPr>
                <w:sz w:val="18"/>
                <w:szCs w:val="18"/>
                <w:lang w:val="en-US"/>
              </w:rPr>
              <w:t xml:space="preserve"> </w:t>
            </w:r>
            <w:r w:rsidRPr="003927B7">
              <w:rPr>
                <w:sz w:val="18"/>
                <w:szCs w:val="18"/>
                <w:lang w:val="en-US"/>
              </w:rPr>
              <w:t>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331F5">
            <w:pPr>
              <w:pStyle w:val="Tabletext"/>
              <w:jc w:val="center"/>
              <w:rPr>
                <w:sz w:val="18"/>
                <w:szCs w:val="18"/>
                <w:lang w:val="en-US"/>
              </w:rPr>
            </w:pPr>
            <w:r w:rsidRPr="003927B7">
              <w:rPr>
                <w:sz w:val="18"/>
                <w:szCs w:val="18"/>
                <w:lang w:val="en-US"/>
              </w:rPr>
              <w:t>12</w:t>
            </w:r>
            <w:r w:rsidR="005671D4">
              <w:rPr>
                <w:sz w:val="18"/>
                <w:szCs w:val="18"/>
                <w:lang w:val="en-US"/>
              </w:rPr>
              <w:t xml:space="preserve"> </w:t>
            </w:r>
            <w:r w:rsidRPr="003927B7">
              <w:rPr>
                <w:sz w:val="18"/>
                <w:szCs w:val="18"/>
                <w:lang w:val="en-US"/>
              </w:rPr>
              <w:t>663</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3927B7" w:rsidRDefault="00BB1D4E" w:rsidP="003331F5">
            <w:pPr>
              <w:pStyle w:val="Tabletext"/>
              <w:jc w:val="center"/>
              <w:rPr>
                <w:sz w:val="18"/>
                <w:szCs w:val="18"/>
                <w:lang w:val="en-US"/>
              </w:rPr>
            </w:pPr>
            <w:r w:rsidRPr="003927B7">
              <w:rPr>
                <w:sz w:val="18"/>
                <w:szCs w:val="18"/>
                <w:lang w:val="en-US"/>
              </w:rPr>
              <w:t>25 920</w:t>
            </w:r>
          </w:p>
        </w:tc>
        <w:tc>
          <w:tcPr>
            <w:tcW w:w="993" w:type="dxa"/>
            <w:tcBorders>
              <w:top w:val="single" w:sz="4" w:space="0" w:color="auto"/>
              <w:left w:val="single" w:sz="4" w:space="0" w:color="auto"/>
              <w:bottom w:val="single" w:sz="4" w:space="0" w:color="auto"/>
              <w:right w:val="single" w:sz="4" w:space="0" w:color="auto"/>
            </w:tcBorders>
          </w:tcPr>
          <w:p w:rsidR="00BB1D4E" w:rsidRPr="004E6817" w:rsidRDefault="00BB1D4E" w:rsidP="00490350">
            <w:pPr>
              <w:pStyle w:val="Tabletext"/>
              <w:jc w:val="center"/>
              <w:rPr>
                <w:sz w:val="18"/>
                <w:szCs w:val="18"/>
              </w:rPr>
            </w:pPr>
            <w:r w:rsidRPr="003927B7">
              <w:rPr>
                <w:sz w:val="18"/>
                <w:szCs w:val="18"/>
                <w:lang w:val="en-US"/>
              </w:rPr>
              <w:t>250 000 (100% of</w:t>
            </w:r>
            <w:r w:rsidR="00490350">
              <w:rPr>
                <w:sz w:val="18"/>
                <w:szCs w:val="18"/>
                <w:lang w:val="en-US"/>
              </w:rPr>
              <w:t> </w:t>
            </w:r>
            <w:r w:rsidRPr="003927B7">
              <w:rPr>
                <w:sz w:val="18"/>
                <w:szCs w:val="18"/>
                <w:lang w:val="en-US"/>
              </w:rPr>
              <w:t>cas</w:t>
            </w:r>
            <w:r w:rsidRPr="004E6817">
              <w:rPr>
                <w:sz w:val="18"/>
                <w:szCs w:val="18"/>
              </w:rPr>
              <w:t>es)</w:t>
            </w:r>
          </w:p>
          <w:p w:rsidR="00BB1D4E" w:rsidRPr="004E6817" w:rsidRDefault="00490350" w:rsidP="003331F5">
            <w:pPr>
              <w:pStyle w:val="Tabletext"/>
              <w:jc w:val="center"/>
              <w:rPr>
                <w:sz w:val="18"/>
                <w:szCs w:val="18"/>
              </w:rPr>
            </w:pPr>
            <w:r>
              <w:rPr>
                <w:sz w:val="18"/>
                <w:szCs w:val="18"/>
              </w:rPr>
              <w:t>125 000 (90% of </w:t>
            </w:r>
            <w:r w:rsidR="00BB1D4E" w:rsidRPr="004E6817">
              <w:rPr>
                <w:sz w:val="18"/>
                <w:szCs w:val="18"/>
              </w:rPr>
              <w:t>cases)</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sz w:val="18"/>
                <w:szCs w:val="18"/>
              </w:rPr>
            </w:pPr>
            <w:r w:rsidRPr="004E6817">
              <w:rPr>
                <w:sz w:val="18"/>
                <w:szCs w:val="18"/>
              </w:rPr>
              <w:t>d</w:t>
            </w:r>
          </w:p>
        </w:tc>
      </w:tr>
      <w:tr w:rsidR="005671D4" w:rsidRPr="004E6817" w:rsidTr="005671D4">
        <w:trPr>
          <w:trHeight w:val="204"/>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927B7">
            <w:pPr>
              <w:pStyle w:val="Tabletext"/>
              <w:jc w:val="left"/>
              <w:rPr>
                <w:sz w:val="18"/>
                <w:szCs w:val="18"/>
              </w:rPr>
            </w:pPr>
            <w:r w:rsidRPr="004E6817">
              <w:rPr>
                <w:sz w:val="18"/>
                <w:szCs w:val="18"/>
              </w:rPr>
              <w:t>Forward data volume</w:t>
            </w:r>
          </w:p>
        </w:tc>
        <w:tc>
          <w:tcPr>
            <w:tcW w:w="1274"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164E57">
            <w:pPr>
              <w:pStyle w:val="Tabletext"/>
              <w:ind w:right="-113"/>
              <w:jc w:val="left"/>
              <w:rPr>
                <w:sz w:val="18"/>
                <w:szCs w:val="18"/>
              </w:rPr>
            </w:pPr>
            <w:r w:rsidRPr="004E6817">
              <w:rPr>
                <w:sz w:val="18"/>
                <w:szCs w:val="18"/>
              </w:rPr>
              <w:t>GB/month/user</w:t>
            </w: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366</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26.25</w:t>
            </w:r>
          </w:p>
        </w:tc>
        <w:tc>
          <w:tcPr>
            <w:tcW w:w="993" w:type="dxa"/>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30</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e</w:t>
            </w:r>
          </w:p>
        </w:tc>
      </w:tr>
      <w:tr w:rsidR="005671D4" w:rsidRPr="004E6817" w:rsidTr="005671D4">
        <w:trPr>
          <w:trHeight w:val="149"/>
        </w:trPr>
        <w:tc>
          <w:tcPr>
            <w:tcW w:w="15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927B7">
            <w:pPr>
              <w:pStyle w:val="Tabletext"/>
              <w:jc w:val="left"/>
              <w:rPr>
                <w:sz w:val="18"/>
                <w:szCs w:val="18"/>
              </w:rPr>
            </w:pPr>
            <w:r w:rsidRPr="004E6817">
              <w:rPr>
                <w:sz w:val="18"/>
                <w:szCs w:val="18"/>
              </w:rPr>
              <w:t>Busy hour ratio</w:t>
            </w:r>
          </w:p>
        </w:tc>
        <w:tc>
          <w:tcPr>
            <w:tcW w:w="1274" w:type="dxa"/>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1.55</w:t>
            </w:r>
          </w:p>
        </w:tc>
        <w:tc>
          <w:tcPr>
            <w:tcW w:w="993" w:type="dxa"/>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1.55</w:t>
            </w:r>
          </w:p>
        </w:tc>
        <w:tc>
          <w:tcPr>
            <w:tcW w:w="1988" w:type="dxa"/>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f</w:t>
            </w:r>
          </w:p>
        </w:tc>
      </w:tr>
    </w:tbl>
    <w:p w:rsidR="003331F5" w:rsidRPr="00BB1D4E" w:rsidRDefault="003331F5" w:rsidP="003331F5">
      <w:pPr>
        <w:pStyle w:val="TableNo"/>
        <w:rPr>
          <w:lang w:val="en-US"/>
        </w:rPr>
      </w:pPr>
      <w:r w:rsidRPr="003927B7">
        <w:lastRenderedPageBreak/>
        <w:t>TABLE</w:t>
      </w:r>
      <w:r w:rsidRPr="00BB1D4E">
        <w:rPr>
          <w:lang w:val="en-US"/>
        </w:rPr>
        <w:t xml:space="preserve"> 1 </w:t>
      </w:r>
      <w:r>
        <w:rPr>
          <w:lang w:val="en-US"/>
        </w:rPr>
        <w:t>(</w:t>
      </w:r>
      <w:r w:rsidRPr="003927B7">
        <w:rPr>
          <w:i/>
          <w:iCs/>
          <w:lang w:val="en-US"/>
        </w:rPr>
        <w:t>end</w:t>
      </w:r>
      <w:r>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55"/>
        <w:gridCol w:w="1134"/>
        <w:gridCol w:w="850"/>
        <w:gridCol w:w="993"/>
        <w:gridCol w:w="991"/>
        <w:gridCol w:w="850"/>
        <w:gridCol w:w="993"/>
        <w:gridCol w:w="2273"/>
      </w:tblGrid>
      <w:tr w:rsidR="00490350" w:rsidRPr="004E6817" w:rsidTr="00490350">
        <w:trPr>
          <w:trHeight w:val="208"/>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3331F5" w:rsidRPr="004E6817" w:rsidRDefault="003331F5" w:rsidP="00B24B6C">
            <w:pPr>
              <w:pStyle w:val="Tablehead"/>
              <w:rPr>
                <w:sz w:val="18"/>
                <w:szCs w:val="18"/>
              </w:rPr>
            </w:pPr>
            <w:r w:rsidRPr="004E6817">
              <w:rPr>
                <w:sz w:val="18"/>
                <w:szCs w:val="18"/>
              </w:rPr>
              <w:t>Parameter</w:t>
            </w:r>
          </w:p>
        </w:tc>
        <w:tc>
          <w:tcPr>
            <w:tcW w:w="588" w:type="pct"/>
            <w:tcBorders>
              <w:top w:val="single" w:sz="4" w:space="0" w:color="auto"/>
              <w:left w:val="single" w:sz="4" w:space="0" w:color="auto"/>
              <w:bottom w:val="single" w:sz="4" w:space="0" w:color="auto"/>
              <w:right w:val="single" w:sz="4" w:space="0" w:color="auto"/>
            </w:tcBorders>
          </w:tcPr>
          <w:p w:rsidR="003331F5" w:rsidRPr="004E6817" w:rsidRDefault="003331F5" w:rsidP="00B24B6C">
            <w:pPr>
              <w:pStyle w:val="Tablehead"/>
              <w:rPr>
                <w:sz w:val="18"/>
                <w:szCs w:val="18"/>
              </w:rPr>
            </w:pPr>
          </w:p>
        </w:tc>
        <w:tc>
          <w:tcPr>
            <w:tcW w:w="441" w:type="pct"/>
            <w:tcBorders>
              <w:top w:val="single" w:sz="4" w:space="0" w:color="auto"/>
              <w:left w:val="single" w:sz="4" w:space="0" w:color="auto"/>
              <w:bottom w:val="single" w:sz="4" w:space="0" w:color="auto"/>
              <w:right w:val="single" w:sz="4" w:space="0" w:color="auto"/>
            </w:tcBorders>
            <w:hideMark/>
          </w:tcPr>
          <w:p w:rsidR="003331F5" w:rsidRPr="004E6817" w:rsidRDefault="003331F5" w:rsidP="00B24B6C">
            <w:pPr>
              <w:pStyle w:val="Tablehead"/>
              <w:rPr>
                <w:sz w:val="18"/>
                <w:szCs w:val="18"/>
              </w:rPr>
            </w:pPr>
            <w:r w:rsidRPr="004E6817">
              <w:rPr>
                <w:sz w:val="18"/>
                <w:szCs w:val="18"/>
              </w:rPr>
              <w:t xml:space="preserve">System 2 </w:t>
            </w:r>
          </w:p>
        </w:tc>
        <w:tc>
          <w:tcPr>
            <w:tcW w:w="515" w:type="pct"/>
            <w:tcBorders>
              <w:top w:val="single" w:sz="4" w:space="0" w:color="auto"/>
              <w:left w:val="single" w:sz="4" w:space="0" w:color="auto"/>
              <w:bottom w:val="single" w:sz="4" w:space="0" w:color="auto"/>
              <w:right w:val="single" w:sz="4" w:space="0" w:color="auto"/>
            </w:tcBorders>
            <w:hideMark/>
          </w:tcPr>
          <w:p w:rsidR="003331F5" w:rsidRPr="004E6817" w:rsidRDefault="003331F5" w:rsidP="00B24B6C">
            <w:pPr>
              <w:pStyle w:val="Tablehead"/>
              <w:rPr>
                <w:sz w:val="18"/>
                <w:szCs w:val="18"/>
              </w:rPr>
            </w:pPr>
            <w:r w:rsidRPr="004E6817">
              <w:rPr>
                <w:sz w:val="18"/>
                <w:szCs w:val="18"/>
              </w:rPr>
              <w:t>System 4a</w:t>
            </w:r>
          </w:p>
        </w:tc>
        <w:tc>
          <w:tcPr>
            <w:tcW w:w="514" w:type="pct"/>
            <w:tcBorders>
              <w:top w:val="single" w:sz="4" w:space="0" w:color="auto"/>
              <w:left w:val="single" w:sz="4" w:space="0" w:color="auto"/>
              <w:bottom w:val="single" w:sz="4" w:space="0" w:color="auto"/>
              <w:right w:val="single" w:sz="4" w:space="0" w:color="auto"/>
            </w:tcBorders>
            <w:hideMark/>
          </w:tcPr>
          <w:p w:rsidR="003331F5" w:rsidRPr="004E6817" w:rsidRDefault="003331F5" w:rsidP="00B24B6C">
            <w:pPr>
              <w:pStyle w:val="Tablehead"/>
              <w:rPr>
                <w:sz w:val="18"/>
                <w:szCs w:val="18"/>
              </w:rPr>
            </w:pPr>
            <w:r w:rsidRPr="004E6817">
              <w:rPr>
                <w:sz w:val="18"/>
                <w:szCs w:val="18"/>
              </w:rPr>
              <w:t>System 4b</w:t>
            </w:r>
          </w:p>
        </w:tc>
        <w:tc>
          <w:tcPr>
            <w:tcW w:w="441" w:type="pct"/>
            <w:tcBorders>
              <w:top w:val="single" w:sz="4" w:space="0" w:color="auto"/>
              <w:left w:val="single" w:sz="4" w:space="0" w:color="auto"/>
              <w:bottom w:val="single" w:sz="4" w:space="0" w:color="auto"/>
              <w:right w:val="single" w:sz="4" w:space="0" w:color="auto"/>
            </w:tcBorders>
            <w:hideMark/>
          </w:tcPr>
          <w:p w:rsidR="003331F5" w:rsidRPr="004E6817" w:rsidRDefault="003331F5" w:rsidP="00B24B6C">
            <w:pPr>
              <w:pStyle w:val="Tablehead"/>
              <w:rPr>
                <w:sz w:val="18"/>
                <w:szCs w:val="18"/>
              </w:rPr>
            </w:pPr>
            <w:r w:rsidRPr="004E6817">
              <w:rPr>
                <w:sz w:val="18"/>
                <w:szCs w:val="18"/>
              </w:rPr>
              <w:t>System 5</w:t>
            </w:r>
          </w:p>
        </w:tc>
        <w:tc>
          <w:tcPr>
            <w:tcW w:w="515" w:type="pct"/>
            <w:tcBorders>
              <w:top w:val="single" w:sz="4" w:space="0" w:color="auto"/>
              <w:left w:val="single" w:sz="4" w:space="0" w:color="auto"/>
              <w:bottom w:val="single" w:sz="4" w:space="0" w:color="auto"/>
              <w:right w:val="single" w:sz="4" w:space="0" w:color="auto"/>
            </w:tcBorders>
          </w:tcPr>
          <w:p w:rsidR="003331F5" w:rsidRPr="004E6817" w:rsidRDefault="003331F5" w:rsidP="00B24B6C">
            <w:pPr>
              <w:pStyle w:val="Tablehead"/>
              <w:rPr>
                <w:sz w:val="18"/>
                <w:szCs w:val="18"/>
              </w:rPr>
            </w:pPr>
            <w:r w:rsidRPr="004E6817">
              <w:rPr>
                <w:sz w:val="18"/>
                <w:szCs w:val="18"/>
              </w:rPr>
              <w:t>System 6*</w:t>
            </w:r>
          </w:p>
        </w:tc>
        <w:tc>
          <w:tcPr>
            <w:tcW w:w="1179" w:type="pct"/>
            <w:tcBorders>
              <w:top w:val="single" w:sz="4" w:space="0" w:color="auto"/>
              <w:left w:val="single" w:sz="4" w:space="0" w:color="auto"/>
              <w:bottom w:val="single" w:sz="4" w:space="0" w:color="auto"/>
              <w:right w:val="single" w:sz="4" w:space="0" w:color="auto"/>
            </w:tcBorders>
          </w:tcPr>
          <w:p w:rsidR="003331F5" w:rsidRPr="004E6817" w:rsidRDefault="003331F5" w:rsidP="00B24B6C">
            <w:pPr>
              <w:pStyle w:val="Tablehead"/>
              <w:rPr>
                <w:sz w:val="18"/>
                <w:szCs w:val="18"/>
              </w:rPr>
            </w:pPr>
          </w:p>
        </w:tc>
      </w:tr>
      <w:tr w:rsidR="00490350" w:rsidRPr="004E6817" w:rsidTr="00490350">
        <w:tblPrEx>
          <w:tblCellMar>
            <w:left w:w="108" w:type="dxa"/>
            <w:right w:w="108" w:type="dxa"/>
          </w:tblCellMar>
        </w:tblPrEx>
        <w:trPr>
          <w:trHeight w:val="197"/>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4E6817" w:rsidRDefault="00BB1D4E" w:rsidP="003927B7">
            <w:pPr>
              <w:pStyle w:val="Tabletext"/>
              <w:jc w:val="left"/>
              <w:rPr>
                <w:sz w:val="18"/>
                <w:szCs w:val="18"/>
              </w:rPr>
            </w:pPr>
            <w:r w:rsidRPr="004E6817">
              <w:rPr>
                <w:sz w:val="18"/>
                <w:szCs w:val="18"/>
              </w:rPr>
              <w:t>Utilisation rate</w:t>
            </w:r>
          </w:p>
        </w:tc>
        <w:tc>
          <w:tcPr>
            <w:tcW w:w="588"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100</w:t>
            </w:r>
          </w:p>
        </w:tc>
        <w:tc>
          <w:tcPr>
            <w:tcW w:w="515"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100</w:t>
            </w:r>
          </w:p>
        </w:tc>
        <w:tc>
          <w:tcPr>
            <w:tcW w:w="514"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100</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60</w:t>
            </w:r>
          </w:p>
        </w:tc>
        <w:tc>
          <w:tcPr>
            <w:tcW w:w="515"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60</w:t>
            </w:r>
          </w:p>
        </w:tc>
        <w:tc>
          <w:tcPr>
            <w:tcW w:w="1179"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g</w:t>
            </w:r>
          </w:p>
        </w:tc>
      </w:tr>
      <w:tr w:rsidR="00490350" w:rsidRPr="004E6817" w:rsidTr="00490350">
        <w:trPr>
          <w:trHeight w:val="213"/>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BB1D4E" w:rsidRDefault="00BB1D4E" w:rsidP="003927B7">
            <w:pPr>
              <w:pStyle w:val="Tabletext"/>
              <w:jc w:val="left"/>
              <w:rPr>
                <w:sz w:val="18"/>
                <w:szCs w:val="18"/>
                <w:lang w:val="en-US"/>
              </w:rPr>
            </w:pPr>
            <w:r w:rsidRPr="00BB1D4E">
              <w:rPr>
                <w:sz w:val="18"/>
                <w:szCs w:val="18"/>
                <w:lang w:val="en-US"/>
              </w:rPr>
              <w:t>Capacity per user to be provisioned</w:t>
            </w:r>
          </w:p>
        </w:tc>
        <w:tc>
          <w:tcPr>
            <w:tcW w:w="588"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kb</w:t>
            </w:r>
            <w:r>
              <w:rPr>
                <w:sz w:val="18"/>
                <w:szCs w:val="18"/>
              </w:rPr>
              <w:t>it/</w:t>
            </w:r>
            <w:r w:rsidRPr="004E6817">
              <w:rPr>
                <w:sz w:val="18"/>
                <w:szCs w:val="18"/>
              </w:rPr>
              <w:t>s</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187</w:t>
            </w:r>
          </w:p>
        </w:tc>
        <w:tc>
          <w:tcPr>
            <w:tcW w:w="515"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140.6</w:t>
            </w:r>
          </w:p>
        </w:tc>
        <w:tc>
          <w:tcPr>
            <w:tcW w:w="514"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w:t>
            </w:r>
            <w:r w:rsidR="0015062D">
              <w:rPr>
                <w:sz w:val="18"/>
                <w:szCs w:val="18"/>
              </w:rPr>
              <w:t xml:space="preserve"> </w:t>
            </w:r>
            <w:r w:rsidRPr="004E6817">
              <w:rPr>
                <w:sz w:val="18"/>
                <w:szCs w:val="18"/>
              </w:rPr>
              <w:t>264</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210</w:t>
            </w:r>
          </w:p>
        </w:tc>
        <w:tc>
          <w:tcPr>
            <w:tcW w:w="515"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240</w:t>
            </w:r>
          </w:p>
        </w:tc>
        <w:tc>
          <w:tcPr>
            <w:tcW w:w="1179"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m:oMathPara>
              <m:oMath>
                <m:r>
                  <m:rPr>
                    <m:sty m:val="p"/>
                  </m:rPr>
                  <w:rPr>
                    <w:rFonts w:ascii="Cambria Math" w:hAnsi="Cambria Math"/>
                    <w:sz w:val="18"/>
                    <w:szCs w:val="18"/>
                  </w:rPr>
                  <m:t>h=</m:t>
                </m:r>
                <m:f>
                  <m:fPr>
                    <m:ctrlPr>
                      <w:rPr>
                        <w:rFonts w:ascii="Cambria Math" w:hAnsi="Cambria Math"/>
                        <w:sz w:val="18"/>
                        <w:szCs w:val="18"/>
                      </w:rPr>
                    </m:ctrlPr>
                  </m:fPr>
                  <m:num>
                    <m:r>
                      <m:rPr>
                        <m:sty m:val="p"/>
                      </m:rPr>
                      <w:rPr>
                        <w:rFonts w:ascii="Cambria Math" w:hAnsi="Cambria Math"/>
                        <w:sz w:val="18"/>
                        <w:szCs w:val="18"/>
                      </w:rPr>
                      <m:t>e×8×f×100×1e6</m:t>
                    </m:r>
                  </m:num>
                  <m:den>
                    <m:r>
                      <m:rPr>
                        <m:sty m:val="p"/>
                      </m:rPr>
                      <w:rPr>
                        <w:rFonts w:ascii="Cambria Math" w:hAnsi="Cambria Math"/>
                        <w:sz w:val="18"/>
                        <w:szCs w:val="18"/>
                      </w:rPr>
                      <m:t>30×24×3600×g</m:t>
                    </m:r>
                  </m:den>
                </m:f>
              </m:oMath>
            </m:oMathPara>
          </w:p>
        </w:tc>
      </w:tr>
      <w:tr w:rsidR="00490350" w:rsidRPr="004E6817" w:rsidTr="00490350">
        <w:trPr>
          <w:trHeight w:val="28"/>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B1D4E" w:rsidRPr="00BB1D4E" w:rsidRDefault="00BB1D4E" w:rsidP="003331F5">
            <w:pPr>
              <w:pStyle w:val="Tabletext"/>
              <w:jc w:val="left"/>
              <w:rPr>
                <w:sz w:val="18"/>
                <w:szCs w:val="18"/>
                <w:lang w:val="en-US"/>
              </w:rPr>
            </w:pPr>
            <w:r w:rsidRPr="00BB1D4E">
              <w:rPr>
                <w:sz w:val="18"/>
                <w:szCs w:val="18"/>
                <w:lang w:val="en-US"/>
              </w:rPr>
              <w:t>Forward link capacity per HAPS</w:t>
            </w:r>
          </w:p>
        </w:tc>
        <w:tc>
          <w:tcPr>
            <w:tcW w:w="588"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keepNext/>
              <w:keepLines/>
              <w:jc w:val="center"/>
              <w:rPr>
                <w:sz w:val="18"/>
                <w:szCs w:val="18"/>
              </w:rPr>
            </w:pPr>
            <w:r w:rsidRPr="004E6817">
              <w:rPr>
                <w:sz w:val="18"/>
                <w:szCs w:val="18"/>
              </w:rPr>
              <w:t>Gb</w:t>
            </w:r>
            <w:r>
              <w:rPr>
                <w:sz w:val="18"/>
                <w:szCs w:val="18"/>
              </w:rPr>
              <w:t>it/</w:t>
            </w:r>
            <w:r w:rsidRPr="004E6817">
              <w:rPr>
                <w:sz w:val="18"/>
                <w:szCs w:val="18"/>
              </w:rPr>
              <w:t>s</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bCs/>
                <w:sz w:val="18"/>
                <w:szCs w:val="18"/>
              </w:rPr>
            </w:pPr>
            <w:r w:rsidRPr="004E6817">
              <w:rPr>
                <w:bCs/>
                <w:sz w:val="18"/>
                <w:szCs w:val="18"/>
              </w:rPr>
              <w:t>29.8</w:t>
            </w:r>
          </w:p>
        </w:tc>
        <w:tc>
          <w:tcPr>
            <w:tcW w:w="515"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bCs/>
                <w:sz w:val="18"/>
                <w:szCs w:val="18"/>
              </w:rPr>
            </w:pPr>
            <w:r w:rsidRPr="004E6817">
              <w:rPr>
                <w:bCs/>
                <w:sz w:val="18"/>
                <w:szCs w:val="18"/>
              </w:rPr>
              <w:t>22.5</w:t>
            </w:r>
          </w:p>
        </w:tc>
        <w:tc>
          <w:tcPr>
            <w:tcW w:w="514"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bCs/>
                <w:sz w:val="18"/>
                <w:szCs w:val="18"/>
              </w:rPr>
            </w:pPr>
            <w:r w:rsidRPr="004E6817">
              <w:rPr>
                <w:bCs/>
                <w:sz w:val="18"/>
                <w:szCs w:val="18"/>
              </w:rPr>
              <w:t>28.75</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bCs/>
                <w:sz w:val="18"/>
                <w:szCs w:val="18"/>
              </w:rPr>
            </w:pPr>
            <w:r w:rsidRPr="004E6817">
              <w:rPr>
                <w:bCs/>
                <w:sz w:val="18"/>
                <w:szCs w:val="18"/>
              </w:rPr>
              <w:t>5.425</w:t>
            </w:r>
          </w:p>
        </w:tc>
        <w:tc>
          <w:tcPr>
            <w:tcW w:w="515"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490350">
            <w:pPr>
              <w:pStyle w:val="Tabletext"/>
              <w:jc w:val="center"/>
              <w:rPr>
                <w:bCs/>
                <w:sz w:val="18"/>
                <w:szCs w:val="18"/>
              </w:rPr>
            </w:pPr>
            <w:r w:rsidRPr="004E6817">
              <w:rPr>
                <w:bCs/>
                <w:sz w:val="18"/>
                <w:szCs w:val="18"/>
              </w:rPr>
              <w:t>60 (100% of</w:t>
            </w:r>
            <w:r w:rsidR="00490350">
              <w:rPr>
                <w:bCs/>
                <w:sz w:val="18"/>
                <w:szCs w:val="18"/>
              </w:rPr>
              <w:t> </w:t>
            </w:r>
            <w:r w:rsidRPr="004E6817">
              <w:rPr>
                <w:bCs/>
                <w:sz w:val="18"/>
                <w:szCs w:val="18"/>
              </w:rPr>
              <w:t>cases)</w:t>
            </w:r>
          </w:p>
          <w:p w:rsidR="00BB1D4E" w:rsidRPr="004E6817" w:rsidRDefault="00BB1D4E" w:rsidP="00490350">
            <w:pPr>
              <w:pStyle w:val="Tabletext"/>
              <w:jc w:val="center"/>
              <w:rPr>
                <w:bCs/>
                <w:sz w:val="18"/>
                <w:szCs w:val="18"/>
              </w:rPr>
            </w:pPr>
            <w:r w:rsidRPr="004E6817">
              <w:rPr>
                <w:bCs/>
                <w:sz w:val="18"/>
                <w:szCs w:val="18"/>
              </w:rPr>
              <w:t>30 (90% of</w:t>
            </w:r>
            <w:r w:rsidR="00490350">
              <w:rPr>
                <w:bCs/>
                <w:sz w:val="18"/>
                <w:szCs w:val="18"/>
              </w:rPr>
              <w:t> </w:t>
            </w:r>
            <w:r w:rsidRPr="004E6817">
              <w:rPr>
                <w:bCs/>
                <w:sz w:val="18"/>
                <w:szCs w:val="18"/>
              </w:rPr>
              <w:t>cases)</w:t>
            </w:r>
          </w:p>
        </w:tc>
        <w:tc>
          <w:tcPr>
            <w:tcW w:w="1179"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331F5">
            <w:pPr>
              <w:pStyle w:val="Tabletext"/>
              <w:jc w:val="center"/>
              <w:rPr>
                <w:bCs/>
                <w:sz w:val="18"/>
                <w:szCs w:val="18"/>
              </w:rPr>
            </w:pPr>
            <m:oMathPara>
              <m:oMathParaPr>
                <m:jc m:val="center"/>
              </m:oMathParaPr>
              <m:oMath>
                <m:r>
                  <w:rPr>
                    <w:rFonts w:ascii="Cambria Math" w:hAnsi="Cambria Math"/>
                    <w:sz w:val="18"/>
                    <w:szCs w:val="18"/>
                  </w:rPr>
                  <m:t>i=d×h</m:t>
                </m:r>
              </m:oMath>
            </m:oMathPara>
          </w:p>
        </w:tc>
      </w:tr>
      <w:tr w:rsidR="00490350" w:rsidRPr="004E6817" w:rsidTr="00490350">
        <w:trPr>
          <w:trHeight w:val="28"/>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BB1D4E" w:rsidRDefault="00BB1D4E" w:rsidP="003927B7">
            <w:pPr>
              <w:pStyle w:val="Tabletext"/>
              <w:jc w:val="left"/>
              <w:rPr>
                <w:sz w:val="18"/>
                <w:szCs w:val="18"/>
                <w:lang w:val="en-US"/>
              </w:rPr>
            </w:pPr>
            <w:r w:rsidRPr="00BB1D4E">
              <w:rPr>
                <w:sz w:val="18"/>
                <w:szCs w:val="18"/>
                <w:lang w:val="en-US"/>
              </w:rPr>
              <w:t>Ratio between forward and return links</w:t>
            </w:r>
          </w:p>
        </w:tc>
        <w:tc>
          <w:tcPr>
            <w:tcW w:w="588"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22</w:t>
            </w:r>
          </w:p>
        </w:tc>
        <w:tc>
          <w:tcPr>
            <w:tcW w:w="515"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33</w:t>
            </w:r>
          </w:p>
        </w:tc>
        <w:tc>
          <w:tcPr>
            <w:tcW w:w="514"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21.7</w:t>
            </w:r>
          </w:p>
        </w:tc>
        <w:tc>
          <w:tcPr>
            <w:tcW w:w="441"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14.285</w:t>
            </w:r>
          </w:p>
        </w:tc>
        <w:tc>
          <w:tcPr>
            <w:tcW w:w="515"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sz w:val="18"/>
                <w:szCs w:val="18"/>
              </w:rPr>
            </w:pPr>
            <w:r w:rsidRPr="004E6817">
              <w:rPr>
                <w:sz w:val="18"/>
                <w:szCs w:val="18"/>
              </w:rPr>
              <w:t>12.5</w:t>
            </w:r>
          </w:p>
        </w:tc>
        <w:tc>
          <w:tcPr>
            <w:tcW w:w="1179"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sz w:val="18"/>
                <w:szCs w:val="18"/>
              </w:rPr>
            </w:pPr>
            <w:r w:rsidRPr="004E6817">
              <w:rPr>
                <w:sz w:val="18"/>
                <w:szCs w:val="18"/>
              </w:rPr>
              <w:t>J</w:t>
            </w:r>
          </w:p>
        </w:tc>
      </w:tr>
      <w:tr w:rsidR="00490350" w:rsidRPr="004E6817" w:rsidTr="00824C36">
        <w:trPr>
          <w:trHeight w:val="28"/>
        </w:trPr>
        <w:tc>
          <w:tcPr>
            <w:tcW w:w="80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BB1D4E" w:rsidRPr="00BB1D4E" w:rsidRDefault="00BB1D4E" w:rsidP="003927B7">
            <w:pPr>
              <w:pStyle w:val="Tabletext"/>
              <w:jc w:val="left"/>
              <w:rPr>
                <w:sz w:val="18"/>
                <w:szCs w:val="18"/>
                <w:lang w:val="en-US"/>
              </w:rPr>
            </w:pPr>
            <w:r w:rsidRPr="00BB1D4E">
              <w:rPr>
                <w:sz w:val="18"/>
                <w:szCs w:val="18"/>
                <w:lang w:val="en-US"/>
              </w:rPr>
              <w:t>Return link capacity per HAPS</w:t>
            </w:r>
          </w:p>
        </w:tc>
        <w:tc>
          <w:tcPr>
            <w:tcW w:w="588"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bCs/>
                <w:sz w:val="18"/>
                <w:szCs w:val="18"/>
              </w:rPr>
            </w:pPr>
            <w:r w:rsidRPr="004E6817">
              <w:rPr>
                <w:bCs/>
                <w:sz w:val="18"/>
                <w:szCs w:val="18"/>
              </w:rPr>
              <w:t>Gb</w:t>
            </w:r>
            <w:r>
              <w:rPr>
                <w:bCs/>
                <w:sz w:val="18"/>
                <w:szCs w:val="18"/>
              </w:rPr>
              <w:t>it/</w:t>
            </w:r>
            <w:r w:rsidRPr="004E6817">
              <w:rPr>
                <w:bCs/>
                <w:sz w:val="18"/>
                <w:szCs w:val="18"/>
              </w:rPr>
              <w:t>s</w:t>
            </w:r>
          </w:p>
        </w:tc>
        <w:tc>
          <w:tcPr>
            <w:tcW w:w="441"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bCs/>
                <w:sz w:val="18"/>
                <w:szCs w:val="18"/>
              </w:rPr>
            </w:pPr>
            <w:r w:rsidRPr="004E6817">
              <w:rPr>
                <w:bCs/>
                <w:sz w:val="18"/>
                <w:szCs w:val="18"/>
              </w:rPr>
              <w:t>6.56</w:t>
            </w:r>
          </w:p>
        </w:tc>
        <w:tc>
          <w:tcPr>
            <w:tcW w:w="515"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bCs/>
                <w:sz w:val="18"/>
                <w:szCs w:val="18"/>
              </w:rPr>
            </w:pPr>
            <w:r w:rsidRPr="004E6817">
              <w:rPr>
                <w:bCs/>
                <w:sz w:val="18"/>
                <w:szCs w:val="18"/>
              </w:rPr>
              <w:t>7.5</w:t>
            </w:r>
          </w:p>
        </w:tc>
        <w:tc>
          <w:tcPr>
            <w:tcW w:w="514"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bCs/>
                <w:sz w:val="18"/>
                <w:szCs w:val="18"/>
              </w:rPr>
            </w:pPr>
            <w:r w:rsidRPr="004E6817">
              <w:rPr>
                <w:bCs/>
                <w:sz w:val="18"/>
                <w:szCs w:val="18"/>
              </w:rPr>
              <w:t>6.25</w:t>
            </w:r>
          </w:p>
        </w:tc>
        <w:tc>
          <w:tcPr>
            <w:tcW w:w="441"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bCs/>
                <w:sz w:val="18"/>
                <w:szCs w:val="18"/>
              </w:rPr>
            </w:pPr>
            <w:r w:rsidRPr="004E6817">
              <w:rPr>
                <w:bCs/>
                <w:sz w:val="18"/>
                <w:szCs w:val="18"/>
              </w:rPr>
              <w:t>0.775</w:t>
            </w:r>
          </w:p>
        </w:tc>
        <w:tc>
          <w:tcPr>
            <w:tcW w:w="515" w:type="pct"/>
            <w:tcBorders>
              <w:top w:val="single" w:sz="4" w:space="0" w:color="auto"/>
              <w:left w:val="single" w:sz="4" w:space="0" w:color="auto"/>
              <w:bottom w:val="single" w:sz="4" w:space="0" w:color="auto"/>
              <w:right w:val="single" w:sz="4" w:space="0" w:color="auto"/>
            </w:tcBorders>
            <w:vAlign w:val="center"/>
          </w:tcPr>
          <w:p w:rsidR="00BB1D4E" w:rsidRPr="004E6817" w:rsidRDefault="00BB1D4E" w:rsidP="003927B7">
            <w:pPr>
              <w:pStyle w:val="Tabletext"/>
              <w:jc w:val="center"/>
              <w:rPr>
                <w:bCs/>
                <w:sz w:val="18"/>
                <w:szCs w:val="18"/>
              </w:rPr>
            </w:pPr>
            <w:r w:rsidRPr="004E6817">
              <w:rPr>
                <w:bCs/>
                <w:sz w:val="18"/>
                <w:szCs w:val="18"/>
              </w:rPr>
              <w:t>3.75</w:t>
            </w:r>
          </w:p>
        </w:tc>
        <w:tc>
          <w:tcPr>
            <w:tcW w:w="1179" w:type="pct"/>
            <w:tcBorders>
              <w:top w:val="single" w:sz="4" w:space="0" w:color="auto"/>
              <w:left w:val="single" w:sz="4" w:space="0" w:color="auto"/>
              <w:bottom w:val="single" w:sz="4" w:space="0" w:color="auto"/>
              <w:right w:val="single" w:sz="4" w:space="0" w:color="auto"/>
            </w:tcBorders>
            <w:vAlign w:val="center"/>
            <w:hideMark/>
          </w:tcPr>
          <w:p w:rsidR="00BB1D4E" w:rsidRPr="004E6817" w:rsidRDefault="00BB1D4E" w:rsidP="003927B7">
            <w:pPr>
              <w:pStyle w:val="Tabletext"/>
              <w:jc w:val="center"/>
              <w:rPr>
                <w:bCs/>
                <w:sz w:val="18"/>
                <w:szCs w:val="18"/>
              </w:rPr>
            </w:pPr>
            <m:oMathPara>
              <m:oMathParaPr>
                <m:jc m:val="center"/>
              </m:oMathParaPr>
              <m:oMath>
                <m:r>
                  <m:rPr>
                    <m:sty m:val="p"/>
                  </m:rPr>
                  <w:rPr>
                    <w:rFonts w:ascii="Cambria Math" w:hAnsi="Cambria Math"/>
                    <w:sz w:val="18"/>
                    <w:szCs w:val="18"/>
                  </w:rPr>
                  <m:t>K=</m:t>
                </m:r>
                <m:f>
                  <m:fPr>
                    <m:ctrlPr>
                      <w:rPr>
                        <w:rFonts w:ascii="Cambria Math" w:hAnsi="Cambria Math"/>
                        <w:bCs/>
                        <w:sz w:val="18"/>
                        <w:szCs w:val="18"/>
                      </w:rPr>
                    </m:ctrlPr>
                  </m:fPr>
                  <m:num>
                    <m:r>
                      <m:rPr>
                        <m:sty m:val="p"/>
                      </m:rPr>
                      <w:rPr>
                        <w:rFonts w:ascii="Cambria Math" w:hAnsi="Cambria Math"/>
                        <w:sz w:val="18"/>
                        <w:szCs w:val="18"/>
                      </w:rPr>
                      <m:t>i×j</m:t>
                    </m:r>
                  </m:num>
                  <m:den>
                    <m:r>
                      <m:rPr>
                        <m:sty m:val="p"/>
                      </m:rPr>
                      <w:rPr>
                        <w:rFonts w:ascii="Cambria Math" w:hAnsi="Cambria Math"/>
                        <w:sz w:val="18"/>
                        <w:szCs w:val="18"/>
                      </w:rPr>
                      <m:t>100</m:t>
                    </m:r>
                  </m:den>
                </m:f>
              </m:oMath>
            </m:oMathPara>
          </w:p>
        </w:tc>
      </w:tr>
      <w:tr w:rsidR="0040270A" w:rsidRPr="00473271" w:rsidTr="00824C36">
        <w:trPr>
          <w:trHeight w:val="28"/>
        </w:trPr>
        <w:tc>
          <w:tcPr>
            <w:tcW w:w="5000" w:type="pct"/>
            <w:gridSpan w:val="8"/>
            <w:tcBorders>
              <w:top w:val="single" w:sz="4" w:space="0" w:color="auto"/>
              <w:left w:val="nil"/>
              <w:bottom w:val="nil"/>
              <w:right w:val="nil"/>
            </w:tcBorders>
            <w:tcMar>
              <w:top w:w="72" w:type="dxa"/>
              <w:left w:w="144" w:type="dxa"/>
              <w:bottom w:w="72" w:type="dxa"/>
              <w:right w:w="144" w:type="dxa"/>
            </w:tcMar>
          </w:tcPr>
          <w:p w:rsidR="0040270A" w:rsidRPr="003331F5" w:rsidRDefault="0040270A" w:rsidP="00534E20">
            <w:pPr>
              <w:pStyle w:val="Tabletext"/>
              <w:rPr>
                <w:sz w:val="18"/>
                <w:szCs w:val="16"/>
                <w:lang w:val="en-US"/>
              </w:rPr>
            </w:pPr>
            <w:r w:rsidRPr="003331F5">
              <w:rPr>
                <w:sz w:val="18"/>
                <w:szCs w:val="16"/>
                <w:lang w:val="en-US"/>
              </w:rPr>
              <w:t>*System 3 is merged with System 6.</w:t>
            </w:r>
          </w:p>
        </w:tc>
      </w:tr>
    </w:tbl>
    <w:p w:rsidR="0040270A" w:rsidRPr="0040270A" w:rsidRDefault="0040270A" w:rsidP="0040270A">
      <w:pPr>
        <w:pStyle w:val="Tablefin"/>
      </w:pPr>
    </w:p>
    <w:p w:rsidR="00BB1D4E" w:rsidRPr="00BB1D4E" w:rsidRDefault="00BB1D4E" w:rsidP="00BB1D4E">
      <w:pPr>
        <w:rPr>
          <w:lang w:val="en-US"/>
        </w:rPr>
      </w:pPr>
      <w:r w:rsidRPr="00BB1D4E">
        <w:rPr>
          <w:lang w:val="en-US"/>
        </w:rPr>
        <w:t>Based on the different approaches considered in the table, the overall capacity to be considered for determining the spectrum needs is of the order of 30 Gbit/s per HAPS for the forward links. For more detail, see Annex 1 for the broadband HAPS connectivity capacity demand, and Annex 2 for the broadband HAPS specific applications capacity demand.</w:t>
      </w:r>
    </w:p>
    <w:p w:rsidR="00BB1D4E" w:rsidRPr="00BB1D4E" w:rsidRDefault="00BB1D4E" w:rsidP="00BB1D4E">
      <w:pPr>
        <w:pStyle w:val="Heading1"/>
        <w:rPr>
          <w:lang w:val="en-US"/>
        </w:rPr>
      </w:pPr>
      <w:r w:rsidRPr="00BB1D4E">
        <w:rPr>
          <w:lang w:val="en-US"/>
        </w:rPr>
        <w:t>7</w:t>
      </w:r>
      <w:r w:rsidRPr="00BB1D4E">
        <w:rPr>
          <w:lang w:val="en-US"/>
        </w:rPr>
        <w:tab/>
        <w:t>Analysis of broadband HAPS specific applications capacity demand</w:t>
      </w:r>
    </w:p>
    <w:p w:rsidR="00BB1D4E" w:rsidRPr="00BB1D4E" w:rsidRDefault="00BB1D4E" w:rsidP="00BB1D4E">
      <w:pPr>
        <w:rPr>
          <w:lang w:val="en-US"/>
        </w:rPr>
      </w:pPr>
      <w:r w:rsidRPr="00BB1D4E">
        <w:rPr>
          <w:szCs w:val="24"/>
          <w:lang w:val="en-US"/>
        </w:rPr>
        <w:t>Based on the analysis presented in Annex 2 that contains the computation of the broadband HAPS specific application demand, it can be concluded that 120 Mbit/s for the forward link as well as for the return link will be sufficient to cover the broadband HAPS specific applications needs except the needs for PPDR applications (e.g. high resolution video, images, etc.) for which an additional capacity of 100 Mbit/s is needed for the HAPS forward link and return link.</w:t>
      </w:r>
    </w:p>
    <w:p w:rsidR="00BB1D4E" w:rsidRPr="00BB1D4E" w:rsidRDefault="00BB1D4E" w:rsidP="00BB1D4E">
      <w:pPr>
        <w:pStyle w:val="Heading1"/>
        <w:rPr>
          <w:lang w:val="en-US"/>
        </w:rPr>
      </w:pPr>
      <w:r w:rsidRPr="00BB1D4E">
        <w:rPr>
          <w:lang w:val="en-US"/>
        </w:rPr>
        <w:t>8</w:t>
      </w:r>
      <w:r w:rsidRPr="00BB1D4E">
        <w:rPr>
          <w:lang w:val="en-US"/>
        </w:rPr>
        <w:tab/>
        <w:t>Spectrum needs</w:t>
      </w:r>
    </w:p>
    <w:p w:rsidR="00BB1D4E" w:rsidRPr="00BB1D4E" w:rsidRDefault="00BB1D4E" w:rsidP="0015062D">
      <w:pPr>
        <w:rPr>
          <w:lang w:val="en-US"/>
        </w:rPr>
      </w:pPr>
      <w:r w:rsidRPr="00BB1D4E">
        <w:rPr>
          <w:lang w:val="en-US"/>
        </w:rPr>
        <w:t>The spectrum needs are summarised in the following Tables.</w:t>
      </w:r>
    </w:p>
    <w:p w:rsidR="00BB1D4E" w:rsidRPr="00BB1D4E" w:rsidRDefault="00BB1D4E" w:rsidP="0015062D">
      <w:pPr>
        <w:rPr>
          <w:lang w:val="en-US" w:eastAsia="fr-FR"/>
        </w:rPr>
      </w:pPr>
      <w:r w:rsidRPr="00BB1D4E">
        <w:rPr>
          <w:lang w:val="en-US"/>
        </w:rPr>
        <w:t xml:space="preserve">Table 2 below contains the various systems that have been studied for the estimation of spectrum needs for HAPS. All of these systems are considered to provide broadband </w:t>
      </w:r>
      <w:r w:rsidRPr="00BB1D4E">
        <w:rPr>
          <w:lang w:val="en-US" w:eastAsia="fr-FR"/>
        </w:rPr>
        <w:t>connectivity applications, except System 1, which is serving specific applications (e.g. PPDR missions).</w:t>
      </w:r>
    </w:p>
    <w:p w:rsidR="0040270A" w:rsidRPr="00824C36" w:rsidRDefault="0040270A">
      <w:pPr>
        <w:tabs>
          <w:tab w:val="clear" w:pos="794"/>
          <w:tab w:val="clear" w:pos="1191"/>
          <w:tab w:val="clear" w:pos="1588"/>
          <w:tab w:val="clear" w:pos="1985"/>
        </w:tabs>
        <w:overflowPunct/>
        <w:autoSpaceDE/>
        <w:autoSpaceDN/>
        <w:adjustRightInd/>
        <w:spacing w:before="0"/>
        <w:jc w:val="left"/>
        <w:textAlignment w:val="auto"/>
        <w:rPr>
          <w:lang w:val="en-US"/>
        </w:rPr>
      </w:pPr>
      <w:r w:rsidRPr="00824C36">
        <w:rPr>
          <w:lang w:val="en-US"/>
        </w:rPr>
        <w:br w:type="page"/>
      </w:r>
    </w:p>
    <w:p w:rsidR="00BB1D4E" w:rsidRPr="004E6817" w:rsidRDefault="0040270A" w:rsidP="00BB1D4E">
      <w:pPr>
        <w:pStyle w:val="TableNo"/>
      </w:pPr>
      <w:r w:rsidRPr="004E6817">
        <w:lastRenderedPageBreak/>
        <w:t xml:space="preserve">TABLE </w:t>
      </w:r>
      <w:r w:rsidR="00BB1D4E" w:rsidRPr="004E6817">
        <w:t>2</w:t>
      </w:r>
    </w:p>
    <w:p w:rsidR="00BB1D4E" w:rsidRPr="004E6817" w:rsidRDefault="00BB1D4E" w:rsidP="00BB1D4E">
      <w:pPr>
        <w:pStyle w:val="Tabletitle"/>
      </w:pPr>
      <w:r w:rsidRPr="004E6817">
        <w:t>Broadband HAPS spectrum needs</w:t>
      </w:r>
    </w:p>
    <w:tbl>
      <w:tblPr>
        <w:tblW w:w="5089" w:type="pct"/>
        <w:jc w:val="center"/>
        <w:tblLayout w:type="fixed"/>
        <w:tblCellMar>
          <w:left w:w="70" w:type="dxa"/>
          <w:right w:w="70" w:type="dxa"/>
        </w:tblCellMar>
        <w:tblLook w:val="04A0" w:firstRow="1" w:lastRow="0" w:firstColumn="1" w:lastColumn="0" w:noHBand="0" w:noVBand="1"/>
      </w:tblPr>
      <w:tblGrid>
        <w:gridCol w:w="2604"/>
        <w:gridCol w:w="1352"/>
        <w:gridCol w:w="1168"/>
        <w:gridCol w:w="272"/>
        <w:gridCol w:w="868"/>
        <w:gridCol w:w="723"/>
        <w:gridCol w:w="239"/>
        <w:gridCol w:w="1143"/>
        <w:gridCol w:w="45"/>
        <w:gridCol w:w="1386"/>
      </w:tblGrid>
      <w:tr w:rsidR="00BB1D4E" w:rsidRPr="004E6817" w:rsidTr="003927B7">
        <w:trPr>
          <w:trHeight w:val="300"/>
          <w:jc w:val="center"/>
        </w:trPr>
        <w:tc>
          <w:tcPr>
            <w:tcW w:w="5000" w:type="pct"/>
            <w:gridSpan w:val="10"/>
            <w:tcBorders>
              <w:top w:val="single" w:sz="4" w:space="0" w:color="auto"/>
              <w:left w:val="single" w:sz="4" w:space="0" w:color="auto"/>
              <w:bottom w:val="single" w:sz="4" w:space="0" w:color="auto"/>
              <w:right w:val="single" w:sz="4" w:space="0" w:color="auto"/>
            </w:tcBorders>
            <w:noWrap/>
            <w:vAlign w:val="bottom"/>
            <w:hideMark/>
          </w:tcPr>
          <w:p w:rsidR="00BB1D4E" w:rsidRPr="004E6817" w:rsidRDefault="00BB1D4E" w:rsidP="003927B7">
            <w:pPr>
              <w:pStyle w:val="Tablehead"/>
              <w:rPr>
                <w:lang w:eastAsia="fr-FR"/>
              </w:rPr>
            </w:pPr>
            <w:r w:rsidRPr="004E6817">
              <w:rPr>
                <w:lang w:eastAsia="fr-FR"/>
              </w:rPr>
              <w:t>System 1</w:t>
            </w:r>
          </w:p>
        </w:tc>
      </w:tr>
      <w:tr w:rsidR="00BB1D4E" w:rsidRPr="004E6817" w:rsidTr="008A7908">
        <w:trPr>
          <w:trHeight w:val="300"/>
          <w:jc w:val="center"/>
        </w:trPr>
        <w:tc>
          <w:tcPr>
            <w:tcW w:w="1328" w:type="pct"/>
            <w:tcBorders>
              <w:top w:val="single" w:sz="4" w:space="0" w:color="auto"/>
              <w:left w:val="single" w:sz="4" w:space="0" w:color="auto"/>
              <w:bottom w:val="single" w:sz="4" w:space="0" w:color="auto"/>
              <w:right w:val="single" w:sz="4" w:space="0" w:color="auto"/>
            </w:tcBorders>
            <w:noWrap/>
            <w:vAlign w:val="bottom"/>
          </w:tcPr>
          <w:p w:rsidR="00BB1D4E" w:rsidRPr="004E6817" w:rsidRDefault="00BB1D4E" w:rsidP="003927B7">
            <w:pPr>
              <w:pStyle w:val="Tablehead"/>
              <w:rPr>
                <w:rFonts w:ascii="CG Times" w:hAnsi="CG Times"/>
                <w:lang w:eastAsia="zh-CN"/>
              </w:rPr>
            </w:pPr>
          </w:p>
        </w:tc>
        <w:tc>
          <w:tcPr>
            <w:tcW w:w="1286" w:type="pct"/>
            <w:gridSpan w:val="2"/>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head"/>
              <w:rPr>
                <w:rFonts w:asciiTheme="majorBidi" w:hAnsiTheme="majorBidi" w:cstheme="majorBidi"/>
                <w:lang w:eastAsia="fr-FR"/>
              </w:rPr>
            </w:pPr>
            <w:r w:rsidRPr="004E6817">
              <w:rPr>
                <w:rFonts w:asciiTheme="majorBidi" w:hAnsiTheme="majorBidi" w:cstheme="majorBidi"/>
                <w:lang w:eastAsia="fr-FR"/>
              </w:rPr>
              <w:t>Forward</w:t>
            </w:r>
          </w:p>
        </w:tc>
        <w:tc>
          <w:tcPr>
            <w:tcW w:w="1073" w:type="pct"/>
            <w:gridSpan w:val="4"/>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head"/>
              <w:rPr>
                <w:rFonts w:asciiTheme="majorBidi" w:hAnsiTheme="majorBidi" w:cstheme="majorBidi"/>
                <w:lang w:eastAsia="fr-FR"/>
              </w:rPr>
            </w:pPr>
            <w:r w:rsidRPr="004E6817">
              <w:rPr>
                <w:rFonts w:asciiTheme="majorBidi" w:hAnsiTheme="majorBidi" w:cstheme="majorBidi"/>
                <w:lang w:eastAsia="fr-FR"/>
              </w:rPr>
              <w:t>Return</w:t>
            </w:r>
          </w:p>
        </w:tc>
        <w:tc>
          <w:tcPr>
            <w:tcW w:w="583" w:type="pct"/>
            <w:tcBorders>
              <w:top w:val="single" w:sz="4" w:space="0" w:color="auto"/>
              <w:left w:val="nil"/>
              <w:bottom w:val="nil"/>
              <w:right w:val="single" w:sz="4" w:space="0" w:color="auto"/>
            </w:tcBorders>
            <w:noWrap/>
            <w:vAlign w:val="center"/>
            <w:hideMark/>
          </w:tcPr>
          <w:p w:rsidR="00BB1D4E" w:rsidRPr="004E6817" w:rsidRDefault="00BB1D4E" w:rsidP="003331F5">
            <w:pPr>
              <w:pStyle w:val="Tablehead"/>
              <w:ind w:right="-57"/>
              <w:rPr>
                <w:rFonts w:asciiTheme="majorBidi" w:hAnsiTheme="majorBidi" w:cstheme="majorBidi"/>
                <w:lang w:eastAsia="fr-FR"/>
              </w:rPr>
            </w:pPr>
            <w:r w:rsidRPr="004E6817">
              <w:rPr>
                <w:rFonts w:asciiTheme="majorBidi" w:hAnsiTheme="majorBidi" w:cstheme="majorBidi"/>
                <w:lang w:eastAsia="fr-FR"/>
              </w:rPr>
              <w:t>Downlink</w:t>
            </w:r>
          </w:p>
        </w:tc>
        <w:tc>
          <w:tcPr>
            <w:tcW w:w="731" w:type="pct"/>
            <w:gridSpan w:val="2"/>
            <w:tcBorders>
              <w:top w:val="single" w:sz="4" w:space="0" w:color="auto"/>
              <w:left w:val="nil"/>
              <w:bottom w:val="nil"/>
              <w:right w:val="single" w:sz="4" w:space="0" w:color="auto"/>
            </w:tcBorders>
            <w:vAlign w:val="center"/>
          </w:tcPr>
          <w:p w:rsidR="00BB1D4E" w:rsidRPr="004E6817" w:rsidRDefault="00BB1D4E" w:rsidP="003927B7">
            <w:pPr>
              <w:pStyle w:val="Tablehead"/>
              <w:rPr>
                <w:lang w:eastAsia="fr-FR"/>
              </w:rPr>
            </w:pPr>
          </w:p>
        </w:tc>
      </w:tr>
      <w:tr w:rsidR="00BB1D4E" w:rsidRPr="008A7908" w:rsidTr="008A7908">
        <w:trPr>
          <w:trHeight w:val="510"/>
          <w:jc w:val="center"/>
        </w:trPr>
        <w:tc>
          <w:tcPr>
            <w:tcW w:w="1328" w:type="pct"/>
            <w:tcBorders>
              <w:top w:val="nil"/>
              <w:left w:val="single" w:sz="4" w:space="0" w:color="auto"/>
              <w:bottom w:val="single" w:sz="4" w:space="0" w:color="auto"/>
              <w:right w:val="single" w:sz="4" w:space="0" w:color="auto"/>
            </w:tcBorders>
            <w:noWrap/>
            <w:vAlign w:val="bottom"/>
          </w:tcPr>
          <w:p w:rsidR="00BB1D4E" w:rsidRPr="004E6817" w:rsidRDefault="00BB1D4E" w:rsidP="003927B7">
            <w:pPr>
              <w:pStyle w:val="Tablehead"/>
              <w:rPr>
                <w:rFonts w:ascii="CG Times" w:hAnsi="CG Times"/>
                <w:lang w:eastAsia="zh-CN"/>
              </w:rPr>
            </w:pPr>
          </w:p>
        </w:tc>
        <w:tc>
          <w:tcPr>
            <w:tcW w:w="690" w:type="pct"/>
            <w:tcBorders>
              <w:top w:val="nil"/>
              <w:left w:val="nil"/>
              <w:bottom w:val="single" w:sz="4" w:space="0" w:color="auto"/>
              <w:right w:val="single" w:sz="4" w:space="0" w:color="auto"/>
            </w:tcBorders>
            <w:vAlign w:val="center"/>
            <w:hideMark/>
          </w:tcPr>
          <w:p w:rsidR="00BB1D4E" w:rsidRPr="008A7908" w:rsidRDefault="008A7908" w:rsidP="003927B7">
            <w:pPr>
              <w:pStyle w:val="Tablehead"/>
              <w:rPr>
                <w:lang w:val="en-US" w:eastAsia="fr-FR"/>
              </w:rPr>
            </w:pPr>
            <w:r w:rsidRPr="008A7908">
              <w:rPr>
                <w:lang w:val="en-US" w:eastAsia="fr-FR"/>
              </w:rPr>
              <w:t>GW</w:t>
            </w:r>
            <w:r w:rsidRPr="008A7908">
              <w:rPr>
                <w:lang w:val="en-US" w:eastAsia="fr-FR"/>
              </w:rPr>
              <w:br/>
            </w:r>
            <w:r w:rsidR="00BB1D4E" w:rsidRPr="008A7908">
              <w:rPr>
                <w:lang w:val="en-US" w:eastAsia="fr-FR"/>
              </w:rPr>
              <w:t>to HAPS</w:t>
            </w:r>
          </w:p>
        </w:tc>
        <w:tc>
          <w:tcPr>
            <w:tcW w:w="596" w:type="pct"/>
            <w:tcBorders>
              <w:top w:val="nil"/>
              <w:left w:val="nil"/>
              <w:bottom w:val="single" w:sz="4" w:space="0" w:color="auto"/>
              <w:right w:val="single" w:sz="4" w:space="0" w:color="auto"/>
            </w:tcBorders>
            <w:vAlign w:val="center"/>
            <w:hideMark/>
          </w:tcPr>
          <w:p w:rsidR="00BB1D4E" w:rsidRPr="008A7908" w:rsidRDefault="00BB1D4E" w:rsidP="008A7908">
            <w:pPr>
              <w:pStyle w:val="Tablehead"/>
              <w:keepLines/>
              <w:rPr>
                <w:lang w:val="en-US" w:eastAsia="fr-FR"/>
              </w:rPr>
            </w:pPr>
            <w:r w:rsidRPr="008A7908">
              <w:rPr>
                <w:lang w:val="en-US" w:eastAsia="fr-FR"/>
              </w:rPr>
              <w:t>HAPS</w:t>
            </w:r>
            <w:r w:rsidR="008A7908">
              <w:rPr>
                <w:lang w:val="en-US" w:eastAsia="fr-FR"/>
              </w:rPr>
              <w:br/>
            </w:r>
            <w:r w:rsidRPr="008A7908">
              <w:rPr>
                <w:lang w:val="en-US" w:eastAsia="fr-FR"/>
              </w:rPr>
              <w:t>to CPE</w:t>
            </w:r>
          </w:p>
        </w:tc>
        <w:tc>
          <w:tcPr>
            <w:tcW w:w="582" w:type="pct"/>
            <w:gridSpan w:val="2"/>
            <w:tcBorders>
              <w:top w:val="nil"/>
              <w:left w:val="nil"/>
              <w:bottom w:val="single" w:sz="4" w:space="0" w:color="auto"/>
              <w:right w:val="single" w:sz="4" w:space="0" w:color="auto"/>
            </w:tcBorders>
            <w:vAlign w:val="center"/>
            <w:hideMark/>
          </w:tcPr>
          <w:p w:rsidR="00BB1D4E" w:rsidRPr="008A7908" w:rsidRDefault="00BB1D4E" w:rsidP="008A7908">
            <w:pPr>
              <w:pStyle w:val="Tablehead"/>
              <w:keepLines/>
              <w:rPr>
                <w:lang w:val="en-US" w:eastAsia="fr-FR"/>
              </w:rPr>
            </w:pPr>
            <w:r w:rsidRPr="008A7908">
              <w:rPr>
                <w:lang w:val="en-US" w:eastAsia="fr-FR"/>
              </w:rPr>
              <w:t>CPE</w:t>
            </w:r>
            <w:r w:rsidR="008A7908">
              <w:rPr>
                <w:lang w:val="en-US" w:eastAsia="fr-FR"/>
              </w:rPr>
              <w:br/>
            </w:r>
            <w:r w:rsidRPr="008A7908">
              <w:rPr>
                <w:lang w:val="en-US" w:eastAsia="fr-FR"/>
              </w:rPr>
              <w:t>to HAPS</w:t>
            </w:r>
          </w:p>
        </w:tc>
        <w:tc>
          <w:tcPr>
            <w:tcW w:w="491" w:type="pct"/>
            <w:gridSpan w:val="2"/>
            <w:tcBorders>
              <w:top w:val="nil"/>
              <w:left w:val="nil"/>
              <w:bottom w:val="single" w:sz="4" w:space="0" w:color="auto"/>
              <w:right w:val="single" w:sz="4" w:space="0" w:color="auto"/>
            </w:tcBorders>
            <w:vAlign w:val="center"/>
            <w:hideMark/>
          </w:tcPr>
          <w:p w:rsidR="00BB1D4E" w:rsidRPr="008A7908" w:rsidRDefault="00BB1D4E" w:rsidP="008A7908">
            <w:pPr>
              <w:pStyle w:val="Tablehead"/>
              <w:keepLines/>
              <w:rPr>
                <w:lang w:val="en-US" w:eastAsia="fr-FR"/>
              </w:rPr>
            </w:pPr>
            <w:r w:rsidRPr="008A7908">
              <w:rPr>
                <w:lang w:val="en-US" w:eastAsia="fr-FR"/>
              </w:rPr>
              <w:t>HAPS</w:t>
            </w:r>
            <w:r w:rsidR="008A7908">
              <w:rPr>
                <w:lang w:val="en-US" w:eastAsia="fr-FR"/>
              </w:rPr>
              <w:br/>
            </w:r>
            <w:r w:rsidRPr="008A7908">
              <w:rPr>
                <w:lang w:val="en-US" w:eastAsia="fr-FR"/>
              </w:rPr>
              <w:t>to GW*</w:t>
            </w:r>
          </w:p>
        </w:tc>
        <w:tc>
          <w:tcPr>
            <w:tcW w:w="583" w:type="pct"/>
            <w:tcBorders>
              <w:top w:val="single" w:sz="4" w:space="0" w:color="auto"/>
              <w:left w:val="nil"/>
              <w:bottom w:val="single" w:sz="4" w:space="0" w:color="auto"/>
              <w:right w:val="single" w:sz="4" w:space="0" w:color="auto"/>
            </w:tcBorders>
            <w:vAlign w:val="center"/>
            <w:hideMark/>
          </w:tcPr>
          <w:p w:rsidR="00BB1D4E" w:rsidRPr="008A7908" w:rsidRDefault="00BB1D4E" w:rsidP="008A7908">
            <w:pPr>
              <w:pStyle w:val="Tablehead"/>
              <w:keepLines/>
              <w:rPr>
                <w:lang w:val="en-US" w:eastAsia="fr-FR"/>
              </w:rPr>
            </w:pPr>
            <w:r w:rsidRPr="008A7908">
              <w:rPr>
                <w:lang w:val="en-US" w:eastAsia="fr-FR"/>
              </w:rPr>
              <w:t>HAPS</w:t>
            </w:r>
            <w:r w:rsidR="008A7908">
              <w:rPr>
                <w:lang w:val="en-US" w:eastAsia="fr-FR"/>
              </w:rPr>
              <w:br/>
            </w:r>
            <w:r w:rsidRPr="008A7908">
              <w:rPr>
                <w:lang w:val="en-US" w:eastAsia="fr-FR"/>
              </w:rPr>
              <w:t>to</w:t>
            </w:r>
            <w:r w:rsidRPr="008A7908" w:rsidDel="00E5225A">
              <w:rPr>
                <w:lang w:val="en-US" w:eastAsia="fr-FR"/>
              </w:rPr>
              <w:t xml:space="preserve"> </w:t>
            </w:r>
            <w:r w:rsidRPr="008A7908">
              <w:rPr>
                <w:lang w:val="en-US" w:eastAsia="fr-FR"/>
              </w:rPr>
              <w:t>GW*</w:t>
            </w:r>
          </w:p>
        </w:tc>
        <w:tc>
          <w:tcPr>
            <w:tcW w:w="728" w:type="pct"/>
            <w:gridSpan w:val="2"/>
            <w:tcBorders>
              <w:top w:val="single" w:sz="4" w:space="0" w:color="auto"/>
              <w:left w:val="nil"/>
              <w:bottom w:val="single" w:sz="4" w:space="0" w:color="auto"/>
              <w:right w:val="single" w:sz="4" w:space="0" w:color="auto"/>
            </w:tcBorders>
            <w:vAlign w:val="center"/>
          </w:tcPr>
          <w:p w:rsidR="00BB1D4E" w:rsidRPr="008A7908" w:rsidRDefault="00BB1D4E" w:rsidP="003927B7">
            <w:pPr>
              <w:pStyle w:val="Tablehead"/>
              <w:rPr>
                <w:lang w:val="en-US" w:eastAsia="fr-FR"/>
              </w:rPr>
            </w:pPr>
          </w:p>
        </w:tc>
      </w:tr>
      <w:tr w:rsidR="00BB1D4E" w:rsidRPr="008A7908" w:rsidTr="008A7908">
        <w:trPr>
          <w:trHeight w:val="300"/>
          <w:jc w:val="center"/>
        </w:trPr>
        <w:tc>
          <w:tcPr>
            <w:tcW w:w="1328" w:type="pct"/>
            <w:tcBorders>
              <w:top w:val="nil"/>
              <w:left w:val="single" w:sz="4" w:space="0" w:color="auto"/>
              <w:bottom w:val="single" w:sz="4" w:space="0" w:color="auto"/>
              <w:right w:val="single" w:sz="4" w:space="0" w:color="auto"/>
            </w:tcBorders>
            <w:noWrap/>
            <w:hideMark/>
          </w:tcPr>
          <w:p w:rsidR="00BB1D4E" w:rsidRPr="008A7908" w:rsidRDefault="00BB1D4E" w:rsidP="003331F5">
            <w:pPr>
              <w:pStyle w:val="Tabletext"/>
              <w:jc w:val="left"/>
              <w:rPr>
                <w:szCs w:val="22"/>
                <w:lang w:val="en-US" w:eastAsia="fr-FR"/>
              </w:rPr>
            </w:pPr>
            <w:r w:rsidRPr="008A7908">
              <w:rPr>
                <w:szCs w:val="22"/>
                <w:lang w:val="en-US"/>
              </w:rPr>
              <w:t>Capacity (Gbit/s)</w:t>
            </w:r>
          </w:p>
        </w:tc>
        <w:tc>
          <w:tcPr>
            <w:tcW w:w="690"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0.12</w:t>
            </w:r>
          </w:p>
        </w:tc>
        <w:tc>
          <w:tcPr>
            <w:tcW w:w="596"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0.12</w:t>
            </w:r>
          </w:p>
        </w:tc>
        <w:tc>
          <w:tcPr>
            <w:tcW w:w="582"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0.12</w:t>
            </w:r>
          </w:p>
        </w:tc>
        <w:tc>
          <w:tcPr>
            <w:tcW w:w="491"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0.12</w:t>
            </w:r>
          </w:p>
        </w:tc>
        <w:tc>
          <w:tcPr>
            <w:tcW w:w="583"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0.1</w:t>
            </w:r>
          </w:p>
        </w:tc>
        <w:tc>
          <w:tcPr>
            <w:tcW w:w="728" w:type="pct"/>
            <w:gridSpan w:val="2"/>
            <w:tcBorders>
              <w:top w:val="nil"/>
              <w:left w:val="nil"/>
              <w:bottom w:val="single" w:sz="4" w:space="0" w:color="auto"/>
              <w:right w:val="single" w:sz="4" w:space="0" w:color="auto"/>
            </w:tcBorders>
            <w:vAlign w:val="center"/>
            <w:hideMark/>
          </w:tcPr>
          <w:p w:rsidR="00BB1D4E" w:rsidRPr="008A7908" w:rsidRDefault="00BB1D4E" w:rsidP="003927B7">
            <w:pPr>
              <w:pStyle w:val="Tabletext"/>
              <w:jc w:val="center"/>
              <w:rPr>
                <w:lang w:val="en-US" w:eastAsia="fr-FR"/>
              </w:rPr>
            </w:pPr>
            <w:r w:rsidRPr="008A7908">
              <w:rPr>
                <w:lang w:val="en-US"/>
              </w:rPr>
              <w:t>a</w:t>
            </w:r>
          </w:p>
        </w:tc>
      </w:tr>
      <w:tr w:rsidR="00BB1D4E" w:rsidRPr="008A7908" w:rsidTr="008A7908">
        <w:trPr>
          <w:trHeight w:val="300"/>
          <w:jc w:val="center"/>
        </w:trPr>
        <w:tc>
          <w:tcPr>
            <w:tcW w:w="1328" w:type="pct"/>
            <w:tcBorders>
              <w:top w:val="nil"/>
              <w:left w:val="single" w:sz="4" w:space="0" w:color="auto"/>
              <w:bottom w:val="single" w:sz="4" w:space="0" w:color="auto"/>
              <w:right w:val="single" w:sz="4" w:space="0" w:color="auto"/>
            </w:tcBorders>
            <w:noWrap/>
            <w:hideMark/>
          </w:tcPr>
          <w:p w:rsidR="00BB1D4E" w:rsidRPr="003331F5" w:rsidRDefault="00BB1D4E" w:rsidP="003331F5">
            <w:pPr>
              <w:pStyle w:val="Tabletext"/>
              <w:jc w:val="left"/>
              <w:rPr>
                <w:szCs w:val="22"/>
                <w:lang w:val="en-US" w:eastAsia="fr-FR"/>
              </w:rPr>
            </w:pPr>
            <w:r w:rsidRPr="003331F5">
              <w:rPr>
                <w:szCs w:val="22"/>
                <w:lang w:val="en-US"/>
              </w:rPr>
              <w:t>Spectral efficiency (bit/s/Hz)</w:t>
            </w:r>
          </w:p>
        </w:tc>
        <w:tc>
          <w:tcPr>
            <w:tcW w:w="690"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w:t>
            </w:r>
          </w:p>
        </w:tc>
        <w:tc>
          <w:tcPr>
            <w:tcW w:w="596"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w:t>
            </w:r>
          </w:p>
        </w:tc>
        <w:tc>
          <w:tcPr>
            <w:tcW w:w="582"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w:t>
            </w:r>
          </w:p>
        </w:tc>
        <w:tc>
          <w:tcPr>
            <w:tcW w:w="491"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w:t>
            </w:r>
          </w:p>
        </w:tc>
        <w:tc>
          <w:tcPr>
            <w:tcW w:w="583"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w:t>
            </w:r>
          </w:p>
        </w:tc>
        <w:tc>
          <w:tcPr>
            <w:tcW w:w="728" w:type="pct"/>
            <w:gridSpan w:val="2"/>
            <w:tcBorders>
              <w:top w:val="nil"/>
              <w:left w:val="nil"/>
              <w:bottom w:val="single" w:sz="4" w:space="0" w:color="auto"/>
              <w:right w:val="single" w:sz="4" w:space="0" w:color="auto"/>
            </w:tcBorders>
            <w:vAlign w:val="center"/>
            <w:hideMark/>
          </w:tcPr>
          <w:p w:rsidR="00BB1D4E" w:rsidRPr="008A7908" w:rsidRDefault="00BB1D4E" w:rsidP="003927B7">
            <w:pPr>
              <w:pStyle w:val="Tabletext"/>
              <w:jc w:val="center"/>
              <w:rPr>
                <w:lang w:val="en-US" w:eastAsia="fr-FR"/>
              </w:rPr>
            </w:pPr>
            <w:r w:rsidRPr="008A7908">
              <w:rPr>
                <w:lang w:val="en-US"/>
              </w:rPr>
              <w:t>b</w:t>
            </w:r>
          </w:p>
        </w:tc>
      </w:tr>
      <w:tr w:rsidR="00BB1D4E" w:rsidRPr="004E6817" w:rsidTr="008A7908">
        <w:trPr>
          <w:trHeight w:val="510"/>
          <w:jc w:val="center"/>
        </w:trPr>
        <w:tc>
          <w:tcPr>
            <w:tcW w:w="1328" w:type="pct"/>
            <w:tcBorders>
              <w:top w:val="nil"/>
              <w:left w:val="single" w:sz="4" w:space="0" w:color="auto"/>
              <w:bottom w:val="single" w:sz="4" w:space="0" w:color="auto"/>
              <w:right w:val="single" w:sz="4" w:space="0" w:color="auto"/>
            </w:tcBorders>
            <w:hideMark/>
          </w:tcPr>
          <w:p w:rsidR="00BB1D4E" w:rsidRPr="008A7908" w:rsidRDefault="00BB1D4E" w:rsidP="008A7908">
            <w:pPr>
              <w:pStyle w:val="Tabletext"/>
              <w:jc w:val="left"/>
              <w:rPr>
                <w:szCs w:val="22"/>
                <w:lang w:val="en-US" w:eastAsia="fr-FR"/>
              </w:rPr>
            </w:pPr>
            <w:r w:rsidRPr="008A7908">
              <w:rPr>
                <w:szCs w:val="22"/>
                <w:lang w:val="en-US"/>
              </w:rPr>
              <w:t>Overall required bandwidth</w:t>
            </w:r>
            <w:r w:rsidR="008A7908">
              <w:rPr>
                <w:szCs w:val="22"/>
                <w:lang w:val="en-US"/>
              </w:rPr>
              <w:t> </w:t>
            </w:r>
            <w:r w:rsidRPr="008A7908">
              <w:rPr>
                <w:szCs w:val="22"/>
                <w:lang w:val="en-US"/>
              </w:rPr>
              <w:t>(MHz)</w:t>
            </w:r>
          </w:p>
        </w:tc>
        <w:tc>
          <w:tcPr>
            <w:tcW w:w="690"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rPr>
            </w:pPr>
            <w:r w:rsidRPr="008A7908">
              <w:rPr>
                <w:lang w:val="en-US"/>
              </w:rPr>
              <w:t>120</w:t>
            </w:r>
          </w:p>
        </w:tc>
        <w:tc>
          <w:tcPr>
            <w:tcW w:w="596"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120</w:t>
            </w:r>
          </w:p>
        </w:tc>
        <w:tc>
          <w:tcPr>
            <w:tcW w:w="58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120</w:t>
            </w:r>
          </w:p>
        </w:tc>
        <w:tc>
          <w:tcPr>
            <w:tcW w:w="491"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120</w:t>
            </w:r>
          </w:p>
        </w:tc>
        <w:tc>
          <w:tcPr>
            <w:tcW w:w="583"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100</w:t>
            </w:r>
          </w:p>
        </w:tc>
        <w:tc>
          <w:tcPr>
            <w:tcW w:w="728" w:type="pct"/>
            <w:gridSpan w:val="2"/>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m:oMathPara>
              <m:oMath>
                <m:r>
                  <m:rPr>
                    <m:sty m:val="p"/>
                  </m:rPr>
                  <w:rPr>
                    <w:rFonts w:ascii="Cambria Math" w:hAnsi="Cambria Math"/>
                    <w:sz w:val="21"/>
                    <w:lang w:eastAsia="fr-FR"/>
                  </w:rPr>
                  <m:t>c=</m:t>
                </m:r>
                <m:f>
                  <m:fPr>
                    <m:ctrlPr>
                      <w:rPr>
                        <w:rFonts w:ascii="Cambria Math" w:hAnsi="Cambria Math"/>
                        <w:sz w:val="21"/>
                        <w:szCs w:val="21"/>
                      </w:rPr>
                    </m:ctrlPr>
                  </m:fPr>
                  <m:num>
                    <m:r>
                      <m:rPr>
                        <m:sty m:val="p"/>
                      </m:rPr>
                      <w:rPr>
                        <w:rFonts w:ascii="Cambria Math" w:hAnsi="Cambria Math"/>
                        <w:sz w:val="21"/>
                        <w:lang w:eastAsia="fr-FR"/>
                      </w:rPr>
                      <m:t>a×1e3</m:t>
                    </m:r>
                  </m:num>
                  <m:den>
                    <m:r>
                      <m:rPr>
                        <m:sty m:val="p"/>
                      </m:rPr>
                      <w:rPr>
                        <w:rFonts w:ascii="Cambria Math" w:hAnsi="Cambria Math"/>
                        <w:sz w:val="21"/>
                        <w:lang w:eastAsia="fr-FR"/>
                      </w:rPr>
                      <m:t>b</m:t>
                    </m:r>
                  </m:den>
                </m:f>
              </m:oMath>
            </m:oMathPara>
          </w:p>
        </w:tc>
      </w:tr>
      <w:tr w:rsidR="00BB1D4E" w:rsidRPr="004E6817" w:rsidTr="008A7908">
        <w:trPr>
          <w:trHeight w:val="30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eastAsia="zh-CN"/>
              </w:rPr>
            </w:pPr>
            <w:r w:rsidRPr="003331F5">
              <w:rPr>
                <w:sz w:val="22"/>
                <w:szCs w:val="22"/>
              </w:rPr>
              <w:t>Number of beams</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596"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16</w:t>
            </w:r>
          </w:p>
        </w:tc>
        <w:tc>
          <w:tcPr>
            <w:tcW w:w="58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16</w:t>
            </w:r>
          </w:p>
        </w:tc>
        <w:tc>
          <w:tcPr>
            <w:tcW w:w="491"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583"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728" w:type="pct"/>
            <w:gridSpan w:val="2"/>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d</w:t>
            </w:r>
          </w:p>
        </w:tc>
      </w:tr>
      <w:tr w:rsidR="00BB1D4E" w:rsidRPr="004E6817" w:rsidTr="008A7908">
        <w:trPr>
          <w:trHeight w:val="51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val="en-US" w:eastAsia="zh-CN"/>
              </w:rPr>
            </w:pPr>
            <w:r w:rsidRPr="003331F5">
              <w:rPr>
                <w:sz w:val="22"/>
                <w:szCs w:val="22"/>
                <w:lang w:val="en-US"/>
              </w:rPr>
              <w:t>LHCP and RHCP polarisation factor</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2</w:t>
            </w:r>
          </w:p>
        </w:tc>
        <w:tc>
          <w:tcPr>
            <w:tcW w:w="596"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2</w:t>
            </w:r>
          </w:p>
        </w:tc>
        <w:tc>
          <w:tcPr>
            <w:tcW w:w="58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2</w:t>
            </w:r>
          </w:p>
        </w:tc>
        <w:tc>
          <w:tcPr>
            <w:tcW w:w="491"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2</w:t>
            </w:r>
          </w:p>
        </w:tc>
        <w:tc>
          <w:tcPr>
            <w:tcW w:w="583"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2</w:t>
            </w:r>
          </w:p>
        </w:tc>
        <w:tc>
          <w:tcPr>
            <w:tcW w:w="728" w:type="pct"/>
            <w:gridSpan w:val="2"/>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e</w:t>
            </w:r>
          </w:p>
        </w:tc>
      </w:tr>
      <w:tr w:rsidR="00BB1D4E" w:rsidRPr="004E6817" w:rsidTr="008A7908">
        <w:trPr>
          <w:trHeight w:val="30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eastAsia="zh-CN"/>
              </w:rPr>
            </w:pPr>
            <w:r w:rsidRPr="003331F5">
              <w:rPr>
                <w:sz w:val="22"/>
                <w:szCs w:val="22"/>
              </w:rPr>
              <w:t>Reuse factor</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596"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4</w:t>
            </w:r>
          </w:p>
        </w:tc>
        <w:tc>
          <w:tcPr>
            <w:tcW w:w="58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4</w:t>
            </w:r>
          </w:p>
        </w:tc>
        <w:tc>
          <w:tcPr>
            <w:tcW w:w="491"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583"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w:t>
            </w:r>
          </w:p>
        </w:tc>
        <w:tc>
          <w:tcPr>
            <w:tcW w:w="728" w:type="pct"/>
            <w:gridSpan w:val="2"/>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f</w:t>
            </w:r>
          </w:p>
        </w:tc>
      </w:tr>
      <w:tr w:rsidR="00BB1D4E" w:rsidRPr="004E6817" w:rsidTr="008A7908">
        <w:trPr>
          <w:trHeight w:val="957"/>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pStyle w:val="Tabletext"/>
              <w:jc w:val="left"/>
              <w:rPr>
                <w:szCs w:val="22"/>
                <w:lang w:val="en-US" w:eastAsia="fr-FR"/>
              </w:rPr>
            </w:pPr>
            <w:r w:rsidRPr="003331F5">
              <w:rPr>
                <w:szCs w:val="22"/>
                <w:lang w:val="en-US"/>
              </w:rPr>
              <w:t>Spectrum needs taking into account the polarisation and reuse factors (MHz)</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60</w:t>
            </w:r>
          </w:p>
        </w:tc>
        <w:tc>
          <w:tcPr>
            <w:tcW w:w="596"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15</w:t>
            </w:r>
          </w:p>
        </w:tc>
        <w:tc>
          <w:tcPr>
            <w:tcW w:w="58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15</w:t>
            </w:r>
          </w:p>
        </w:tc>
        <w:tc>
          <w:tcPr>
            <w:tcW w:w="491"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60</w:t>
            </w:r>
          </w:p>
        </w:tc>
        <w:tc>
          <w:tcPr>
            <w:tcW w:w="583"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pPr>
            <w:r w:rsidRPr="004E6817">
              <w:t>50</w:t>
            </w:r>
          </w:p>
        </w:tc>
        <w:tc>
          <w:tcPr>
            <w:tcW w:w="728" w:type="pct"/>
            <w:gridSpan w:val="2"/>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m:oMathPara>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r w:rsidR="00BB1D4E" w:rsidRPr="00473271" w:rsidTr="003927B7">
        <w:trPr>
          <w:trHeight w:val="300"/>
          <w:jc w:val="center"/>
        </w:trPr>
        <w:tc>
          <w:tcPr>
            <w:tcW w:w="5000" w:type="pct"/>
            <w:gridSpan w:val="10"/>
            <w:tcBorders>
              <w:top w:val="single" w:sz="4" w:space="0" w:color="auto"/>
              <w:left w:val="single" w:sz="4" w:space="0" w:color="auto"/>
              <w:bottom w:val="single" w:sz="4" w:space="0" w:color="auto"/>
              <w:right w:val="single" w:sz="4" w:space="0" w:color="auto"/>
            </w:tcBorders>
            <w:noWrap/>
            <w:vAlign w:val="bottom"/>
          </w:tcPr>
          <w:p w:rsidR="00BB1D4E" w:rsidRPr="00824C36" w:rsidRDefault="00BB1D4E" w:rsidP="00534E20">
            <w:pPr>
              <w:pStyle w:val="Tabletext"/>
              <w:rPr>
                <w:rFonts w:eastAsia="Calibri"/>
                <w:caps/>
                <w:lang w:val="en-US" w:eastAsia="fr-FR"/>
              </w:rPr>
            </w:pPr>
            <w:r w:rsidRPr="00824C36">
              <w:rPr>
                <w:lang w:val="en-US"/>
              </w:rPr>
              <w:t xml:space="preserve">* For System 1 HAPS to GW, Return and downlink, see Annex 2 </w:t>
            </w:r>
            <w:r w:rsidR="00B24B6C" w:rsidRPr="00824C36">
              <w:rPr>
                <w:lang w:val="en-US"/>
              </w:rPr>
              <w:t xml:space="preserve">section </w:t>
            </w:r>
            <w:r w:rsidRPr="00824C36">
              <w:rPr>
                <w:lang w:val="en-US"/>
              </w:rPr>
              <w:t>2.</w:t>
            </w:r>
          </w:p>
        </w:tc>
      </w:tr>
      <w:tr w:rsidR="00BB1D4E" w:rsidRPr="004E6817" w:rsidTr="003927B7">
        <w:trPr>
          <w:trHeight w:val="300"/>
          <w:jc w:val="center"/>
        </w:trPr>
        <w:tc>
          <w:tcPr>
            <w:tcW w:w="5000" w:type="pct"/>
            <w:gridSpan w:val="10"/>
            <w:tcBorders>
              <w:top w:val="single" w:sz="4" w:space="0" w:color="auto"/>
              <w:left w:val="single" w:sz="4" w:space="0" w:color="auto"/>
              <w:bottom w:val="single" w:sz="4" w:space="0" w:color="auto"/>
              <w:right w:val="single" w:sz="4" w:space="0" w:color="auto"/>
            </w:tcBorders>
            <w:noWrap/>
            <w:vAlign w:val="bottom"/>
            <w:hideMark/>
          </w:tcPr>
          <w:p w:rsidR="00BB1D4E" w:rsidRPr="004E6817" w:rsidRDefault="00BB1D4E" w:rsidP="003927B7">
            <w:pPr>
              <w:pStyle w:val="Tablehead"/>
              <w:keepLines/>
              <w:rPr>
                <w:lang w:eastAsia="fr-FR"/>
              </w:rPr>
            </w:pPr>
            <w:r w:rsidRPr="004E6817">
              <w:rPr>
                <w:rFonts w:eastAsia="Calibri"/>
                <w:lang w:eastAsia="fr-FR"/>
              </w:rPr>
              <w:t>System 2</w:t>
            </w:r>
          </w:p>
        </w:tc>
      </w:tr>
      <w:tr w:rsidR="00BB1D4E" w:rsidRPr="004E6817" w:rsidTr="008A7908">
        <w:trPr>
          <w:trHeight w:val="300"/>
          <w:jc w:val="center"/>
        </w:trPr>
        <w:tc>
          <w:tcPr>
            <w:tcW w:w="1328" w:type="pct"/>
            <w:tcBorders>
              <w:top w:val="single" w:sz="4" w:space="0" w:color="auto"/>
              <w:left w:val="single" w:sz="4" w:space="0" w:color="auto"/>
              <w:bottom w:val="single" w:sz="4" w:space="0" w:color="auto"/>
              <w:right w:val="single" w:sz="4" w:space="0" w:color="auto"/>
            </w:tcBorders>
            <w:noWrap/>
            <w:vAlign w:val="bottom"/>
            <w:hideMark/>
          </w:tcPr>
          <w:p w:rsidR="00BB1D4E" w:rsidRPr="004E6817" w:rsidRDefault="00BB1D4E" w:rsidP="003927B7">
            <w:pPr>
              <w:keepNext/>
              <w:keepLines/>
              <w:overflowPunct/>
              <w:autoSpaceDE/>
              <w:autoSpaceDN/>
              <w:adjustRightInd/>
              <w:spacing w:before="0"/>
              <w:rPr>
                <w:rFonts w:ascii="CG Times" w:hAnsi="CG Times"/>
                <w:sz w:val="20"/>
                <w:lang w:eastAsia="zh-CN"/>
              </w:rPr>
            </w:pPr>
          </w:p>
        </w:tc>
        <w:tc>
          <w:tcPr>
            <w:tcW w:w="1424" w:type="pct"/>
            <w:gridSpan w:val="3"/>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keepNext/>
              <w:keepLines/>
              <w:jc w:val="center"/>
              <w:rPr>
                <w:rFonts w:asciiTheme="majorBidi" w:hAnsiTheme="majorBidi" w:cstheme="majorBidi"/>
                <w:b/>
                <w:lang w:eastAsia="fr-FR"/>
              </w:rPr>
            </w:pPr>
            <w:r w:rsidRPr="004E6817">
              <w:rPr>
                <w:rFonts w:asciiTheme="majorBidi" w:hAnsiTheme="majorBidi" w:cstheme="majorBidi"/>
                <w:b/>
                <w:lang w:eastAsia="fr-FR"/>
              </w:rPr>
              <w:t>Forward</w:t>
            </w:r>
          </w:p>
        </w:tc>
        <w:tc>
          <w:tcPr>
            <w:tcW w:w="1540" w:type="pct"/>
            <w:gridSpan w:val="5"/>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keepNext/>
              <w:keepLines/>
              <w:jc w:val="center"/>
              <w:rPr>
                <w:rFonts w:asciiTheme="majorBidi" w:hAnsiTheme="majorBidi" w:cstheme="majorBidi"/>
                <w:b/>
                <w:lang w:eastAsia="fr-FR"/>
              </w:rPr>
            </w:pPr>
            <w:r w:rsidRPr="004E6817">
              <w:rPr>
                <w:rFonts w:asciiTheme="majorBidi" w:hAnsiTheme="majorBidi" w:cstheme="majorBidi"/>
                <w:b/>
                <w:lang w:eastAsia="fr-FR"/>
              </w:rPr>
              <w:t>Return</w:t>
            </w:r>
          </w:p>
        </w:tc>
        <w:tc>
          <w:tcPr>
            <w:tcW w:w="708" w:type="pct"/>
            <w:tcBorders>
              <w:top w:val="single" w:sz="4" w:space="0" w:color="auto"/>
              <w:left w:val="nil"/>
              <w:bottom w:val="single" w:sz="4" w:space="0" w:color="auto"/>
              <w:right w:val="single" w:sz="4" w:space="0" w:color="auto"/>
            </w:tcBorders>
            <w:vAlign w:val="center"/>
          </w:tcPr>
          <w:p w:rsidR="00BB1D4E" w:rsidRPr="004E6817" w:rsidRDefault="00BB1D4E" w:rsidP="003927B7">
            <w:pPr>
              <w:pStyle w:val="Tabletext"/>
              <w:keepNext/>
              <w:keepLines/>
              <w:jc w:val="center"/>
              <w:rPr>
                <w:lang w:eastAsia="fr-FR"/>
              </w:rPr>
            </w:pPr>
          </w:p>
        </w:tc>
      </w:tr>
      <w:tr w:rsidR="00BB1D4E" w:rsidRPr="008A7908" w:rsidTr="008A7908">
        <w:trPr>
          <w:trHeight w:val="372"/>
          <w:jc w:val="center"/>
        </w:trPr>
        <w:tc>
          <w:tcPr>
            <w:tcW w:w="1328" w:type="pct"/>
            <w:tcBorders>
              <w:top w:val="nil"/>
              <w:left w:val="single" w:sz="4" w:space="0" w:color="auto"/>
              <w:bottom w:val="single" w:sz="4" w:space="0" w:color="auto"/>
              <w:right w:val="single" w:sz="4" w:space="0" w:color="auto"/>
            </w:tcBorders>
            <w:noWrap/>
            <w:vAlign w:val="bottom"/>
            <w:hideMark/>
          </w:tcPr>
          <w:p w:rsidR="00BB1D4E" w:rsidRPr="004E6817" w:rsidRDefault="00BB1D4E" w:rsidP="003927B7">
            <w:pPr>
              <w:overflowPunct/>
              <w:autoSpaceDE/>
              <w:autoSpaceDN/>
              <w:adjustRightInd/>
              <w:spacing w:before="0"/>
              <w:rPr>
                <w:rFonts w:ascii="CG Times" w:hAnsi="CG Times"/>
                <w:sz w:val="20"/>
                <w:lang w:eastAsia="zh-CN"/>
              </w:rPr>
            </w:pPr>
          </w:p>
        </w:tc>
        <w:tc>
          <w:tcPr>
            <w:tcW w:w="690" w:type="pct"/>
            <w:tcBorders>
              <w:top w:val="nil"/>
              <w:left w:val="nil"/>
              <w:bottom w:val="single" w:sz="4" w:space="0" w:color="auto"/>
              <w:right w:val="single" w:sz="4" w:space="0" w:color="auto"/>
            </w:tcBorders>
            <w:vAlign w:val="center"/>
            <w:hideMark/>
          </w:tcPr>
          <w:p w:rsidR="00BB1D4E" w:rsidRPr="008A7908" w:rsidRDefault="008A7908" w:rsidP="003927B7">
            <w:pPr>
              <w:pStyle w:val="Tabletext"/>
              <w:keepNext/>
              <w:keepLines/>
              <w:jc w:val="center"/>
              <w:rPr>
                <w:b/>
                <w:lang w:val="en-US" w:eastAsia="fr-FR"/>
              </w:rPr>
            </w:pPr>
            <w:r w:rsidRPr="008A7908">
              <w:rPr>
                <w:b/>
                <w:lang w:val="en-US" w:eastAsia="fr-FR"/>
              </w:rPr>
              <w:t>GW</w:t>
            </w:r>
            <w:r w:rsidRPr="008A7908">
              <w:rPr>
                <w:b/>
                <w:lang w:val="en-US" w:eastAsia="fr-FR"/>
              </w:rPr>
              <w:br/>
            </w:r>
            <w:r w:rsidR="00BB1D4E" w:rsidRPr="008A7908">
              <w:rPr>
                <w:b/>
                <w:lang w:val="en-US" w:eastAsia="fr-FR"/>
              </w:rPr>
              <w:t>to HAPS</w:t>
            </w:r>
          </w:p>
        </w:tc>
        <w:tc>
          <w:tcPr>
            <w:tcW w:w="735" w:type="pct"/>
            <w:gridSpan w:val="2"/>
            <w:tcBorders>
              <w:top w:val="nil"/>
              <w:left w:val="nil"/>
              <w:bottom w:val="single" w:sz="4" w:space="0" w:color="auto"/>
              <w:right w:val="single" w:sz="4" w:space="0" w:color="auto"/>
            </w:tcBorders>
            <w:vAlign w:val="center"/>
            <w:hideMark/>
          </w:tcPr>
          <w:p w:rsidR="00BB1D4E" w:rsidRPr="008A7908" w:rsidRDefault="008A7908" w:rsidP="003927B7">
            <w:pPr>
              <w:pStyle w:val="Tabletext"/>
              <w:keepNext/>
              <w:keepLines/>
              <w:jc w:val="center"/>
              <w:rPr>
                <w:b/>
                <w:lang w:val="en-US" w:eastAsia="fr-FR"/>
              </w:rPr>
            </w:pPr>
            <w:r>
              <w:rPr>
                <w:b/>
                <w:lang w:val="en-US" w:eastAsia="fr-FR"/>
              </w:rPr>
              <w:t>HAPS</w:t>
            </w:r>
            <w:r>
              <w:rPr>
                <w:b/>
                <w:lang w:val="en-US" w:eastAsia="fr-FR"/>
              </w:rPr>
              <w:br/>
            </w:r>
            <w:r w:rsidR="00BB1D4E" w:rsidRPr="008A7908">
              <w:rPr>
                <w:b/>
                <w:lang w:val="en-US" w:eastAsia="fr-FR"/>
              </w:rPr>
              <w:t>to CPE</w:t>
            </w:r>
          </w:p>
        </w:tc>
        <w:tc>
          <w:tcPr>
            <w:tcW w:w="812" w:type="pct"/>
            <w:gridSpan w:val="2"/>
            <w:tcBorders>
              <w:top w:val="nil"/>
              <w:left w:val="nil"/>
              <w:bottom w:val="single" w:sz="4" w:space="0" w:color="auto"/>
              <w:right w:val="single" w:sz="4" w:space="0" w:color="auto"/>
            </w:tcBorders>
            <w:vAlign w:val="center"/>
            <w:hideMark/>
          </w:tcPr>
          <w:p w:rsidR="00BB1D4E" w:rsidRPr="008A7908" w:rsidRDefault="008A7908" w:rsidP="003927B7">
            <w:pPr>
              <w:pStyle w:val="Tabletext"/>
              <w:keepNext/>
              <w:keepLines/>
              <w:jc w:val="center"/>
              <w:rPr>
                <w:b/>
                <w:lang w:val="en-US" w:eastAsia="fr-FR"/>
              </w:rPr>
            </w:pPr>
            <w:r>
              <w:rPr>
                <w:b/>
                <w:lang w:val="en-US" w:eastAsia="fr-FR"/>
              </w:rPr>
              <w:t>CPE</w:t>
            </w:r>
            <w:r>
              <w:rPr>
                <w:b/>
                <w:lang w:val="en-US" w:eastAsia="fr-FR"/>
              </w:rPr>
              <w:br/>
            </w:r>
            <w:r w:rsidR="00BB1D4E" w:rsidRPr="008A7908">
              <w:rPr>
                <w:b/>
                <w:lang w:val="en-US" w:eastAsia="fr-FR"/>
              </w:rPr>
              <w:t>to HAPS</w:t>
            </w:r>
          </w:p>
        </w:tc>
        <w:tc>
          <w:tcPr>
            <w:tcW w:w="728" w:type="pct"/>
            <w:gridSpan w:val="3"/>
            <w:tcBorders>
              <w:top w:val="nil"/>
              <w:left w:val="nil"/>
              <w:bottom w:val="single" w:sz="4" w:space="0" w:color="auto"/>
              <w:right w:val="single" w:sz="4" w:space="0" w:color="auto"/>
            </w:tcBorders>
            <w:vAlign w:val="center"/>
            <w:hideMark/>
          </w:tcPr>
          <w:p w:rsidR="00BB1D4E" w:rsidRPr="008A7908" w:rsidRDefault="00BB1D4E" w:rsidP="008A7908">
            <w:pPr>
              <w:pStyle w:val="Tabletext"/>
              <w:keepNext/>
              <w:keepLines/>
              <w:jc w:val="center"/>
              <w:rPr>
                <w:b/>
                <w:lang w:val="en-US" w:eastAsia="fr-FR"/>
              </w:rPr>
            </w:pPr>
            <w:r w:rsidRPr="008A7908">
              <w:rPr>
                <w:b/>
                <w:lang w:val="en-US" w:eastAsia="fr-FR"/>
              </w:rPr>
              <w:t>HAPS</w:t>
            </w:r>
            <w:r w:rsidR="008A7908">
              <w:rPr>
                <w:b/>
                <w:lang w:val="en-US" w:eastAsia="fr-FR"/>
              </w:rPr>
              <w:br/>
            </w:r>
            <w:r w:rsidRPr="008A7908">
              <w:rPr>
                <w:b/>
                <w:lang w:val="en-US" w:eastAsia="fr-FR"/>
              </w:rPr>
              <w:t>to GW</w:t>
            </w:r>
          </w:p>
        </w:tc>
        <w:tc>
          <w:tcPr>
            <w:tcW w:w="708" w:type="pct"/>
            <w:tcBorders>
              <w:top w:val="nil"/>
              <w:left w:val="nil"/>
              <w:bottom w:val="single" w:sz="4" w:space="0" w:color="auto"/>
              <w:right w:val="single" w:sz="4" w:space="0" w:color="auto"/>
            </w:tcBorders>
            <w:vAlign w:val="center"/>
          </w:tcPr>
          <w:p w:rsidR="00BB1D4E" w:rsidRPr="008A7908" w:rsidRDefault="00BB1D4E" w:rsidP="003927B7">
            <w:pPr>
              <w:pStyle w:val="Tabletext"/>
              <w:jc w:val="center"/>
              <w:rPr>
                <w:lang w:val="en-US" w:eastAsia="fr-FR"/>
              </w:rPr>
            </w:pPr>
          </w:p>
        </w:tc>
      </w:tr>
      <w:tr w:rsidR="00BB1D4E" w:rsidRPr="008A7908" w:rsidTr="008A7908">
        <w:trPr>
          <w:trHeight w:val="300"/>
          <w:jc w:val="center"/>
        </w:trPr>
        <w:tc>
          <w:tcPr>
            <w:tcW w:w="1328" w:type="pct"/>
            <w:tcBorders>
              <w:top w:val="nil"/>
              <w:left w:val="single" w:sz="4" w:space="0" w:color="auto"/>
              <w:bottom w:val="single" w:sz="4" w:space="0" w:color="auto"/>
              <w:right w:val="single" w:sz="4" w:space="0" w:color="auto"/>
            </w:tcBorders>
            <w:noWrap/>
            <w:hideMark/>
          </w:tcPr>
          <w:p w:rsidR="00BB1D4E" w:rsidRPr="008A7908" w:rsidRDefault="00BB1D4E" w:rsidP="003331F5">
            <w:pPr>
              <w:pStyle w:val="Tabletext"/>
              <w:jc w:val="left"/>
              <w:rPr>
                <w:szCs w:val="22"/>
                <w:lang w:val="en-US" w:eastAsia="fr-FR"/>
              </w:rPr>
            </w:pPr>
            <w:r w:rsidRPr="008A7908">
              <w:rPr>
                <w:szCs w:val="22"/>
                <w:lang w:val="en-US"/>
              </w:rPr>
              <w:t>Capacity (Gbit/s)</w:t>
            </w:r>
          </w:p>
        </w:tc>
        <w:tc>
          <w:tcPr>
            <w:tcW w:w="690"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28.8</w:t>
            </w:r>
          </w:p>
        </w:tc>
        <w:tc>
          <w:tcPr>
            <w:tcW w:w="735"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28.8</w:t>
            </w:r>
          </w:p>
        </w:tc>
        <w:tc>
          <w:tcPr>
            <w:tcW w:w="812"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6.336</w:t>
            </w:r>
          </w:p>
        </w:tc>
        <w:tc>
          <w:tcPr>
            <w:tcW w:w="728" w:type="pct"/>
            <w:gridSpan w:val="3"/>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6.336</w:t>
            </w:r>
          </w:p>
        </w:tc>
        <w:tc>
          <w:tcPr>
            <w:tcW w:w="708" w:type="pct"/>
            <w:tcBorders>
              <w:top w:val="nil"/>
              <w:left w:val="nil"/>
              <w:bottom w:val="single" w:sz="4" w:space="0" w:color="auto"/>
              <w:right w:val="single" w:sz="4" w:space="0" w:color="auto"/>
            </w:tcBorders>
            <w:vAlign w:val="center"/>
            <w:hideMark/>
          </w:tcPr>
          <w:p w:rsidR="00BB1D4E" w:rsidRPr="008A7908" w:rsidRDefault="00BB1D4E" w:rsidP="003927B7">
            <w:pPr>
              <w:pStyle w:val="Tabletext"/>
              <w:jc w:val="center"/>
              <w:rPr>
                <w:lang w:val="en-US" w:eastAsia="fr-FR"/>
              </w:rPr>
            </w:pPr>
            <w:r w:rsidRPr="008A7908">
              <w:rPr>
                <w:lang w:val="en-US"/>
              </w:rPr>
              <w:t>a</w:t>
            </w:r>
          </w:p>
        </w:tc>
      </w:tr>
      <w:tr w:rsidR="00BB1D4E" w:rsidRPr="008A7908" w:rsidTr="008A7908">
        <w:trPr>
          <w:trHeight w:val="300"/>
          <w:jc w:val="center"/>
        </w:trPr>
        <w:tc>
          <w:tcPr>
            <w:tcW w:w="1328" w:type="pct"/>
            <w:tcBorders>
              <w:top w:val="nil"/>
              <w:left w:val="single" w:sz="4" w:space="0" w:color="auto"/>
              <w:bottom w:val="single" w:sz="4" w:space="0" w:color="auto"/>
              <w:right w:val="single" w:sz="4" w:space="0" w:color="auto"/>
            </w:tcBorders>
            <w:noWrap/>
            <w:hideMark/>
          </w:tcPr>
          <w:p w:rsidR="00BB1D4E" w:rsidRPr="003331F5" w:rsidRDefault="00BB1D4E" w:rsidP="003331F5">
            <w:pPr>
              <w:pStyle w:val="Tabletext"/>
              <w:jc w:val="left"/>
              <w:rPr>
                <w:szCs w:val="22"/>
                <w:lang w:val="en-US" w:eastAsia="fr-FR"/>
              </w:rPr>
            </w:pPr>
            <w:r w:rsidRPr="003331F5">
              <w:rPr>
                <w:szCs w:val="22"/>
                <w:lang w:val="en-US"/>
              </w:rPr>
              <w:t>Spectral efficiency (bit/s/Hz)</w:t>
            </w:r>
          </w:p>
        </w:tc>
        <w:tc>
          <w:tcPr>
            <w:tcW w:w="690" w:type="pct"/>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4</w:t>
            </w:r>
          </w:p>
        </w:tc>
        <w:tc>
          <w:tcPr>
            <w:tcW w:w="735" w:type="pct"/>
            <w:gridSpan w:val="2"/>
            <w:tcBorders>
              <w:top w:val="nil"/>
              <w:left w:val="nil"/>
              <w:bottom w:val="single" w:sz="4" w:space="0" w:color="auto"/>
              <w:right w:val="single" w:sz="4" w:space="0" w:color="auto"/>
            </w:tcBorders>
            <w:noWrap/>
            <w:vAlign w:val="center"/>
            <w:hideMark/>
          </w:tcPr>
          <w:p w:rsidR="00BB1D4E" w:rsidRPr="008A7908" w:rsidRDefault="00BB1D4E" w:rsidP="003927B7">
            <w:pPr>
              <w:pStyle w:val="Tabletext"/>
              <w:jc w:val="center"/>
              <w:rPr>
                <w:lang w:val="en-US" w:eastAsia="fr-FR"/>
              </w:rPr>
            </w:pPr>
            <w:r w:rsidRPr="008A7908">
              <w:rPr>
                <w:lang w:val="en-US" w:eastAsia="fr-FR"/>
              </w:rPr>
              <w:t>4</w:t>
            </w:r>
          </w:p>
        </w:tc>
        <w:tc>
          <w:tcPr>
            <w:tcW w:w="812" w:type="pct"/>
            <w:gridSpan w:val="2"/>
            <w:tcBorders>
              <w:top w:val="nil"/>
              <w:left w:val="nil"/>
              <w:bottom w:val="single" w:sz="4" w:space="0" w:color="auto"/>
              <w:right w:val="single" w:sz="4" w:space="0" w:color="auto"/>
            </w:tcBorders>
            <w:noWrap/>
            <w:vAlign w:val="center"/>
            <w:hideMark/>
          </w:tcPr>
          <w:p w:rsidR="00BB1D4E" w:rsidRPr="008A7908" w:rsidRDefault="00E56324" w:rsidP="003927B7">
            <w:pPr>
              <w:pStyle w:val="Tabletext"/>
              <w:jc w:val="center"/>
              <w:rPr>
                <w:lang w:val="en-US" w:eastAsia="fr-FR"/>
              </w:rPr>
            </w:pPr>
            <w:r>
              <w:rPr>
                <w:lang w:val="en-US" w:eastAsia="fr-FR"/>
              </w:rPr>
              <w:t>3.</w:t>
            </w:r>
            <w:r w:rsidR="00BB1D4E" w:rsidRPr="008A7908">
              <w:rPr>
                <w:lang w:val="en-US" w:eastAsia="fr-FR"/>
              </w:rPr>
              <w:t>3</w:t>
            </w:r>
          </w:p>
        </w:tc>
        <w:tc>
          <w:tcPr>
            <w:tcW w:w="728" w:type="pct"/>
            <w:gridSpan w:val="3"/>
            <w:tcBorders>
              <w:top w:val="nil"/>
              <w:left w:val="nil"/>
              <w:bottom w:val="single" w:sz="4" w:space="0" w:color="auto"/>
              <w:right w:val="single" w:sz="4" w:space="0" w:color="auto"/>
            </w:tcBorders>
            <w:noWrap/>
            <w:vAlign w:val="center"/>
            <w:hideMark/>
          </w:tcPr>
          <w:p w:rsidR="00BB1D4E" w:rsidRPr="008A7908" w:rsidRDefault="00BB1D4E" w:rsidP="00E56324">
            <w:pPr>
              <w:pStyle w:val="Tabletext"/>
              <w:jc w:val="center"/>
              <w:rPr>
                <w:lang w:val="en-US" w:eastAsia="fr-FR"/>
              </w:rPr>
            </w:pPr>
            <w:r w:rsidRPr="008A7908">
              <w:rPr>
                <w:lang w:val="en-US" w:eastAsia="fr-FR"/>
              </w:rPr>
              <w:t>3</w:t>
            </w:r>
            <w:r w:rsidR="00E56324">
              <w:rPr>
                <w:lang w:val="en-US" w:eastAsia="fr-FR"/>
              </w:rPr>
              <w:t>.</w:t>
            </w:r>
            <w:r w:rsidRPr="008A7908">
              <w:rPr>
                <w:lang w:val="en-US" w:eastAsia="fr-FR"/>
              </w:rPr>
              <w:t>3</w:t>
            </w:r>
          </w:p>
        </w:tc>
        <w:tc>
          <w:tcPr>
            <w:tcW w:w="708" w:type="pct"/>
            <w:tcBorders>
              <w:top w:val="nil"/>
              <w:left w:val="nil"/>
              <w:bottom w:val="single" w:sz="4" w:space="0" w:color="auto"/>
              <w:right w:val="single" w:sz="4" w:space="0" w:color="auto"/>
            </w:tcBorders>
            <w:vAlign w:val="center"/>
            <w:hideMark/>
          </w:tcPr>
          <w:p w:rsidR="00BB1D4E" w:rsidRPr="008A7908" w:rsidRDefault="00BB1D4E" w:rsidP="003927B7">
            <w:pPr>
              <w:pStyle w:val="Tabletext"/>
              <w:jc w:val="center"/>
              <w:rPr>
                <w:lang w:val="en-US" w:eastAsia="fr-FR"/>
              </w:rPr>
            </w:pPr>
            <w:r w:rsidRPr="008A7908">
              <w:rPr>
                <w:lang w:val="en-US"/>
              </w:rPr>
              <w:t>b</w:t>
            </w:r>
          </w:p>
        </w:tc>
      </w:tr>
      <w:tr w:rsidR="00BB1D4E" w:rsidRPr="004E6817" w:rsidTr="008A7908">
        <w:trPr>
          <w:trHeight w:val="51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8A7908">
            <w:pPr>
              <w:pStyle w:val="Tabletext"/>
              <w:jc w:val="left"/>
              <w:rPr>
                <w:szCs w:val="22"/>
                <w:lang w:eastAsia="fr-FR"/>
              </w:rPr>
            </w:pPr>
            <w:r w:rsidRPr="008A7908">
              <w:rPr>
                <w:szCs w:val="22"/>
                <w:lang w:val="en-US"/>
              </w:rPr>
              <w:t>Overall required bandwidt</w:t>
            </w:r>
            <w:r w:rsidRPr="003331F5">
              <w:rPr>
                <w:szCs w:val="22"/>
              </w:rPr>
              <w:t>h</w:t>
            </w:r>
            <w:r w:rsidR="008A7908">
              <w:rPr>
                <w:szCs w:val="22"/>
              </w:rPr>
              <w:t> </w:t>
            </w:r>
            <w:r w:rsidRPr="003331F5">
              <w:rPr>
                <w:szCs w:val="22"/>
              </w:rPr>
              <w:t>(MHz)</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7</w:t>
            </w:r>
            <w:r w:rsidR="008A7908">
              <w:rPr>
                <w:lang w:eastAsia="fr-FR"/>
              </w:rPr>
              <w:t xml:space="preserve"> </w:t>
            </w:r>
            <w:r w:rsidRPr="004E6817">
              <w:rPr>
                <w:lang w:eastAsia="fr-FR"/>
              </w:rPr>
              <w:t>200</w:t>
            </w:r>
          </w:p>
        </w:tc>
        <w:tc>
          <w:tcPr>
            <w:tcW w:w="735" w:type="pct"/>
            <w:gridSpan w:val="2"/>
            <w:tcBorders>
              <w:top w:val="nil"/>
              <w:left w:val="nil"/>
              <w:bottom w:val="single" w:sz="4" w:space="0" w:color="auto"/>
              <w:right w:val="single" w:sz="4" w:space="0" w:color="auto"/>
            </w:tcBorders>
            <w:noWrap/>
            <w:vAlign w:val="center"/>
            <w:hideMark/>
          </w:tcPr>
          <w:p w:rsidR="00BB1D4E" w:rsidRPr="004E6817" w:rsidRDefault="00BB1D4E" w:rsidP="008A7908">
            <w:pPr>
              <w:pStyle w:val="Tabletext"/>
              <w:jc w:val="center"/>
              <w:rPr>
                <w:lang w:eastAsia="fr-FR"/>
              </w:rPr>
            </w:pPr>
            <w:r w:rsidRPr="004E6817">
              <w:rPr>
                <w:lang w:eastAsia="fr-FR"/>
              </w:rPr>
              <w:t>7</w:t>
            </w:r>
            <w:r w:rsidR="008A7908">
              <w:rPr>
                <w:lang w:eastAsia="fr-FR"/>
              </w:rPr>
              <w:t xml:space="preserve"> </w:t>
            </w:r>
            <w:r w:rsidRPr="004E6817">
              <w:rPr>
                <w:lang w:eastAsia="fr-FR"/>
              </w:rPr>
              <w:t>200</w:t>
            </w:r>
          </w:p>
        </w:tc>
        <w:tc>
          <w:tcPr>
            <w:tcW w:w="81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w:t>
            </w:r>
            <w:r w:rsidR="008A7908">
              <w:rPr>
                <w:lang w:eastAsia="fr-FR"/>
              </w:rPr>
              <w:t xml:space="preserve"> </w:t>
            </w:r>
            <w:r w:rsidRPr="004E6817">
              <w:rPr>
                <w:lang w:eastAsia="fr-FR"/>
              </w:rPr>
              <w:t>920</w:t>
            </w:r>
          </w:p>
        </w:tc>
        <w:tc>
          <w:tcPr>
            <w:tcW w:w="728" w:type="pct"/>
            <w:gridSpan w:val="3"/>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w:t>
            </w:r>
            <w:r w:rsidR="008A7908">
              <w:rPr>
                <w:lang w:eastAsia="fr-FR"/>
              </w:rPr>
              <w:t xml:space="preserve"> </w:t>
            </w:r>
            <w:r w:rsidRPr="004E6817">
              <w:rPr>
                <w:lang w:eastAsia="fr-FR"/>
              </w:rPr>
              <w:t>920</w:t>
            </w:r>
          </w:p>
        </w:tc>
        <w:tc>
          <w:tcPr>
            <w:tcW w:w="708" w:type="pct"/>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m:oMathPara>
              <m:oMath>
                <m:r>
                  <m:rPr>
                    <m:sty m:val="p"/>
                  </m:rPr>
                  <w:rPr>
                    <w:rFonts w:ascii="Cambria Math" w:hAnsi="Cambria Math"/>
                    <w:lang w:eastAsia="fr-FR"/>
                  </w:rPr>
                  <m:t>c=</m:t>
                </m:r>
                <m:f>
                  <m:fPr>
                    <m:ctrlPr>
                      <w:rPr>
                        <w:rFonts w:ascii="Cambria Math" w:hAnsi="Cambria Math"/>
                      </w:rPr>
                    </m:ctrlPr>
                  </m:fPr>
                  <m:num>
                    <m:r>
                      <m:rPr>
                        <m:sty m:val="p"/>
                      </m:rPr>
                      <w:rPr>
                        <w:rFonts w:ascii="Cambria Math" w:hAnsi="Cambria Math"/>
                        <w:lang w:eastAsia="fr-FR"/>
                      </w:rPr>
                      <m:t>a×1e3</m:t>
                    </m:r>
                  </m:num>
                  <m:den>
                    <m:r>
                      <m:rPr>
                        <m:sty m:val="p"/>
                      </m:rPr>
                      <w:rPr>
                        <w:rFonts w:ascii="Cambria Math" w:hAnsi="Cambria Math"/>
                        <w:lang w:eastAsia="fr-FR"/>
                      </w:rPr>
                      <m:t>b</m:t>
                    </m:r>
                  </m:den>
                </m:f>
              </m:oMath>
            </m:oMathPara>
          </w:p>
        </w:tc>
      </w:tr>
      <w:tr w:rsidR="00BB1D4E" w:rsidRPr="004E6817" w:rsidTr="008A7908">
        <w:trPr>
          <w:trHeight w:val="30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eastAsia="zh-CN"/>
              </w:rPr>
            </w:pPr>
            <w:r w:rsidRPr="003331F5">
              <w:rPr>
                <w:sz w:val="22"/>
                <w:szCs w:val="22"/>
              </w:rPr>
              <w:t>Number of beams</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735"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16</w:t>
            </w:r>
          </w:p>
        </w:tc>
        <w:tc>
          <w:tcPr>
            <w:tcW w:w="81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16</w:t>
            </w:r>
          </w:p>
        </w:tc>
        <w:tc>
          <w:tcPr>
            <w:tcW w:w="728" w:type="pct"/>
            <w:gridSpan w:val="3"/>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708" w:type="pct"/>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d</w:t>
            </w:r>
          </w:p>
        </w:tc>
      </w:tr>
      <w:tr w:rsidR="00BB1D4E" w:rsidRPr="004E6817" w:rsidTr="008A7908">
        <w:trPr>
          <w:trHeight w:val="510"/>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val="en-US" w:eastAsia="zh-CN"/>
              </w:rPr>
            </w:pPr>
            <w:r w:rsidRPr="003331F5">
              <w:rPr>
                <w:sz w:val="22"/>
                <w:szCs w:val="22"/>
                <w:lang w:val="en-US"/>
              </w:rPr>
              <w:t>LHCP and RHCP polarisation factor</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735"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81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728" w:type="pct"/>
            <w:gridSpan w:val="3"/>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w:t>
            </w:r>
          </w:p>
        </w:tc>
        <w:tc>
          <w:tcPr>
            <w:tcW w:w="708" w:type="pct"/>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e</w:t>
            </w:r>
          </w:p>
        </w:tc>
      </w:tr>
      <w:tr w:rsidR="00BB1D4E" w:rsidRPr="004E6817" w:rsidTr="008A7908">
        <w:trPr>
          <w:trHeight w:val="300"/>
          <w:jc w:val="center"/>
        </w:trPr>
        <w:tc>
          <w:tcPr>
            <w:tcW w:w="1328" w:type="pct"/>
            <w:tcBorders>
              <w:top w:val="single" w:sz="4" w:space="0" w:color="auto"/>
              <w:left w:val="single" w:sz="4" w:space="0" w:color="auto"/>
              <w:bottom w:val="single" w:sz="4" w:space="0" w:color="auto"/>
              <w:right w:val="single" w:sz="4" w:space="0" w:color="auto"/>
            </w:tcBorders>
            <w:hideMark/>
          </w:tcPr>
          <w:p w:rsidR="00BB1D4E" w:rsidRPr="003331F5" w:rsidRDefault="00BB1D4E" w:rsidP="003331F5">
            <w:pPr>
              <w:overflowPunct/>
              <w:autoSpaceDE/>
              <w:autoSpaceDN/>
              <w:adjustRightInd/>
              <w:spacing w:before="0"/>
              <w:jc w:val="left"/>
              <w:rPr>
                <w:rFonts w:ascii="CG Times" w:hAnsi="CG Times"/>
                <w:sz w:val="22"/>
                <w:szCs w:val="22"/>
                <w:lang w:eastAsia="zh-CN"/>
              </w:rPr>
            </w:pPr>
            <w:r w:rsidRPr="003331F5">
              <w:rPr>
                <w:sz w:val="22"/>
                <w:szCs w:val="22"/>
              </w:rPr>
              <w:t>Reuse factor</w:t>
            </w:r>
          </w:p>
        </w:tc>
        <w:tc>
          <w:tcPr>
            <w:tcW w:w="690" w:type="pct"/>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w:t>
            </w:r>
          </w:p>
        </w:tc>
        <w:tc>
          <w:tcPr>
            <w:tcW w:w="735" w:type="pct"/>
            <w:gridSpan w:val="2"/>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4</w:t>
            </w:r>
          </w:p>
        </w:tc>
        <w:tc>
          <w:tcPr>
            <w:tcW w:w="812" w:type="pct"/>
            <w:gridSpan w:val="2"/>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4</w:t>
            </w:r>
          </w:p>
        </w:tc>
        <w:tc>
          <w:tcPr>
            <w:tcW w:w="728" w:type="pct"/>
            <w:gridSpan w:val="3"/>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w:t>
            </w:r>
          </w:p>
        </w:tc>
        <w:tc>
          <w:tcPr>
            <w:tcW w:w="708" w:type="pct"/>
            <w:tcBorders>
              <w:top w:val="single" w:sz="4" w:space="0" w:color="auto"/>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w:r w:rsidRPr="004E6817">
              <w:t>f</w:t>
            </w:r>
          </w:p>
        </w:tc>
      </w:tr>
      <w:tr w:rsidR="00BB1D4E" w:rsidRPr="004E6817" w:rsidTr="008A7908">
        <w:trPr>
          <w:trHeight w:val="1029"/>
          <w:jc w:val="center"/>
        </w:trPr>
        <w:tc>
          <w:tcPr>
            <w:tcW w:w="1328" w:type="pct"/>
            <w:tcBorders>
              <w:top w:val="nil"/>
              <w:left w:val="single" w:sz="4" w:space="0" w:color="auto"/>
              <w:bottom w:val="single" w:sz="4" w:space="0" w:color="auto"/>
              <w:right w:val="single" w:sz="4" w:space="0" w:color="auto"/>
            </w:tcBorders>
            <w:hideMark/>
          </w:tcPr>
          <w:p w:rsidR="00BB1D4E" w:rsidRPr="003331F5" w:rsidRDefault="00BB1D4E" w:rsidP="003331F5">
            <w:pPr>
              <w:pStyle w:val="Tabletext"/>
              <w:jc w:val="left"/>
              <w:rPr>
                <w:szCs w:val="22"/>
                <w:lang w:val="en-US" w:eastAsia="fr-FR"/>
              </w:rPr>
            </w:pPr>
            <w:r w:rsidRPr="003331F5">
              <w:rPr>
                <w:szCs w:val="22"/>
                <w:lang w:val="en-US"/>
              </w:rPr>
              <w:t>Spectrum needs taking into account the polarisation and reuse factors (MHz)</w:t>
            </w:r>
          </w:p>
        </w:tc>
        <w:tc>
          <w:tcPr>
            <w:tcW w:w="690" w:type="pct"/>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1</w:t>
            </w:r>
            <w:r w:rsidR="008A7908">
              <w:rPr>
                <w:lang w:eastAsia="fr-FR"/>
              </w:rPr>
              <w:t xml:space="preserve"> </w:t>
            </w:r>
            <w:r w:rsidRPr="004E6817">
              <w:rPr>
                <w:lang w:eastAsia="fr-FR"/>
              </w:rPr>
              <w:t>800</w:t>
            </w:r>
          </w:p>
        </w:tc>
        <w:tc>
          <w:tcPr>
            <w:tcW w:w="735"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900</w:t>
            </w:r>
          </w:p>
        </w:tc>
        <w:tc>
          <w:tcPr>
            <w:tcW w:w="812" w:type="pct"/>
            <w:gridSpan w:val="2"/>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240</w:t>
            </w:r>
          </w:p>
        </w:tc>
        <w:tc>
          <w:tcPr>
            <w:tcW w:w="728" w:type="pct"/>
            <w:gridSpan w:val="3"/>
            <w:tcBorders>
              <w:top w:val="nil"/>
              <w:left w:val="nil"/>
              <w:bottom w:val="single" w:sz="4" w:space="0" w:color="auto"/>
              <w:right w:val="single" w:sz="4" w:space="0" w:color="auto"/>
            </w:tcBorders>
            <w:noWrap/>
            <w:vAlign w:val="center"/>
            <w:hideMark/>
          </w:tcPr>
          <w:p w:rsidR="00BB1D4E" w:rsidRPr="004E6817" w:rsidRDefault="00BB1D4E" w:rsidP="003927B7">
            <w:pPr>
              <w:pStyle w:val="Tabletext"/>
              <w:jc w:val="center"/>
              <w:rPr>
                <w:lang w:eastAsia="fr-FR"/>
              </w:rPr>
            </w:pPr>
            <w:r w:rsidRPr="004E6817">
              <w:rPr>
                <w:lang w:eastAsia="fr-FR"/>
              </w:rPr>
              <w:t>480</w:t>
            </w:r>
          </w:p>
        </w:tc>
        <w:tc>
          <w:tcPr>
            <w:tcW w:w="708" w:type="pct"/>
            <w:tcBorders>
              <w:top w:val="nil"/>
              <w:left w:val="nil"/>
              <w:bottom w:val="single" w:sz="4" w:space="0" w:color="auto"/>
              <w:right w:val="single" w:sz="4" w:space="0" w:color="auto"/>
            </w:tcBorders>
            <w:vAlign w:val="center"/>
            <w:hideMark/>
          </w:tcPr>
          <w:p w:rsidR="00BB1D4E" w:rsidRPr="004E6817" w:rsidRDefault="00BB1D4E" w:rsidP="003927B7">
            <w:pPr>
              <w:pStyle w:val="Tabletext"/>
              <w:jc w:val="center"/>
              <w:rPr>
                <w:lang w:eastAsia="fr-FR"/>
              </w:rPr>
            </w:pPr>
            <m:oMathPara>
              <m:oMathParaPr>
                <m:jc m:val="center"/>
              </m:oMathParaPr>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bl>
    <w:p w:rsidR="0040270A" w:rsidRDefault="0040270A">
      <w:pPr>
        <w:tabs>
          <w:tab w:val="clear" w:pos="794"/>
          <w:tab w:val="clear" w:pos="1191"/>
          <w:tab w:val="clear" w:pos="1588"/>
          <w:tab w:val="clear" w:pos="1985"/>
        </w:tabs>
        <w:overflowPunct/>
        <w:autoSpaceDE/>
        <w:autoSpaceDN/>
        <w:adjustRightInd/>
        <w:spacing w:before="0"/>
        <w:jc w:val="left"/>
        <w:textAlignment w:val="auto"/>
      </w:pPr>
      <w:r>
        <w:br w:type="page"/>
      </w:r>
    </w:p>
    <w:p w:rsidR="0040270A" w:rsidRDefault="0040270A" w:rsidP="0040270A">
      <w:pPr>
        <w:pStyle w:val="TableNo"/>
      </w:pPr>
      <w:r w:rsidRPr="004E6817">
        <w:lastRenderedPageBreak/>
        <w:t>TABLE 2</w:t>
      </w:r>
      <w:r w:rsidR="00F24420">
        <w:t xml:space="preserve"> (</w:t>
      </w:r>
      <w:r w:rsidR="00F24420" w:rsidRPr="00F24420">
        <w:rPr>
          <w:i/>
          <w:iCs/>
        </w:rPr>
        <w:t>continue</w:t>
      </w:r>
      <w:r w:rsidR="004620B6">
        <w:rPr>
          <w:i/>
          <w:iCs/>
        </w:rPr>
        <w:t>d</w:t>
      </w:r>
      <w:r w:rsidR="00F24420">
        <w:t>)</w:t>
      </w:r>
    </w:p>
    <w:tbl>
      <w:tblPr>
        <w:tblW w:w="5089" w:type="pct"/>
        <w:jc w:val="center"/>
        <w:tblLayout w:type="fixed"/>
        <w:tblCellMar>
          <w:left w:w="70" w:type="dxa"/>
          <w:right w:w="70" w:type="dxa"/>
        </w:tblCellMar>
        <w:tblLook w:val="04A0" w:firstRow="1" w:lastRow="0" w:firstColumn="1" w:lastColumn="0" w:noHBand="0" w:noVBand="1"/>
      </w:tblPr>
      <w:tblGrid>
        <w:gridCol w:w="2599"/>
        <w:gridCol w:w="1352"/>
        <w:gridCol w:w="1513"/>
        <w:gridCol w:w="1494"/>
        <w:gridCol w:w="1407"/>
        <w:gridCol w:w="1435"/>
      </w:tblGrid>
      <w:tr w:rsidR="00BB1D4E" w:rsidRPr="004E6817" w:rsidTr="003927B7">
        <w:trPr>
          <w:jc w:val="center"/>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927B7">
            <w:pPr>
              <w:pStyle w:val="Tablehead"/>
            </w:pPr>
            <w:r w:rsidRPr="004E6817">
              <w:rPr>
                <w:lang w:eastAsia="fr-FR"/>
              </w:rPr>
              <w:t>System 4a</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14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rFonts w:asciiTheme="majorBidi" w:hAnsiTheme="majorBidi" w:cstheme="majorBidi"/>
                <w:b/>
                <w:color w:val="000000"/>
                <w:lang w:eastAsia="fr-FR"/>
              </w:rPr>
            </w:pPr>
            <w:r w:rsidRPr="004E6817">
              <w:rPr>
                <w:rFonts w:asciiTheme="majorBidi" w:hAnsiTheme="majorBidi" w:cstheme="majorBidi"/>
                <w:b/>
                <w:color w:val="000000"/>
                <w:lang w:eastAsia="fr-FR"/>
              </w:rPr>
              <w:t>Forward</w:t>
            </w:r>
          </w:p>
        </w:tc>
        <w:tc>
          <w:tcPr>
            <w:tcW w:w="148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rFonts w:asciiTheme="majorBidi" w:hAnsiTheme="majorBidi" w:cstheme="majorBidi"/>
                <w:b/>
                <w:color w:val="000000"/>
                <w:lang w:eastAsia="fr-FR"/>
              </w:rPr>
            </w:pPr>
            <w:r w:rsidRPr="004E6817">
              <w:rPr>
                <w:rFonts w:asciiTheme="majorBidi" w:hAnsiTheme="majorBidi" w:cstheme="majorBidi"/>
                <w:b/>
                <w:color w:val="000000"/>
                <w:lang w:eastAsia="fr-FR"/>
              </w:rPr>
              <w:t>Return</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pP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sidRPr="008A7908">
              <w:rPr>
                <w:b/>
                <w:lang w:val="en-US"/>
              </w:rPr>
              <w:t>GW</w:t>
            </w:r>
            <w:r w:rsidRPr="008A7908">
              <w:rPr>
                <w:b/>
                <w:lang w:val="en-US"/>
              </w:rPr>
              <w:br/>
            </w:r>
            <w:r w:rsidR="00BB1D4E" w:rsidRPr="008A7908">
              <w:rPr>
                <w:b/>
                <w:lang w:val="en-US" w:eastAsia="fr-FR"/>
              </w:rPr>
              <w:t>to</w:t>
            </w:r>
            <w:r w:rsidR="00BB1D4E" w:rsidRPr="008A7908" w:rsidDel="00E5225A">
              <w:rPr>
                <w:b/>
                <w:lang w:val="en-US"/>
              </w:rPr>
              <w:t xml:space="preserve"> </w:t>
            </w:r>
            <w:r w:rsidR="00BB1D4E" w:rsidRPr="008A7908">
              <w:rPr>
                <w:b/>
                <w:lang w:val="en-US"/>
              </w:rPr>
              <w:t>HAPS</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8A7908">
            <w:pPr>
              <w:pStyle w:val="Tabletext"/>
              <w:keepNext/>
              <w:keepLines/>
              <w:jc w:val="center"/>
              <w:rPr>
                <w:b/>
                <w:lang w:val="en-US"/>
              </w:rPr>
            </w:pPr>
            <w:r w:rsidRPr="008A7908">
              <w:rPr>
                <w:b/>
                <w:lang w:val="en-US"/>
              </w:rPr>
              <w:t>HAPS</w:t>
            </w:r>
            <w:r w:rsidR="008A7908">
              <w:rPr>
                <w:b/>
                <w:lang w:val="en-US"/>
              </w:rPr>
              <w:br/>
            </w:r>
            <w:r w:rsidRPr="008A7908">
              <w:rPr>
                <w:b/>
                <w:lang w:val="en-US" w:eastAsia="fr-FR"/>
              </w:rPr>
              <w:t>to</w:t>
            </w:r>
            <w:r w:rsidRPr="008A7908">
              <w:rPr>
                <w:b/>
                <w:lang w:val="en-US"/>
              </w:rPr>
              <w:t xml:space="preserve"> CPE</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8A7908">
            <w:pPr>
              <w:pStyle w:val="Tabletext"/>
              <w:keepNext/>
              <w:keepLines/>
              <w:jc w:val="center"/>
              <w:rPr>
                <w:b/>
                <w:lang w:val="en-US"/>
              </w:rPr>
            </w:pPr>
            <w:r w:rsidRPr="008A7908">
              <w:rPr>
                <w:b/>
                <w:lang w:val="en-US"/>
              </w:rPr>
              <w:t>CPE</w:t>
            </w:r>
            <w:r w:rsidR="008A7908">
              <w:rPr>
                <w:b/>
                <w:lang w:val="en-US"/>
              </w:rPr>
              <w:br/>
            </w:r>
            <w:r w:rsidRPr="008A7908">
              <w:rPr>
                <w:b/>
                <w:lang w:val="en-US" w:eastAsia="fr-FR"/>
              </w:rPr>
              <w:t>to</w:t>
            </w:r>
            <w:r w:rsidRPr="008A7908" w:rsidDel="00E5225A">
              <w:rPr>
                <w:b/>
                <w:lang w:val="en-US"/>
              </w:rPr>
              <w:t xml:space="preserve"> </w:t>
            </w:r>
            <w:r w:rsidRPr="008A7908">
              <w:rPr>
                <w:b/>
                <w:lang w:val="en-US"/>
              </w:rPr>
              <w:t>HAPS</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8A7908">
            <w:pPr>
              <w:pStyle w:val="Tabletext"/>
              <w:keepNext/>
              <w:keepLines/>
              <w:jc w:val="center"/>
              <w:rPr>
                <w:b/>
                <w:lang w:val="en-US"/>
              </w:rPr>
            </w:pPr>
            <w:r w:rsidRPr="008A7908">
              <w:rPr>
                <w:b/>
                <w:lang w:val="en-US"/>
              </w:rPr>
              <w:t>HAPS</w:t>
            </w:r>
            <w:r w:rsidR="008A7908">
              <w:rPr>
                <w:b/>
                <w:lang w:val="en-US"/>
              </w:rPr>
              <w:br/>
            </w:r>
            <w:r w:rsidRPr="008A7908">
              <w:rPr>
                <w:b/>
                <w:lang w:val="en-US" w:eastAsia="fr-FR"/>
              </w:rPr>
              <w:t>to</w:t>
            </w:r>
            <w:r w:rsidRPr="008A7908">
              <w:rPr>
                <w:b/>
                <w:lang w:val="en-US"/>
              </w:rPr>
              <w:t xml:space="preserve"> GW</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rPr>
            </w:pP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8A7908" w:rsidRDefault="00BB1D4E" w:rsidP="003331F5">
            <w:pPr>
              <w:pStyle w:val="Tabletext"/>
              <w:jc w:val="left"/>
              <w:rPr>
                <w:lang w:val="en-US"/>
              </w:rPr>
            </w:pPr>
            <w:r w:rsidRPr="008A7908">
              <w:rPr>
                <w:lang w:val="en-US"/>
              </w:rPr>
              <w:t>Capacity (Gbit/s)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22.5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22.5</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7.5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7.5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a</w:t>
            </w: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Spectral efficiency (bit/s/Hz)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5.05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4.9</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4.4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5.05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b</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8A7908">
              <w:rPr>
                <w:lang w:val="en-US"/>
              </w:rPr>
              <w:t>Overall required bandwi</w:t>
            </w:r>
            <w:r w:rsidRPr="004E6817">
              <w:t>dth</w:t>
            </w:r>
            <w:r>
              <w:t xml:space="preserve"> (</w:t>
            </w:r>
            <w:r w:rsidRPr="004E6817">
              <w:t>MHz</w:t>
            </w:r>
            <w:r>
              <w:t>)</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8A7908">
            <w:pPr>
              <w:pStyle w:val="Tabletext"/>
              <w:jc w:val="center"/>
            </w:pPr>
            <w:r w:rsidRPr="004E6817">
              <w:t>4</w:t>
            </w:r>
            <w:r w:rsidR="008A7908">
              <w:t xml:space="preserve"> </w:t>
            </w:r>
            <w:r w:rsidRPr="004E6817">
              <w:t>457</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4</w:t>
            </w:r>
            <w:r w:rsidR="008A7908">
              <w:t xml:space="preserve"> </w:t>
            </w:r>
            <w:r w:rsidRPr="004E6817">
              <w:t>604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r w:rsidR="008A7908">
              <w:t xml:space="preserve"> </w:t>
            </w:r>
            <w:r w:rsidRPr="004E6817">
              <w:t>702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r w:rsidR="008A7908">
              <w:t xml:space="preserve"> </w:t>
            </w:r>
            <w:r w:rsidRPr="004E6817">
              <w:t>486</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color w:val="000000"/>
                    <w:lang w:eastAsia="fr-FR"/>
                  </w:rPr>
                  <m:t>c=</m:t>
                </m:r>
                <m:f>
                  <m:fPr>
                    <m:ctrlPr>
                      <w:rPr>
                        <w:rFonts w:ascii="Cambria Math" w:hAnsi="Cambria Math"/>
                        <w:color w:val="000000"/>
                      </w:rPr>
                    </m:ctrlPr>
                  </m:fPr>
                  <m:num>
                    <m:r>
                      <m:rPr>
                        <m:sty m:val="p"/>
                      </m:rPr>
                      <w:rPr>
                        <w:rFonts w:ascii="Cambria Math" w:hAnsi="Cambria Math"/>
                        <w:color w:val="000000"/>
                        <w:lang w:eastAsia="fr-FR"/>
                      </w:rPr>
                      <m:t>a×1e3</m:t>
                    </m:r>
                  </m:num>
                  <m:den>
                    <m:r>
                      <m:rPr>
                        <m:sty m:val="p"/>
                      </m:rPr>
                      <w:rPr>
                        <w:rFonts w:ascii="Cambria Math" w:hAnsi="Cambria Math"/>
                        <w:color w:val="000000"/>
                        <w:lang w:eastAsia="fr-FR"/>
                      </w:rPr>
                      <m:t>b</m:t>
                    </m:r>
                  </m:den>
                </m:f>
              </m:oMath>
            </m:oMathPara>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Number of beams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16</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16</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d</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LHCP and RHCP polarisation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e</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Reuse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f</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b/>
                <w:lang w:val="en-US"/>
              </w:rPr>
            </w:pPr>
            <w:r w:rsidRPr="00BB1D4E">
              <w:rPr>
                <w:lang w:val="en-US"/>
              </w:rPr>
              <w:t>Spectrum needs taking into account the polarisation and reuse factors (MHz)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8A7908">
            <w:pPr>
              <w:pStyle w:val="Tabletext"/>
              <w:jc w:val="center"/>
              <w:rPr>
                <w:b/>
              </w:rPr>
            </w:pPr>
            <w:r w:rsidRPr="004E6817">
              <w:t>1</w:t>
            </w:r>
            <w:r w:rsidR="008A7908">
              <w:t xml:space="preserve"> </w:t>
            </w:r>
            <w:r w:rsidRPr="004E6817">
              <w:t>114</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rPr>
                <w:b/>
              </w:rPr>
            </w:pPr>
            <w:r w:rsidRPr="004E6817">
              <w:t>576</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rPr>
                <w:b/>
              </w:rPr>
            </w:pPr>
            <w:r w:rsidRPr="004E6817">
              <w:t>213</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rPr>
                <w:b/>
              </w:rPr>
            </w:pPr>
            <w:r w:rsidRPr="004E6817">
              <w:t>371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r w:rsidR="00BB1D4E" w:rsidRPr="004E6817" w:rsidTr="003927B7">
        <w:trPr>
          <w:jc w:val="center"/>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927B7">
            <w:pPr>
              <w:pStyle w:val="Tablehead"/>
            </w:pPr>
            <w:r w:rsidRPr="004E6817">
              <w:rPr>
                <w:lang w:eastAsia="fr-FR"/>
              </w:rPr>
              <w:t>System 4b</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14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b/>
              </w:rPr>
            </w:pPr>
            <w:r w:rsidRPr="004E6817">
              <w:rPr>
                <w:rFonts w:asciiTheme="majorBidi" w:hAnsiTheme="majorBidi" w:cstheme="majorBidi"/>
                <w:b/>
                <w:color w:val="000000"/>
                <w:lang w:eastAsia="fr-FR"/>
              </w:rPr>
              <w:t>Forward</w:t>
            </w:r>
          </w:p>
        </w:tc>
        <w:tc>
          <w:tcPr>
            <w:tcW w:w="148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b/>
              </w:rPr>
            </w:pPr>
            <w:r w:rsidRPr="004E6817">
              <w:rPr>
                <w:rFonts w:asciiTheme="majorBidi" w:hAnsiTheme="majorBidi" w:cstheme="majorBidi"/>
                <w:b/>
                <w:color w:val="000000"/>
                <w:lang w:eastAsia="fr-FR"/>
              </w:rPr>
              <w:t>Return</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b/>
              </w:rPr>
            </w:pP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sidRPr="008A7908">
              <w:rPr>
                <w:b/>
                <w:lang w:val="en-US"/>
              </w:rPr>
              <w:t>GW</w:t>
            </w:r>
            <w:r w:rsidRPr="008A7908">
              <w:rPr>
                <w:b/>
                <w:lang w:val="en-US"/>
              </w:rPr>
              <w:br/>
            </w:r>
            <w:r w:rsidR="00BB1D4E" w:rsidRPr="008A7908">
              <w:rPr>
                <w:b/>
                <w:lang w:val="en-US" w:eastAsia="fr-FR"/>
              </w:rPr>
              <w:t>to</w:t>
            </w:r>
            <w:r w:rsidR="00BB1D4E" w:rsidRPr="008A7908" w:rsidDel="00E5225A">
              <w:rPr>
                <w:b/>
                <w:lang w:val="en-US"/>
              </w:rPr>
              <w:t xml:space="preserve"> </w:t>
            </w:r>
            <w:r w:rsidR="00BB1D4E" w:rsidRPr="008A7908">
              <w:rPr>
                <w:b/>
                <w:lang w:val="en-US"/>
              </w:rPr>
              <w:t>HAPS</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Pr>
                <w:b/>
                <w:lang w:val="en-US"/>
              </w:rPr>
              <w:t>HAPS</w:t>
            </w:r>
            <w:r>
              <w:rPr>
                <w:b/>
                <w:lang w:val="en-US"/>
              </w:rPr>
              <w:br/>
            </w:r>
            <w:r w:rsidR="00BB1D4E" w:rsidRPr="008A7908">
              <w:rPr>
                <w:b/>
                <w:lang w:val="en-US" w:eastAsia="fr-FR"/>
              </w:rPr>
              <w:t>to</w:t>
            </w:r>
            <w:r w:rsidR="00BB1D4E" w:rsidRPr="008A7908">
              <w:rPr>
                <w:b/>
                <w:lang w:val="en-US"/>
              </w:rPr>
              <w:t xml:space="preserve"> CPE</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b/>
                <w:lang w:val="en-US"/>
              </w:rPr>
            </w:pPr>
            <w:r w:rsidRPr="008A7908">
              <w:rPr>
                <w:b/>
                <w:lang w:val="en-US"/>
              </w:rPr>
              <w:t>CPE</w:t>
            </w:r>
            <w:r w:rsidR="008A7908">
              <w:rPr>
                <w:b/>
                <w:lang w:val="en-US" w:eastAsia="fr-FR"/>
              </w:rPr>
              <w:br/>
            </w:r>
            <w:r w:rsidRPr="008A7908">
              <w:rPr>
                <w:b/>
                <w:lang w:val="en-US" w:eastAsia="fr-FR"/>
              </w:rPr>
              <w:t>to</w:t>
            </w:r>
            <w:r w:rsidRPr="008A7908" w:rsidDel="00E5225A">
              <w:rPr>
                <w:b/>
                <w:lang w:val="en-US"/>
              </w:rPr>
              <w:t xml:space="preserve"> </w:t>
            </w:r>
            <w:r w:rsidRPr="008A7908">
              <w:rPr>
                <w:b/>
                <w:lang w:val="en-US"/>
              </w:rPr>
              <w:t>HAPS</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Pr>
                <w:b/>
                <w:lang w:val="en-US"/>
              </w:rPr>
              <w:t>HAPS</w:t>
            </w:r>
            <w:r>
              <w:rPr>
                <w:b/>
                <w:lang w:val="en-US"/>
              </w:rPr>
              <w:br/>
            </w:r>
            <w:r w:rsidR="00BB1D4E" w:rsidRPr="008A7908">
              <w:rPr>
                <w:b/>
                <w:lang w:val="en-US" w:eastAsia="fr-FR"/>
              </w:rPr>
              <w:t>to</w:t>
            </w:r>
            <w:r w:rsidR="00BB1D4E" w:rsidRPr="008A7908">
              <w:rPr>
                <w:b/>
                <w:lang w:val="en-US"/>
              </w:rPr>
              <w:t xml:space="preserve"> GW</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b/>
                <w:lang w:val="en-US"/>
              </w:rPr>
            </w:pP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8A7908" w:rsidRDefault="00BB1D4E" w:rsidP="003331F5">
            <w:pPr>
              <w:pStyle w:val="Tabletext"/>
              <w:jc w:val="left"/>
              <w:rPr>
                <w:lang w:val="en-US"/>
              </w:rPr>
            </w:pPr>
            <w:r w:rsidRPr="008A7908">
              <w:rPr>
                <w:lang w:val="en-US"/>
              </w:rPr>
              <w:t>Capacity (Gbit/s)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28.75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28.75</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6.25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6.25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a</w:t>
            </w:r>
          </w:p>
        </w:tc>
      </w:tr>
      <w:tr w:rsidR="00BB1D4E" w:rsidRPr="008A7908"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Spectral efficiency (bit/s/Hz)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5.05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4.28</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3.2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5.05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b</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8A7908">
              <w:rPr>
                <w:lang w:val="en-US"/>
              </w:rPr>
              <w:t>Overall required b</w:t>
            </w:r>
            <w:r w:rsidRPr="004E6817">
              <w:t>andwidth</w:t>
            </w:r>
            <w:r>
              <w:t xml:space="preserve"> (</w:t>
            </w:r>
            <w:r w:rsidRPr="004E6817">
              <w:t>MHz</w:t>
            </w:r>
            <w:r>
              <w:t>)</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5</w:t>
            </w:r>
            <w:r w:rsidR="008A7908">
              <w:t xml:space="preserve"> </w:t>
            </w:r>
            <w:r w:rsidRPr="004E6817">
              <w:t>695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8A7908">
            <w:pPr>
              <w:pStyle w:val="Tabletext"/>
              <w:jc w:val="center"/>
            </w:pPr>
            <w:r w:rsidRPr="004E6817">
              <w:t>6</w:t>
            </w:r>
            <w:r w:rsidR="008A7908">
              <w:t xml:space="preserve"> </w:t>
            </w:r>
            <w:r w:rsidRPr="004E6817">
              <w:t>710</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r w:rsidR="008A7908">
              <w:t xml:space="preserve"> </w:t>
            </w:r>
            <w:r w:rsidRPr="004E6817">
              <w:t>969</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8A7908">
            <w:pPr>
              <w:pStyle w:val="Tabletext"/>
              <w:jc w:val="center"/>
            </w:pPr>
            <w:r w:rsidRPr="004E6817">
              <w:t>1</w:t>
            </w:r>
            <w:r w:rsidR="008A7908">
              <w:t xml:space="preserve"> </w:t>
            </w:r>
            <w:r w:rsidRPr="004E6817">
              <w:t>238</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color w:val="000000"/>
                    <w:lang w:eastAsia="fr-FR"/>
                  </w:rPr>
                  <m:t>c=</m:t>
                </m:r>
                <m:f>
                  <m:fPr>
                    <m:ctrlPr>
                      <w:rPr>
                        <w:rFonts w:ascii="Cambria Math" w:hAnsi="Cambria Math"/>
                        <w:color w:val="000000"/>
                      </w:rPr>
                    </m:ctrlPr>
                  </m:fPr>
                  <m:num>
                    <m:r>
                      <m:rPr>
                        <m:sty m:val="p"/>
                      </m:rPr>
                      <w:rPr>
                        <w:rFonts w:ascii="Cambria Math" w:hAnsi="Cambria Math"/>
                        <w:color w:val="000000"/>
                        <w:lang w:eastAsia="fr-FR"/>
                      </w:rPr>
                      <m:t>a×1e3</m:t>
                    </m:r>
                  </m:num>
                  <m:den>
                    <m:r>
                      <m:rPr>
                        <m:sty m:val="p"/>
                      </m:rPr>
                      <w:rPr>
                        <w:rFonts w:ascii="Cambria Math" w:hAnsi="Cambria Math"/>
                        <w:color w:val="000000"/>
                        <w:lang w:eastAsia="fr-FR"/>
                      </w:rPr>
                      <m:t>b</m:t>
                    </m:r>
                  </m:den>
                </m:f>
              </m:oMath>
            </m:oMathPara>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Number of beams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67</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67</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d</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LHCP and RHCP polarisation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e</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Reuse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f</w:t>
            </w:r>
          </w:p>
        </w:tc>
      </w:tr>
      <w:tr w:rsidR="00BB1D4E" w:rsidRPr="004E6817" w:rsidTr="003927B7">
        <w:trPr>
          <w:jc w:val="center"/>
        </w:trPr>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Spectrum needs taking into account the polarisation and reuse factors (MHz)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1</w:t>
            </w:r>
            <w:r w:rsidR="008A7908">
              <w:t xml:space="preserve"> </w:t>
            </w:r>
            <w:r w:rsidRPr="004E6817">
              <w:t>424</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200</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59</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310</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bl>
    <w:p w:rsidR="0040270A" w:rsidRDefault="0040270A">
      <w:pPr>
        <w:tabs>
          <w:tab w:val="clear" w:pos="794"/>
          <w:tab w:val="clear" w:pos="1191"/>
          <w:tab w:val="clear" w:pos="1588"/>
          <w:tab w:val="clear" w:pos="1985"/>
        </w:tabs>
        <w:overflowPunct/>
        <w:autoSpaceDE/>
        <w:autoSpaceDN/>
        <w:adjustRightInd/>
        <w:spacing w:before="0"/>
        <w:jc w:val="left"/>
        <w:textAlignment w:val="auto"/>
      </w:pPr>
    </w:p>
    <w:p w:rsidR="0040270A" w:rsidRDefault="0040270A">
      <w:pPr>
        <w:tabs>
          <w:tab w:val="clear" w:pos="794"/>
          <w:tab w:val="clear" w:pos="1191"/>
          <w:tab w:val="clear" w:pos="1588"/>
          <w:tab w:val="clear" w:pos="1985"/>
        </w:tabs>
        <w:overflowPunct/>
        <w:autoSpaceDE/>
        <w:autoSpaceDN/>
        <w:adjustRightInd/>
        <w:spacing w:before="0"/>
        <w:jc w:val="left"/>
        <w:textAlignment w:val="auto"/>
      </w:pPr>
      <w:r>
        <w:br w:type="page"/>
      </w:r>
    </w:p>
    <w:p w:rsidR="0040270A" w:rsidRDefault="0040270A" w:rsidP="0040270A">
      <w:pPr>
        <w:pStyle w:val="TableNo"/>
      </w:pPr>
      <w:r w:rsidRPr="004E6817">
        <w:lastRenderedPageBreak/>
        <w:t>TABLE 2</w:t>
      </w:r>
      <w:r>
        <w:t xml:space="preserve"> (</w:t>
      </w:r>
      <w:r w:rsidRPr="0040270A">
        <w:rPr>
          <w:i/>
          <w:iCs/>
        </w:rPr>
        <w:t>end</w:t>
      </w:r>
      <w:r>
        <w:t>)</w:t>
      </w:r>
    </w:p>
    <w:tbl>
      <w:tblPr>
        <w:tblW w:w="5089" w:type="pct"/>
        <w:jc w:val="center"/>
        <w:tblLayout w:type="fixed"/>
        <w:tblCellMar>
          <w:left w:w="70" w:type="dxa"/>
          <w:right w:w="70" w:type="dxa"/>
        </w:tblCellMar>
        <w:tblLook w:val="04A0" w:firstRow="1" w:lastRow="0" w:firstColumn="1" w:lastColumn="0" w:noHBand="0" w:noVBand="1"/>
      </w:tblPr>
      <w:tblGrid>
        <w:gridCol w:w="1772"/>
        <w:gridCol w:w="827"/>
        <w:gridCol w:w="1352"/>
        <w:gridCol w:w="1513"/>
        <w:gridCol w:w="1494"/>
        <w:gridCol w:w="1407"/>
        <w:gridCol w:w="1435"/>
      </w:tblGrid>
      <w:tr w:rsidR="00BB1D4E" w:rsidRPr="004E6817" w:rsidTr="003927B7">
        <w:trPr>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927B7">
            <w:pPr>
              <w:pStyle w:val="Tablehead"/>
              <w:rPr>
                <w:lang w:eastAsia="fr-FR"/>
              </w:rPr>
            </w:pPr>
            <w:r w:rsidRPr="004E6817">
              <w:rPr>
                <w:lang w:eastAsia="fr-FR"/>
              </w:rPr>
              <w:t>System 5</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14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rPr>
                <w:rFonts w:asciiTheme="majorBidi" w:hAnsiTheme="majorBidi" w:cstheme="majorBidi"/>
                <w:color w:val="000000"/>
                <w:lang w:eastAsia="fr-FR"/>
              </w:rPr>
            </w:pPr>
            <w:r w:rsidRPr="004E6817">
              <w:rPr>
                <w:rFonts w:asciiTheme="majorBidi" w:hAnsiTheme="majorBidi" w:cstheme="majorBidi"/>
                <w:color w:val="000000"/>
                <w:lang w:eastAsia="fr-FR"/>
              </w:rPr>
              <w:t>Forward</w:t>
            </w:r>
          </w:p>
        </w:tc>
        <w:tc>
          <w:tcPr>
            <w:tcW w:w="148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rPr>
                <w:rFonts w:asciiTheme="majorBidi" w:hAnsiTheme="majorBidi" w:cstheme="majorBidi"/>
                <w:color w:val="000000"/>
                <w:lang w:eastAsia="fr-FR"/>
              </w:rPr>
            </w:pPr>
            <w:r w:rsidRPr="004E6817">
              <w:rPr>
                <w:rFonts w:asciiTheme="majorBidi" w:hAnsiTheme="majorBidi" w:cstheme="majorBidi"/>
                <w:color w:val="000000"/>
                <w:lang w:eastAsia="fr-FR"/>
              </w:rPr>
              <w:t>Return</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pPr>
          </w:p>
        </w:tc>
      </w:tr>
      <w:tr w:rsidR="00BB1D4E" w:rsidRPr="008A7908"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sidRPr="008A7908">
              <w:rPr>
                <w:b/>
                <w:lang w:val="en-US"/>
              </w:rPr>
              <w:t>GW</w:t>
            </w:r>
            <w:r w:rsidRPr="008A7908">
              <w:rPr>
                <w:b/>
                <w:lang w:val="en-US"/>
              </w:rPr>
              <w:br/>
            </w:r>
            <w:r w:rsidR="00BB1D4E" w:rsidRPr="008A7908">
              <w:rPr>
                <w:b/>
                <w:lang w:val="en-US" w:eastAsia="fr-FR"/>
              </w:rPr>
              <w:t>to</w:t>
            </w:r>
            <w:r w:rsidR="00BB1D4E" w:rsidRPr="008A7908">
              <w:rPr>
                <w:b/>
                <w:lang w:val="en-US"/>
              </w:rPr>
              <w:t xml:space="preserve"> HAPS</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b/>
                <w:lang w:val="en-US"/>
              </w:rPr>
            </w:pPr>
            <w:r w:rsidRPr="008A7908">
              <w:rPr>
                <w:b/>
                <w:lang w:val="en-US"/>
              </w:rPr>
              <w:t>HAPS</w:t>
            </w:r>
            <w:r w:rsidR="008A7908">
              <w:rPr>
                <w:b/>
                <w:lang w:val="en-US" w:eastAsia="fr-FR"/>
              </w:rPr>
              <w:br/>
            </w:r>
            <w:r w:rsidRPr="008A7908">
              <w:rPr>
                <w:b/>
                <w:lang w:val="en-US" w:eastAsia="fr-FR"/>
              </w:rPr>
              <w:t>to</w:t>
            </w:r>
            <w:r w:rsidRPr="008A7908" w:rsidDel="00E5225A">
              <w:rPr>
                <w:b/>
                <w:lang w:val="en-US"/>
              </w:rPr>
              <w:t xml:space="preserve"> </w:t>
            </w:r>
            <w:r w:rsidRPr="008A7908">
              <w:rPr>
                <w:b/>
                <w:lang w:val="en-US"/>
              </w:rPr>
              <w:t>CPE</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Pr>
                <w:b/>
                <w:lang w:val="en-US"/>
              </w:rPr>
              <w:t>CPE</w:t>
            </w:r>
            <w:r>
              <w:rPr>
                <w:b/>
                <w:lang w:val="en-US"/>
              </w:rPr>
              <w:br/>
            </w:r>
            <w:r w:rsidR="00BB1D4E" w:rsidRPr="008A7908">
              <w:rPr>
                <w:b/>
                <w:lang w:val="en-US" w:eastAsia="fr-FR"/>
              </w:rPr>
              <w:t>to</w:t>
            </w:r>
            <w:r w:rsidR="00BB1D4E" w:rsidRPr="008A7908">
              <w:rPr>
                <w:b/>
                <w:lang w:val="en-US"/>
              </w:rPr>
              <w:t xml:space="preserve"> HAPS</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8A7908" w:rsidP="003927B7">
            <w:pPr>
              <w:pStyle w:val="Tabletext"/>
              <w:keepNext/>
              <w:keepLines/>
              <w:jc w:val="center"/>
              <w:rPr>
                <w:b/>
                <w:lang w:val="en-US"/>
              </w:rPr>
            </w:pPr>
            <w:r>
              <w:rPr>
                <w:b/>
                <w:lang w:val="en-US"/>
              </w:rPr>
              <w:t>HAPS</w:t>
            </w:r>
            <w:r>
              <w:rPr>
                <w:b/>
                <w:lang w:val="en-US"/>
              </w:rPr>
              <w:br/>
            </w:r>
            <w:r w:rsidR="00BB1D4E" w:rsidRPr="008A7908">
              <w:rPr>
                <w:b/>
                <w:lang w:val="en-US" w:eastAsia="fr-FR"/>
              </w:rPr>
              <w:t>to</w:t>
            </w:r>
            <w:r w:rsidR="00BB1D4E" w:rsidRPr="008A7908">
              <w:rPr>
                <w:b/>
                <w:lang w:val="en-US"/>
              </w:rPr>
              <w:t xml:space="preserve"> GW</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rPr>
            </w:pPr>
          </w:p>
        </w:tc>
      </w:tr>
      <w:tr w:rsidR="00BB1D4E" w:rsidRPr="008A7908"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8A7908" w:rsidRDefault="00BB1D4E" w:rsidP="003331F5">
            <w:pPr>
              <w:pStyle w:val="Tabletext"/>
              <w:jc w:val="left"/>
              <w:rPr>
                <w:lang w:val="en-US"/>
              </w:rPr>
            </w:pPr>
            <w:r w:rsidRPr="008A7908">
              <w:rPr>
                <w:lang w:val="en-US"/>
              </w:rPr>
              <w:t>Capacity (Gbit/s)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rPr>
            </w:pPr>
            <w:r w:rsidRPr="008A7908">
              <w:rPr>
                <w:lang w:val="en-US" w:eastAsia="zh-CN"/>
              </w:rPr>
              <w:t>5.425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lang w:val="en-US" w:eastAsia="zh-CN"/>
              </w:rPr>
              <w:t>5.425</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bCs/>
                <w:lang w:val="en-US" w:eastAsia="zh-CN"/>
              </w:rPr>
              <w:t>0.775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rPr>
            </w:pPr>
            <w:r w:rsidRPr="008A7908">
              <w:rPr>
                <w:bCs/>
                <w:lang w:val="en-US" w:eastAsia="zh-CN"/>
              </w:rPr>
              <w:t>0.775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jc w:val="center"/>
              <w:rPr>
                <w:lang w:val="en-US"/>
              </w:rPr>
            </w:pPr>
            <w:r w:rsidRPr="008A7908">
              <w:rPr>
                <w:lang w:val="en-US"/>
              </w:rPr>
              <w:t>a</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Spectral efficiency (bit/s/Hz)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lang w:val="en-US" w:eastAsia="zh-CN"/>
              </w:rPr>
              <w:t>5.5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lang w:val="en-US" w:eastAsia="zh-CN"/>
              </w:rPr>
              <w:t>3.3</w:t>
            </w:r>
          </w:p>
          <w:p w:rsidR="00BB1D4E" w:rsidRPr="008A7908" w:rsidRDefault="00BB1D4E" w:rsidP="003927B7">
            <w:pPr>
              <w:pStyle w:val="Tabletext"/>
              <w:jc w:val="center"/>
              <w:rPr>
                <w:lang w:val="en-US" w:eastAsia="zh-CN"/>
              </w:rPr>
            </w:pPr>
            <w:r w:rsidRPr="008A7908">
              <w:rPr>
                <w:lang w:val="en-US" w:eastAsia="zh-CN"/>
              </w:rPr>
              <w:t>(</w:t>
            </w:r>
            <w:r w:rsidR="00B24B6C" w:rsidRPr="008A7908">
              <w:rPr>
                <w:lang w:val="en-US" w:eastAsia="zh-CN"/>
              </w:rPr>
              <w:t>averaged</w:t>
            </w:r>
            <w:r w:rsidRPr="008A7908">
              <w:rPr>
                <w:lang w:val="en-US" w:eastAsia="zh-CN"/>
              </w:rPr>
              <w:t>)</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lang w:val="en-US" w:eastAsia="zh-CN"/>
              </w:rPr>
              <w:t>3.3</w:t>
            </w:r>
          </w:p>
          <w:p w:rsidR="00BB1D4E" w:rsidRPr="008A7908" w:rsidRDefault="00BB1D4E" w:rsidP="003927B7">
            <w:pPr>
              <w:pStyle w:val="Tabletext"/>
              <w:jc w:val="center"/>
              <w:rPr>
                <w:lang w:val="en-US"/>
              </w:rPr>
            </w:pPr>
            <w:r w:rsidRPr="008A7908">
              <w:rPr>
                <w:lang w:val="en-US" w:eastAsia="zh-CN"/>
              </w:rPr>
              <w:t>(</w:t>
            </w:r>
            <w:r w:rsidR="00B24B6C" w:rsidRPr="008A7908">
              <w:rPr>
                <w:lang w:val="en-US" w:eastAsia="zh-CN"/>
              </w:rPr>
              <w:t>averaged</w:t>
            </w:r>
            <w:r w:rsidRPr="008A7908">
              <w:rPr>
                <w:lang w:val="en-US" w:eastAsia="zh-CN"/>
              </w:rPr>
              <w:t>)</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eastAsia="zh-CN"/>
              </w:rPr>
            </w:pPr>
            <w:r w:rsidRPr="008A7908">
              <w:rPr>
                <w:lang w:val="en-US" w:eastAsia="zh-CN"/>
              </w:rPr>
              <w:t>5.5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b</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8A7908">
            <w:pPr>
              <w:pStyle w:val="Tabletext"/>
              <w:jc w:val="left"/>
            </w:pPr>
            <w:r w:rsidRPr="004E6817">
              <w:t xml:space="preserve">Overall required </w:t>
            </w:r>
            <w:r w:rsidR="008A7908">
              <w:t>b</w:t>
            </w:r>
            <w:r w:rsidRPr="004E6817">
              <w:t>andwidth</w:t>
            </w:r>
            <w:r>
              <w:t xml:space="preserve"> (</w:t>
            </w:r>
            <w:r w:rsidRPr="004E6817">
              <w:t>MHz</w:t>
            </w:r>
            <w:r>
              <w:t>)</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986</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8A7908">
            <w:pPr>
              <w:pStyle w:val="Tabletext"/>
              <w:jc w:val="center"/>
              <w:rPr>
                <w:lang w:eastAsia="zh-CN"/>
              </w:rPr>
            </w:pPr>
            <w:r w:rsidRPr="004E6817">
              <w:rPr>
                <w:lang w:eastAsia="zh-CN"/>
              </w:rPr>
              <w:t>1</w:t>
            </w:r>
            <w:r w:rsidR="008A7908">
              <w:rPr>
                <w:lang w:eastAsia="zh-CN"/>
              </w:rPr>
              <w:t xml:space="preserve"> </w:t>
            </w:r>
            <w:r w:rsidRPr="004E6817">
              <w:rPr>
                <w:lang w:eastAsia="zh-CN"/>
              </w:rPr>
              <w:t>644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235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141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color w:val="000000"/>
                    <w:lang w:eastAsia="fr-FR"/>
                  </w:rPr>
                  <m:t>c=</m:t>
                </m:r>
                <m:f>
                  <m:fPr>
                    <m:ctrlPr>
                      <w:rPr>
                        <w:rFonts w:ascii="Cambria Math" w:hAnsi="Cambria Math"/>
                        <w:color w:val="000000"/>
                      </w:rPr>
                    </m:ctrlPr>
                  </m:fPr>
                  <m:num>
                    <m:r>
                      <m:rPr>
                        <m:sty m:val="p"/>
                      </m:rPr>
                      <w:rPr>
                        <w:rFonts w:ascii="Cambria Math" w:hAnsi="Cambria Math"/>
                        <w:color w:val="000000"/>
                        <w:lang w:eastAsia="fr-FR"/>
                      </w:rPr>
                      <m:t>a×1e3</m:t>
                    </m:r>
                  </m:num>
                  <m:den>
                    <m:r>
                      <m:rPr>
                        <m:sty m:val="p"/>
                      </m:rPr>
                      <w:rPr>
                        <w:rFonts w:ascii="Cambria Math" w:hAnsi="Cambria Math"/>
                        <w:color w:val="000000"/>
                        <w:lang w:eastAsia="fr-FR"/>
                      </w:rPr>
                      <m:t>b</m:t>
                    </m:r>
                  </m:den>
                </m:f>
              </m:oMath>
            </m:oMathPara>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rPr>
                <w:rFonts w:eastAsiaTheme="minorEastAsia"/>
                <w:lang w:eastAsia="zh-CN"/>
              </w:rPr>
            </w:pPr>
            <w:r w:rsidRPr="004E6817">
              <w:t>Number of beams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20</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20</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d</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rFonts w:eastAsiaTheme="minorEastAsia"/>
                <w:lang w:val="en-US" w:eastAsia="zh-CN"/>
              </w:rPr>
            </w:pPr>
            <w:r w:rsidRPr="00BB1D4E">
              <w:rPr>
                <w:lang w:val="en-US"/>
              </w:rPr>
              <w:t>LHCP and RHCP polarisation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e</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rPr>
                <w:rFonts w:eastAsiaTheme="minorEastAsia"/>
                <w:lang w:eastAsia="zh-CN"/>
              </w:rPr>
            </w:pPr>
            <w:r w:rsidRPr="004E6817">
              <w:t>Reuse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lang w:eastAsia="zh-CN"/>
              </w:rPr>
            </w:pPr>
            <w:r w:rsidRPr="004E6817">
              <w:rPr>
                <w:lang w:eastAsia="zh-CN"/>
              </w:rPr>
              <w:t>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w:r w:rsidRPr="004E6817">
              <w:t>f</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b/>
                <w:lang w:val="en-US"/>
              </w:rPr>
            </w:pPr>
            <w:r w:rsidRPr="00BB1D4E">
              <w:rPr>
                <w:lang w:val="en-US"/>
              </w:rPr>
              <w:t>Spectrum needs taking into account the polarisation and reuse factors (MHz)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b/>
                <w:lang w:eastAsia="zh-CN"/>
              </w:rPr>
            </w:pPr>
            <w:r w:rsidRPr="004E6817">
              <w:rPr>
                <w:lang w:eastAsia="zh-CN"/>
              </w:rPr>
              <w:t>247</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b/>
              </w:rPr>
            </w:pPr>
            <w:r w:rsidRPr="004E6817">
              <w:rPr>
                <w:lang w:eastAsia="zh-CN"/>
              </w:rPr>
              <w:t>164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b/>
                <w:lang w:eastAsia="zh-CN"/>
              </w:rPr>
            </w:pPr>
            <w:r w:rsidRPr="004E6817">
              <w:rPr>
                <w:lang w:eastAsia="zh-CN"/>
              </w:rPr>
              <w:t>24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rPr>
                <w:b/>
                <w:lang w:eastAsia="zh-CN"/>
              </w:rPr>
            </w:pPr>
            <w:r w:rsidRPr="004E6817">
              <w:rPr>
                <w:lang w:eastAsia="zh-CN"/>
              </w:rPr>
              <w:t>35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r w:rsidR="00BB1D4E" w:rsidRPr="00473271" w:rsidTr="003927B7">
        <w:trPr>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8A7908" w:rsidRDefault="00BB1D4E" w:rsidP="00534E20">
            <w:pPr>
              <w:pStyle w:val="Tabletext"/>
              <w:rPr>
                <w:rFonts w:eastAsia="SimSun"/>
                <w:lang w:val="en-US"/>
              </w:rPr>
            </w:pPr>
            <w:r w:rsidRPr="008A7908">
              <w:rPr>
                <w:lang w:val="en-US"/>
              </w:rPr>
              <w:t xml:space="preserve">System 5 is designed to cover rural areas with a population density of </w:t>
            </w:r>
            <w:r w:rsidRPr="008A7908">
              <w:rPr>
                <w:lang w:val="en-US" w:eastAsia="zh-CN"/>
              </w:rPr>
              <w:t>10</w:t>
            </w:r>
            <w:r w:rsidRPr="008A7908">
              <w:rPr>
                <w:lang w:val="en-US"/>
              </w:rPr>
              <w:t xml:space="preserve"> inhabitants/km</w:t>
            </w:r>
            <w:r w:rsidRPr="008A7908">
              <w:rPr>
                <w:vertAlign w:val="superscript"/>
                <w:lang w:val="en-US"/>
              </w:rPr>
              <w:t>2</w:t>
            </w:r>
            <w:r w:rsidR="008A7908" w:rsidRPr="008A7908">
              <w:rPr>
                <w:lang w:val="en-US"/>
              </w:rPr>
              <w:t>.</w:t>
            </w:r>
          </w:p>
        </w:tc>
      </w:tr>
      <w:tr w:rsidR="00BB1D4E" w:rsidRPr="004E6817" w:rsidTr="003927B7">
        <w:trPr>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927B7">
            <w:pPr>
              <w:pStyle w:val="Tablelegend"/>
              <w:jc w:val="center"/>
            </w:pPr>
            <w:r w:rsidRPr="004E6817">
              <w:rPr>
                <w:rFonts w:ascii="Times New Roman Bold" w:hAnsi="Times New Roman Bold" w:cs="Times New Roman Bold"/>
                <w:b/>
                <w:sz w:val="20"/>
                <w:lang w:eastAsia="fr-FR"/>
              </w:rPr>
              <w:t>System 6</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14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rFonts w:asciiTheme="majorBidi" w:hAnsiTheme="majorBidi" w:cstheme="majorBidi"/>
                <w:b/>
                <w:color w:val="000000"/>
                <w:lang w:eastAsia="fr-FR"/>
              </w:rPr>
            </w:pPr>
            <w:r w:rsidRPr="004E6817">
              <w:rPr>
                <w:rFonts w:asciiTheme="majorBidi" w:hAnsiTheme="majorBidi" w:cstheme="majorBidi"/>
                <w:b/>
                <w:color w:val="000000"/>
                <w:lang w:eastAsia="fr-FR"/>
              </w:rPr>
              <w:t>Forward</w:t>
            </w:r>
          </w:p>
        </w:tc>
        <w:tc>
          <w:tcPr>
            <w:tcW w:w="148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rFonts w:asciiTheme="majorBidi" w:hAnsiTheme="majorBidi" w:cstheme="majorBidi"/>
                <w:b/>
                <w:color w:val="000000"/>
                <w:lang w:eastAsia="fr-FR"/>
              </w:rPr>
            </w:pPr>
            <w:r w:rsidRPr="004E6817">
              <w:rPr>
                <w:rFonts w:asciiTheme="majorBidi" w:hAnsiTheme="majorBidi" w:cstheme="majorBidi"/>
                <w:b/>
                <w:color w:val="000000"/>
                <w:lang w:eastAsia="fr-FR"/>
              </w:rPr>
              <w:t>Return</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4E6817" w:rsidRDefault="00BB1D4E" w:rsidP="003927B7">
            <w:pPr>
              <w:pStyle w:val="Tabletext"/>
              <w:jc w:val="center"/>
            </w:pPr>
          </w:p>
        </w:tc>
      </w:tr>
      <w:tr w:rsidR="00BB1D4E" w:rsidRPr="008A7908"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4E6817" w:rsidRDefault="00BB1D4E" w:rsidP="003927B7">
            <w:pPr>
              <w:pStyle w:val="Tabletext"/>
              <w:jc w:val="center"/>
            </w:pP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tabs>
                <w:tab w:val="clear" w:pos="284"/>
                <w:tab w:val="clear" w:pos="567"/>
                <w:tab w:val="clear" w:pos="851"/>
                <w:tab w:val="clear" w:pos="1134"/>
              </w:tabs>
              <w:ind w:leftChars="-7" w:left="-17" w:rightChars="-50" w:right="-120"/>
              <w:jc w:val="center"/>
              <w:rPr>
                <w:b/>
                <w:color w:val="000000"/>
                <w:lang w:val="en-US" w:eastAsia="fr-FR"/>
              </w:rPr>
            </w:pPr>
            <w:r w:rsidRPr="008A7908">
              <w:rPr>
                <w:b/>
                <w:color w:val="000000"/>
                <w:lang w:val="en-US" w:eastAsia="fr-FR"/>
              </w:rPr>
              <w:t>GW</w:t>
            </w:r>
            <w:r w:rsidR="008A7908" w:rsidRPr="008A7908">
              <w:rPr>
                <w:b/>
                <w:color w:val="000000"/>
                <w:lang w:val="en-US" w:eastAsia="fr-FR"/>
              </w:rPr>
              <w:br/>
            </w:r>
            <w:r w:rsidRPr="008A7908">
              <w:rPr>
                <w:b/>
                <w:lang w:val="en-US" w:eastAsia="fr-FR"/>
              </w:rPr>
              <w:t>to</w:t>
            </w:r>
            <w:r w:rsidRPr="008A7908">
              <w:rPr>
                <w:b/>
                <w:color w:val="000000"/>
                <w:lang w:val="en-US" w:eastAsia="fr-FR"/>
              </w:rPr>
              <w:t xml:space="preserve"> HAPS</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8A7908">
            <w:pPr>
              <w:pStyle w:val="Tabletext"/>
              <w:keepNext/>
              <w:keepLines/>
              <w:jc w:val="center"/>
              <w:rPr>
                <w:b/>
                <w:color w:val="000000"/>
                <w:lang w:val="en-US" w:eastAsia="fr-FR"/>
              </w:rPr>
            </w:pPr>
            <w:r w:rsidRPr="008A7908">
              <w:rPr>
                <w:b/>
                <w:color w:val="000000"/>
                <w:lang w:val="en-US" w:eastAsia="fr-FR"/>
              </w:rPr>
              <w:t>HAPS</w:t>
            </w:r>
            <w:r w:rsidR="008A7908">
              <w:rPr>
                <w:b/>
                <w:color w:val="000000"/>
                <w:lang w:val="en-US" w:eastAsia="fr-FR"/>
              </w:rPr>
              <w:br/>
            </w:r>
            <w:r w:rsidRPr="008A7908">
              <w:rPr>
                <w:b/>
                <w:lang w:val="en-US" w:eastAsia="fr-FR"/>
              </w:rPr>
              <w:t>to</w:t>
            </w:r>
            <w:r w:rsidRPr="008A7908">
              <w:rPr>
                <w:b/>
                <w:color w:val="000000"/>
                <w:lang w:val="en-US" w:eastAsia="fr-FR"/>
              </w:rPr>
              <w:t xml:space="preserve"> CPE</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b/>
                <w:color w:val="000000"/>
                <w:lang w:val="en-US" w:eastAsia="fr-FR"/>
              </w:rPr>
            </w:pPr>
            <w:r w:rsidRPr="008A7908">
              <w:rPr>
                <w:b/>
                <w:color w:val="000000"/>
                <w:lang w:val="en-US" w:eastAsia="fr-FR"/>
              </w:rPr>
              <w:t>CPE</w:t>
            </w:r>
            <w:r w:rsidR="008A7908">
              <w:rPr>
                <w:b/>
                <w:lang w:val="en-US" w:eastAsia="fr-FR"/>
              </w:rPr>
              <w:br/>
            </w:r>
            <w:r w:rsidRPr="008A7908">
              <w:rPr>
                <w:b/>
                <w:lang w:val="en-US" w:eastAsia="fr-FR"/>
              </w:rPr>
              <w:t>to</w:t>
            </w:r>
            <w:r w:rsidRPr="008A7908">
              <w:rPr>
                <w:b/>
                <w:color w:val="000000"/>
                <w:lang w:val="en-US" w:eastAsia="fr-FR"/>
              </w:rPr>
              <w:t xml:space="preserve"> HAPS</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8A7908">
            <w:pPr>
              <w:pStyle w:val="Tabletext"/>
              <w:keepNext/>
              <w:keepLines/>
              <w:jc w:val="center"/>
              <w:rPr>
                <w:b/>
                <w:color w:val="000000"/>
                <w:lang w:val="en-US" w:eastAsia="fr-FR"/>
              </w:rPr>
            </w:pPr>
            <w:r w:rsidRPr="008A7908">
              <w:rPr>
                <w:b/>
                <w:color w:val="000000"/>
                <w:lang w:val="en-US" w:eastAsia="fr-FR"/>
              </w:rPr>
              <w:t>HAPS</w:t>
            </w:r>
            <w:r w:rsidR="008A7908">
              <w:rPr>
                <w:b/>
                <w:color w:val="000000"/>
                <w:lang w:val="en-US" w:eastAsia="fr-FR"/>
              </w:rPr>
              <w:br/>
            </w:r>
            <w:r w:rsidRPr="008A7908">
              <w:rPr>
                <w:b/>
                <w:lang w:val="en-US" w:eastAsia="fr-FR"/>
              </w:rPr>
              <w:t>to</w:t>
            </w:r>
            <w:r w:rsidRPr="008A7908">
              <w:rPr>
                <w:b/>
                <w:color w:val="000000"/>
                <w:lang w:val="en-US" w:eastAsia="fr-FR"/>
              </w:rPr>
              <w:t xml:space="preserve"> GW</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927B7">
            <w:pPr>
              <w:pStyle w:val="Tabletext"/>
              <w:jc w:val="center"/>
              <w:rPr>
                <w:lang w:val="en-US"/>
              </w:rPr>
            </w:pPr>
          </w:p>
        </w:tc>
      </w:tr>
      <w:tr w:rsidR="00BB1D4E" w:rsidRPr="008A7908" w:rsidTr="003927B7">
        <w:trPr>
          <w:jc w:val="center"/>
        </w:trPr>
        <w:tc>
          <w:tcPr>
            <w:tcW w:w="9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8A7908" w:rsidRDefault="00BB1D4E" w:rsidP="003331F5">
            <w:pPr>
              <w:pStyle w:val="Tabletext"/>
              <w:keepNext/>
              <w:keepLines/>
              <w:jc w:val="left"/>
              <w:rPr>
                <w:lang w:val="en-US"/>
              </w:rPr>
            </w:pPr>
            <w:r w:rsidRPr="008A7908">
              <w:rPr>
                <w:lang w:val="en-US"/>
              </w:rPr>
              <w:t>Capacity (Gbit/s)</w:t>
            </w:r>
          </w:p>
        </w:tc>
        <w:tc>
          <w:tcPr>
            <w:tcW w:w="4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8A7908" w:rsidRDefault="00BB1D4E" w:rsidP="003331F5">
            <w:pPr>
              <w:pStyle w:val="Tabletext"/>
              <w:keepNext/>
              <w:keepLines/>
              <w:jc w:val="left"/>
              <w:rPr>
                <w:lang w:val="en-US"/>
              </w:rPr>
            </w:pP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30</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30</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3.75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3.75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a</w:t>
            </w:r>
          </w:p>
        </w:tc>
      </w:tr>
      <w:tr w:rsidR="00BB1D4E" w:rsidRPr="008A7908"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keepNext/>
              <w:keepLines/>
              <w:jc w:val="left"/>
              <w:rPr>
                <w:lang w:val="en-US"/>
              </w:rPr>
            </w:pPr>
            <w:r w:rsidRPr="00BB1D4E">
              <w:rPr>
                <w:lang w:val="en-US"/>
              </w:rPr>
              <w:t>Spectral efficiency (bit/s/Hz)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5.5</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5.5</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8A7908" w:rsidRDefault="00BB1D4E" w:rsidP="003927B7">
            <w:pPr>
              <w:pStyle w:val="Tabletext"/>
              <w:keepNext/>
              <w:keepLines/>
              <w:jc w:val="center"/>
              <w:rPr>
                <w:lang w:val="en-US"/>
              </w:rPr>
            </w:pPr>
            <w:r w:rsidRPr="008A7908">
              <w:rPr>
                <w:lang w:val="en-US"/>
              </w:rPr>
              <w:t>b</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keepNext/>
              <w:keepLines/>
              <w:jc w:val="left"/>
            </w:pPr>
            <w:r w:rsidRPr="008A7908">
              <w:rPr>
                <w:lang w:val="en-US"/>
              </w:rPr>
              <w:t>Overall required bandwidth (MH</w:t>
            </w:r>
            <w:r w:rsidRPr="004E6817">
              <w:t>z</w:t>
            </w:r>
            <w:r>
              <w:t>)</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8A7908" w:rsidP="003927B7">
            <w:pPr>
              <w:pStyle w:val="Tabletext"/>
              <w:keepNext/>
              <w:keepLines/>
              <w:jc w:val="center"/>
            </w:pPr>
            <w:r>
              <w:t xml:space="preserve">5 </w:t>
            </w:r>
            <w:r w:rsidR="00BB1D4E" w:rsidRPr="004E6817">
              <w:t>454</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8A7908" w:rsidP="003927B7">
            <w:pPr>
              <w:pStyle w:val="Tabletext"/>
              <w:jc w:val="center"/>
            </w:pPr>
            <w:r>
              <w:t xml:space="preserve">7 </w:t>
            </w:r>
            <w:r w:rsidR="00BB1D4E" w:rsidRPr="004E6817">
              <w:t>500</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937.5</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681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color w:val="000000"/>
                    <w:lang w:eastAsia="fr-FR"/>
                  </w:rPr>
                  <m:t>c=</m:t>
                </m:r>
                <m:f>
                  <m:fPr>
                    <m:ctrlPr>
                      <w:rPr>
                        <w:rFonts w:ascii="Cambria Math" w:hAnsi="Cambria Math"/>
                        <w:color w:val="000000"/>
                      </w:rPr>
                    </m:ctrlPr>
                  </m:fPr>
                  <m:num>
                    <m:r>
                      <m:rPr>
                        <m:sty m:val="p"/>
                      </m:rPr>
                      <w:rPr>
                        <w:rFonts w:ascii="Cambria Math" w:hAnsi="Cambria Math"/>
                        <w:color w:val="000000"/>
                        <w:lang w:eastAsia="fr-FR"/>
                      </w:rPr>
                      <m:t>a×1e3</m:t>
                    </m:r>
                  </m:num>
                  <m:den>
                    <m:r>
                      <m:rPr>
                        <m:sty m:val="p"/>
                      </m:rPr>
                      <w:rPr>
                        <w:rFonts w:ascii="Cambria Math" w:hAnsi="Cambria Math"/>
                        <w:color w:val="000000"/>
                        <w:lang w:eastAsia="fr-FR"/>
                      </w:rPr>
                      <m:t>b</m:t>
                    </m:r>
                  </m:den>
                </m:f>
              </m:oMath>
            </m:oMathPara>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Number of beams</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4</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4</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d</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jc w:val="left"/>
              <w:rPr>
                <w:lang w:val="en-US"/>
              </w:rPr>
            </w:pPr>
            <w:r w:rsidRPr="00BB1D4E">
              <w:rPr>
                <w:lang w:val="en-US"/>
              </w:rPr>
              <w:t>LHCP and RHCP polarisation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2</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2</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2</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e</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4E6817" w:rsidRDefault="00BB1D4E" w:rsidP="003331F5">
            <w:pPr>
              <w:pStyle w:val="Tabletext"/>
              <w:jc w:val="left"/>
            </w:pPr>
            <w:r w:rsidRPr="004E6817">
              <w:t>Reuse factor</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pPr>
            <w:r w:rsidRPr="004E6817">
              <w:t>f</w:t>
            </w:r>
          </w:p>
        </w:tc>
      </w:tr>
      <w:tr w:rsidR="00BB1D4E" w:rsidRPr="004E6817" w:rsidTr="003927B7">
        <w:trPr>
          <w:jc w:val="center"/>
        </w:trPr>
        <w:tc>
          <w:tcPr>
            <w:tcW w:w="1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B1D4E" w:rsidRPr="00BB1D4E" w:rsidRDefault="00BB1D4E" w:rsidP="003331F5">
            <w:pPr>
              <w:pStyle w:val="Tabletext"/>
              <w:keepNext/>
              <w:keepLines/>
              <w:jc w:val="left"/>
              <w:rPr>
                <w:b/>
                <w:lang w:val="en-US"/>
              </w:rPr>
            </w:pPr>
            <w:r w:rsidRPr="00BB1D4E">
              <w:rPr>
                <w:lang w:val="en-US"/>
              </w:rPr>
              <w:t>Spectrum needs taking into account the polarisation and reuse factors (MHz)</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8A7908">
            <w:pPr>
              <w:pStyle w:val="Tabletext"/>
              <w:keepNext/>
              <w:keepLines/>
              <w:jc w:val="center"/>
              <w:rPr>
                <w:bCs/>
              </w:rPr>
            </w:pPr>
            <w:r w:rsidRPr="004E6817">
              <w:rPr>
                <w:bCs/>
              </w:rPr>
              <w:t>2</w:t>
            </w:r>
            <w:r w:rsidR="008A7908">
              <w:rPr>
                <w:bCs/>
              </w:rPr>
              <w:t xml:space="preserve"> </w:t>
            </w:r>
            <w:r w:rsidRPr="004E6817">
              <w:rPr>
                <w:bCs/>
              </w:rPr>
              <w:t>727</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bCs/>
              </w:rPr>
            </w:pPr>
            <w:r w:rsidRPr="004E6817">
              <w:rPr>
                <w:bCs/>
              </w:rPr>
              <w:t>938</w:t>
            </w: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bCs/>
              </w:rPr>
            </w:pPr>
            <w:r w:rsidRPr="004E6817">
              <w:rPr>
                <w:bCs/>
              </w:rPr>
              <w:t>117</w:t>
            </w:r>
          </w:p>
        </w:tc>
        <w:tc>
          <w:tcPr>
            <w:tcW w:w="7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keepNext/>
              <w:keepLines/>
              <w:jc w:val="center"/>
              <w:rPr>
                <w:bCs/>
              </w:rPr>
            </w:pPr>
            <w:r w:rsidRPr="004E6817">
              <w:rPr>
                <w:bCs/>
              </w:rPr>
              <w:t>341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B1D4E" w:rsidRPr="004E6817" w:rsidRDefault="00BB1D4E" w:rsidP="003927B7">
            <w:pPr>
              <w:pStyle w:val="Tabletext"/>
              <w:jc w:val="center"/>
            </w:pPr>
            <m:oMathPara>
              <m:oMath>
                <m:r>
                  <m:rPr>
                    <m:sty m:val="p"/>
                  </m:rPr>
                  <w:rPr>
                    <w:rFonts w:ascii="Cambria Math" w:hAnsi="Cambria Math"/>
                  </w:rPr>
                  <m:t>g=</m:t>
                </m:r>
                <m:f>
                  <m:fPr>
                    <m:ctrlPr>
                      <w:rPr>
                        <w:rFonts w:ascii="Cambria Math" w:hAnsi="Cambria Math"/>
                      </w:rPr>
                    </m:ctrlPr>
                  </m:fPr>
                  <m:num>
                    <m:r>
                      <m:rPr>
                        <m:sty m:val="p"/>
                      </m:rPr>
                      <w:rPr>
                        <w:rFonts w:ascii="Cambria Math" w:hAnsi="Cambria Math"/>
                      </w:rPr>
                      <m:t>c×f</m:t>
                    </m:r>
                  </m:num>
                  <m:den>
                    <m:r>
                      <m:rPr>
                        <m:sty m:val="p"/>
                      </m:rPr>
                      <w:rPr>
                        <w:rFonts w:ascii="Cambria Math" w:hAnsi="Cambria Math"/>
                      </w:rPr>
                      <m:t>d×e</m:t>
                    </m:r>
                  </m:den>
                </m:f>
              </m:oMath>
            </m:oMathPara>
          </w:p>
        </w:tc>
      </w:tr>
    </w:tbl>
    <w:p w:rsidR="00BB1D4E" w:rsidRPr="004E6817" w:rsidRDefault="00BB1D4E" w:rsidP="00BB1D4E">
      <w:pPr>
        <w:pStyle w:val="Tablefin"/>
      </w:pPr>
    </w:p>
    <w:p w:rsidR="00BB1D4E" w:rsidRPr="00BB1D4E" w:rsidRDefault="00BB1D4E" w:rsidP="00BB1D4E">
      <w:pPr>
        <w:pStyle w:val="Heading1"/>
        <w:rPr>
          <w:lang w:val="en-US"/>
        </w:rPr>
      </w:pPr>
      <w:r w:rsidRPr="00BB1D4E">
        <w:rPr>
          <w:lang w:val="en-US"/>
        </w:rPr>
        <w:t>9</w:t>
      </w:r>
      <w:r w:rsidRPr="00BB1D4E">
        <w:rPr>
          <w:lang w:val="en-US"/>
        </w:rPr>
        <w:tab/>
        <w:t>Existing HAPS identifications in FS bands</w:t>
      </w:r>
    </w:p>
    <w:p w:rsidR="00BB1D4E" w:rsidRPr="00BB1D4E" w:rsidRDefault="00BB1D4E" w:rsidP="00BB1D4E">
      <w:pPr>
        <w:rPr>
          <w:lang w:val="en-US"/>
        </w:rPr>
      </w:pPr>
      <w:r w:rsidRPr="00BB1D4E">
        <w:rPr>
          <w:lang w:val="en-US"/>
        </w:rPr>
        <w:t>The existing HAPS designations have not been fully utilized in the past partly due to particular physical constraints and technical and regulatory conditions.</w:t>
      </w:r>
    </w:p>
    <w:p w:rsidR="00BB1D4E" w:rsidRPr="00BB1D4E" w:rsidRDefault="00BB1D4E" w:rsidP="00534E20">
      <w:pPr>
        <w:rPr>
          <w:b/>
          <w:lang w:val="en-US"/>
        </w:rPr>
      </w:pPr>
      <w:r w:rsidRPr="00BB1D4E">
        <w:rPr>
          <w:lang w:val="en-US"/>
        </w:rPr>
        <w:t>Further modifications to the footnotes of existing identifications could be considered to revise technical conditions to facilitate the use of the existing identifications for services at worldwide level. As noted in Resolution </w:t>
      </w:r>
      <w:r w:rsidRPr="00BB1D4E">
        <w:rPr>
          <w:b/>
          <w:bCs/>
          <w:lang w:val="en-US"/>
        </w:rPr>
        <w:t>160 (WRC-15)</w:t>
      </w:r>
      <w:r w:rsidRPr="00BB1D4E">
        <w:rPr>
          <w:lang w:val="en-US"/>
        </w:rPr>
        <w:t xml:space="preserve">, common worldwide identifications for HAPS are desirable in order to improve and harmonize their utilization of the radiofrequency spectrum. The </w:t>
      </w:r>
      <w:r w:rsidRPr="00BB1D4E">
        <w:rPr>
          <w:lang w:val="en-US"/>
        </w:rPr>
        <w:lastRenderedPageBreak/>
        <w:t>studies that have been carried out on spectrum needs to satisfy HAPS capacity demand demonstrate that spectrum needs for broadband HAPS applications may not be fully accommodated within current HAPS identifications, even if modified to make them global and co-primary, with technically favourable conditions. However, existing HAPS identifications may be enough spectrum for some number of broadband HAPS system use cases. Whereas the majority of broadband HAPS systems could not be satisfied using the existing spectrum identifications. Please see the Table below for the existing identifications, and Annex 3 for more detailed information on these identifications.</w:t>
      </w:r>
    </w:p>
    <w:p w:rsidR="00BB1D4E" w:rsidRPr="00BB1D4E" w:rsidRDefault="00F24420" w:rsidP="00BB1D4E">
      <w:pPr>
        <w:pStyle w:val="TableNo"/>
        <w:rPr>
          <w:lang w:val="en-US"/>
        </w:rPr>
      </w:pPr>
      <w:r w:rsidRPr="00BB1D4E">
        <w:rPr>
          <w:lang w:val="en-US"/>
        </w:rPr>
        <w:t xml:space="preserve">TABLE </w:t>
      </w:r>
      <w:r w:rsidR="00BB1D4E" w:rsidRPr="00BB1D4E">
        <w:rPr>
          <w:lang w:val="en-US"/>
        </w:rPr>
        <w:t>3</w:t>
      </w:r>
    </w:p>
    <w:p w:rsidR="00BB1D4E" w:rsidRPr="00BB1D4E" w:rsidRDefault="00BB1D4E" w:rsidP="00BB1D4E">
      <w:pPr>
        <w:pStyle w:val="Tabletitle"/>
        <w:rPr>
          <w:lang w:val="en-US"/>
        </w:rPr>
      </w:pPr>
      <w:r w:rsidRPr="00BB1D4E">
        <w:rPr>
          <w:lang w:val="en-US"/>
        </w:rPr>
        <w:t>Existing HAPS identifications in FS bands</w:t>
      </w:r>
    </w:p>
    <w:tbl>
      <w:tblPr>
        <w:tblW w:w="4959" w:type="pct"/>
        <w:jc w:val="center"/>
        <w:tblLook w:val="04A0" w:firstRow="1" w:lastRow="0" w:firstColumn="1" w:lastColumn="0" w:noHBand="0" w:noVBand="1"/>
      </w:tblPr>
      <w:tblGrid>
        <w:gridCol w:w="2954"/>
        <w:gridCol w:w="2081"/>
        <w:gridCol w:w="1096"/>
        <w:gridCol w:w="1275"/>
        <w:gridCol w:w="2144"/>
      </w:tblGrid>
      <w:tr w:rsidR="00BB1D4E" w:rsidRPr="004E6817" w:rsidTr="003927B7">
        <w:trPr>
          <w:trHeight w:val="134"/>
          <w:jc w:val="center"/>
        </w:trPr>
        <w:tc>
          <w:tcPr>
            <w:tcW w:w="1552"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head"/>
            </w:pPr>
            <w:r w:rsidRPr="004E6817">
              <w:t>Frequency band</w:t>
            </w:r>
          </w:p>
        </w:tc>
        <w:tc>
          <w:tcPr>
            <w:tcW w:w="1095"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head"/>
            </w:pPr>
            <w:r w:rsidRPr="004E6817">
              <w:t>Use</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head"/>
            </w:pPr>
            <w:r w:rsidRPr="004E6817">
              <w:t>Direction</w:t>
            </w:r>
          </w:p>
        </w:tc>
        <w:tc>
          <w:tcPr>
            <w:tcW w:w="67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head"/>
            </w:pPr>
            <w:r w:rsidRPr="004E6817">
              <w:t>Bandwidth</w:t>
            </w:r>
          </w:p>
        </w:tc>
        <w:tc>
          <w:tcPr>
            <w:tcW w:w="1127"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head"/>
            </w:pPr>
            <w:r w:rsidRPr="004E6817">
              <w:t>Identification</w:t>
            </w:r>
          </w:p>
        </w:tc>
      </w:tr>
      <w:tr w:rsidR="00BB1D4E" w:rsidRPr="004E6817" w:rsidTr="003927B7">
        <w:trPr>
          <w:trHeight w:val="128"/>
          <w:jc w:val="center"/>
        </w:trPr>
        <w:tc>
          <w:tcPr>
            <w:tcW w:w="1552"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6 440-6 520 MHz</w:t>
            </w:r>
          </w:p>
        </w:tc>
        <w:tc>
          <w:tcPr>
            <w:tcW w:w="1095"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GW</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80 MHz</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pPr>
            <w:r w:rsidRPr="004E6817">
              <w:t>5 Admins (R1, R3)</w:t>
            </w:r>
          </w:p>
        </w:tc>
      </w:tr>
      <w:tr w:rsidR="00BB1D4E" w:rsidRPr="004E6817" w:rsidTr="003927B7">
        <w:trPr>
          <w:trHeight w:val="143"/>
          <w:jc w:val="center"/>
        </w:trPr>
        <w:tc>
          <w:tcPr>
            <w:tcW w:w="1552"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6 560-6 640 MHz</w:t>
            </w:r>
          </w:p>
        </w:tc>
        <w:tc>
          <w:tcPr>
            <w:tcW w:w="1095"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GW</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80 MHz</w:t>
            </w:r>
          </w:p>
        </w:tc>
        <w:tc>
          <w:tcPr>
            <w:tcW w:w="1127"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pPr>
            <w:r w:rsidRPr="004E6817">
              <w:t>5 Admins (R1, R3)</w:t>
            </w:r>
          </w:p>
        </w:tc>
      </w:tr>
      <w:tr w:rsidR="00BB1D4E" w:rsidRPr="004E6817" w:rsidTr="003927B7">
        <w:trPr>
          <w:trHeight w:val="105"/>
          <w:jc w:val="center"/>
        </w:trPr>
        <w:tc>
          <w:tcPr>
            <w:tcW w:w="1552"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27.9-28.2 GHz</w:t>
            </w:r>
          </w:p>
        </w:tc>
        <w:tc>
          <w:tcPr>
            <w:tcW w:w="1095"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GW, CPE</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300 MHz</w:t>
            </w:r>
          </w:p>
        </w:tc>
        <w:tc>
          <w:tcPr>
            <w:tcW w:w="1127"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pPr>
            <w:r w:rsidRPr="004E6817">
              <w:t>23 Admins (R1, R3)</w:t>
            </w:r>
          </w:p>
        </w:tc>
      </w:tr>
      <w:tr w:rsidR="00BB1D4E" w:rsidRPr="004E6817" w:rsidTr="003927B7">
        <w:trPr>
          <w:trHeight w:val="105"/>
          <w:jc w:val="center"/>
        </w:trPr>
        <w:tc>
          <w:tcPr>
            <w:tcW w:w="1552"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31-31.3 GHz</w:t>
            </w:r>
          </w:p>
        </w:tc>
        <w:tc>
          <w:tcPr>
            <w:tcW w:w="1095"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GW, CPE</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jc w:val="center"/>
            </w:pPr>
            <w:r w:rsidRPr="004E6817">
              <w:t>300 MHz</w:t>
            </w:r>
          </w:p>
        </w:tc>
        <w:tc>
          <w:tcPr>
            <w:tcW w:w="1127" w:type="pct"/>
            <w:tcBorders>
              <w:top w:val="single" w:sz="4" w:space="0" w:color="auto"/>
              <w:left w:val="single" w:sz="4" w:space="0" w:color="auto"/>
              <w:bottom w:val="single" w:sz="4" w:space="0" w:color="auto"/>
              <w:right w:val="single" w:sz="4" w:space="0" w:color="auto"/>
            </w:tcBorders>
            <w:shd w:val="clear" w:color="auto" w:fill="auto"/>
            <w:hideMark/>
          </w:tcPr>
          <w:p w:rsidR="00BB1D4E" w:rsidRPr="004E6817" w:rsidRDefault="00BB1D4E" w:rsidP="003927B7">
            <w:pPr>
              <w:pStyle w:val="Tabletext"/>
            </w:pPr>
            <w:r w:rsidRPr="004E6817">
              <w:t>23 Admins (R1, R3)</w:t>
            </w:r>
          </w:p>
        </w:tc>
      </w:tr>
      <w:tr w:rsidR="00BB1D4E" w:rsidRPr="004E6817" w:rsidTr="003927B7">
        <w:trPr>
          <w:trHeight w:val="105"/>
          <w:jc w:val="center"/>
        </w:trPr>
        <w:tc>
          <w:tcPr>
            <w:tcW w:w="1552"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47.2-47.5 GHz</w:t>
            </w:r>
          </w:p>
        </w:tc>
        <w:tc>
          <w:tcPr>
            <w:tcW w:w="1095"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GW, CPE</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300 MHz</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pPr>
            <w:r w:rsidRPr="004E6817">
              <w:t>Worldwide</w:t>
            </w:r>
          </w:p>
        </w:tc>
      </w:tr>
      <w:tr w:rsidR="00BB1D4E" w:rsidRPr="004E6817" w:rsidTr="003927B7">
        <w:trPr>
          <w:trHeight w:val="105"/>
          <w:jc w:val="center"/>
        </w:trPr>
        <w:tc>
          <w:tcPr>
            <w:tcW w:w="1552"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47.9-48.2 GHz</w:t>
            </w:r>
          </w:p>
        </w:tc>
        <w:tc>
          <w:tcPr>
            <w:tcW w:w="1095"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GW, CPE</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rPr>
                <w:rFonts w:ascii="Calibri" w:hAnsi="Calibri"/>
              </w:rPr>
            </w:pPr>
            <w:r w:rsidRPr="004E6817">
              <w:rPr>
                <w:rFonts w:ascii="Calibri" w:hAnsi="Calibri"/>
              </w:rPr>
              <w:t>↑↓</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jc w:val="center"/>
            </w:pPr>
            <w:r w:rsidRPr="004E6817">
              <w:t>300 MHz</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BB1D4E" w:rsidRPr="004E6817" w:rsidRDefault="00BB1D4E" w:rsidP="003927B7">
            <w:pPr>
              <w:pStyle w:val="Tabletext"/>
            </w:pPr>
            <w:r w:rsidRPr="004E6817">
              <w:t>Worldwide</w:t>
            </w:r>
          </w:p>
        </w:tc>
      </w:tr>
    </w:tbl>
    <w:p w:rsidR="00BB1D4E" w:rsidRPr="004E6817" w:rsidRDefault="00BB1D4E" w:rsidP="00BB1D4E">
      <w:pPr>
        <w:pStyle w:val="Tablefin"/>
      </w:pPr>
    </w:p>
    <w:p w:rsidR="00BB1D4E" w:rsidRPr="004E6817" w:rsidRDefault="00BB1D4E" w:rsidP="00BB1D4E">
      <w:pPr>
        <w:pStyle w:val="Heading1"/>
      </w:pPr>
      <w:r w:rsidRPr="004E6817">
        <w:t>10</w:t>
      </w:r>
      <w:r w:rsidRPr="004E6817">
        <w:tab/>
        <w:t>Summary</w:t>
      </w:r>
    </w:p>
    <w:p w:rsidR="00BB1D4E" w:rsidRPr="00BB1D4E" w:rsidRDefault="00BB1D4E" w:rsidP="00BB1D4E">
      <w:pPr>
        <w:rPr>
          <w:lang w:val="en-US"/>
        </w:rPr>
      </w:pPr>
      <w:r w:rsidRPr="00BB1D4E">
        <w:rPr>
          <w:lang w:val="en-US"/>
        </w:rPr>
        <w:t>Given the existing identifications and the HAPS spectrum needs, additional spectrum candidate bands were studied for the delivery of broadband via HAPS links in the fixed service.</w:t>
      </w:r>
    </w:p>
    <w:p w:rsidR="00BB1D4E" w:rsidRPr="00BB1D4E" w:rsidRDefault="00BB1D4E" w:rsidP="00BB1D4E">
      <w:pPr>
        <w:rPr>
          <w:lang w:val="en-US"/>
        </w:rPr>
      </w:pPr>
      <w:r w:rsidRPr="00BB1D4E">
        <w:rPr>
          <w:lang w:val="en-US"/>
        </w:rPr>
        <w:t xml:space="preserve">The spectrum needs for HAPS operating in the fixed service to provide broadband connectivity presented in this document are taken into account in the studies called for in the resolves to </w:t>
      </w:r>
      <w:r w:rsidRPr="00BB1D4E">
        <w:rPr>
          <w:i/>
          <w:iCs/>
          <w:lang w:val="en-US"/>
        </w:rPr>
        <w:t>invite ITU-R</w:t>
      </w:r>
      <w:r w:rsidRPr="00BB1D4E">
        <w:rPr>
          <w:lang w:val="en-US"/>
        </w:rPr>
        <w:t xml:space="preserve"> </w:t>
      </w:r>
      <w:r w:rsidRPr="00824C36">
        <w:rPr>
          <w:iCs/>
          <w:lang w:val="en-US"/>
        </w:rPr>
        <w:t>2, 3 and 4</w:t>
      </w:r>
      <w:r w:rsidRPr="00BB1D4E">
        <w:rPr>
          <w:lang w:val="en-US"/>
        </w:rPr>
        <w:t xml:space="preserve"> of Resolution </w:t>
      </w:r>
      <w:r w:rsidRPr="00BB1D4E">
        <w:rPr>
          <w:b/>
          <w:lang w:val="en-US"/>
        </w:rPr>
        <w:t>160 (WRC-15)</w:t>
      </w:r>
      <w:r w:rsidRPr="00BB1D4E">
        <w:rPr>
          <w:lang w:val="en-US"/>
        </w:rPr>
        <w:t>.</w:t>
      </w:r>
    </w:p>
    <w:p w:rsidR="00BB1D4E" w:rsidRPr="00BB1D4E" w:rsidRDefault="00BB1D4E" w:rsidP="00BB1D4E">
      <w:pPr>
        <w:tabs>
          <w:tab w:val="left" w:pos="3544"/>
        </w:tabs>
        <w:rPr>
          <w:lang w:val="en-US"/>
        </w:rPr>
      </w:pPr>
      <w:r w:rsidRPr="00BB1D4E">
        <w:rPr>
          <w:lang w:val="en-US"/>
        </w:rPr>
        <w:t xml:space="preserve">The spectrum needs are summarized in Table 4 below based on the system characteristics and descriptions for a variety of HAPS systems for broadband applications used in sharing and compatibility studies in support of WRC-19 agenda item 1.14. </w:t>
      </w:r>
    </w:p>
    <w:p w:rsidR="00BB1D4E" w:rsidRPr="00BB1D4E" w:rsidRDefault="00BB1D4E" w:rsidP="00BB1D4E">
      <w:pPr>
        <w:rPr>
          <w:lang w:val="en-US"/>
        </w:rPr>
      </w:pPr>
      <w:r w:rsidRPr="00BB1D4E">
        <w:rPr>
          <w:lang w:val="en-US"/>
        </w:rPr>
        <w:t>Additional details of the analysis conducted on the spectrum needs for HAPS are available in the annexes.</w:t>
      </w:r>
    </w:p>
    <w:p w:rsidR="00BB1D4E" w:rsidRPr="004E6817" w:rsidRDefault="00F24420" w:rsidP="00BB1D4E">
      <w:pPr>
        <w:pStyle w:val="TableNo"/>
      </w:pPr>
      <w:r w:rsidRPr="004E6817">
        <w:t xml:space="preserve">TABLE </w:t>
      </w:r>
      <w:r w:rsidR="00BB1D4E" w:rsidRPr="004E6817">
        <w:t>4</w:t>
      </w:r>
    </w:p>
    <w:p w:rsidR="00BB1D4E" w:rsidRPr="004E6817" w:rsidRDefault="00BB1D4E" w:rsidP="00BB1D4E">
      <w:pPr>
        <w:pStyle w:val="Tabletitle"/>
      </w:pPr>
      <w:r w:rsidRPr="004E6817">
        <w:t>Summary of spectrum needs</w:t>
      </w:r>
    </w:p>
    <w:tbl>
      <w:tblPr>
        <w:tblW w:w="9630" w:type="dxa"/>
        <w:jc w:val="center"/>
        <w:tblLook w:val="04A0" w:firstRow="1" w:lastRow="0" w:firstColumn="1" w:lastColumn="0" w:noHBand="0" w:noVBand="1"/>
      </w:tblPr>
      <w:tblGrid>
        <w:gridCol w:w="2826"/>
        <w:gridCol w:w="1701"/>
        <w:gridCol w:w="1705"/>
        <w:gridCol w:w="1701"/>
        <w:gridCol w:w="1697"/>
      </w:tblGrid>
      <w:tr w:rsidR="00BB1D4E" w:rsidRPr="004E6817" w:rsidTr="0015062D">
        <w:trPr>
          <w:trHeight w:val="300"/>
          <w:jc w:val="center"/>
        </w:trPr>
        <w:tc>
          <w:tcPr>
            <w:tcW w:w="1468" w:type="pct"/>
            <w:vMerge w:val="restart"/>
            <w:tcBorders>
              <w:top w:val="single" w:sz="4" w:space="0" w:color="auto"/>
              <w:left w:val="single" w:sz="4" w:space="0" w:color="auto"/>
              <w:right w:val="single" w:sz="4" w:space="0" w:color="auto"/>
            </w:tcBorders>
            <w:noWrap/>
            <w:vAlign w:val="bottom"/>
          </w:tcPr>
          <w:p w:rsidR="00BB1D4E" w:rsidRPr="004E6817" w:rsidRDefault="00BB1D4E" w:rsidP="003927B7">
            <w:pPr>
              <w:pStyle w:val="Tablehead"/>
              <w:jc w:val="left"/>
              <w:rPr>
                <w:rFonts w:ascii="CG Times" w:hAnsi="CG Times"/>
                <w:lang w:eastAsia="zh-CN"/>
              </w:rPr>
            </w:pPr>
            <w:r w:rsidRPr="004E6817">
              <w:rPr>
                <w:lang w:eastAsia="fr-FR"/>
              </w:rPr>
              <w:t>Capacity for</w:t>
            </w:r>
          </w:p>
        </w:tc>
        <w:tc>
          <w:tcPr>
            <w:tcW w:w="1768" w:type="pct"/>
            <w:gridSpan w:val="2"/>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head"/>
              <w:rPr>
                <w:rFonts w:asciiTheme="majorBidi" w:hAnsiTheme="majorBidi" w:cstheme="majorBidi"/>
                <w:lang w:eastAsia="fr-FR"/>
              </w:rPr>
            </w:pPr>
            <w:r w:rsidRPr="004E6817">
              <w:rPr>
                <w:rFonts w:asciiTheme="majorBidi" w:hAnsiTheme="majorBidi" w:cstheme="majorBidi"/>
                <w:lang w:eastAsia="fr-FR"/>
              </w:rPr>
              <w:t>Forward</w:t>
            </w:r>
          </w:p>
        </w:tc>
        <w:tc>
          <w:tcPr>
            <w:tcW w:w="1764" w:type="pct"/>
            <w:gridSpan w:val="2"/>
            <w:tcBorders>
              <w:top w:val="single" w:sz="4" w:space="0" w:color="auto"/>
              <w:left w:val="nil"/>
              <w:bottom w:val="single" w:sz="4" w:space="0" w:color="auto"/>
              <w:right w:val="single" w:sz="4" w:space="0" w:color="auto"/>
            </w:tcBorders>
            <w:noWrap/>
            <w:vAlign w:val="center"/>
            <w:hideMark/>
          </w:tcPr>
          <w:p w:rsidR="00BB1D4E" w:rsidRPr="004E6817" w:rsidRDefault="00BB1D4E" w:rsidP="003927B7">
            <w:pPr>
              <w:pStyle w:val="Tablehead"/>
              <w:rPr>
                <w:rFonts w:asciiTheme="majorBidi" w:hAnsiTheme="majorBidi" w:cstheme="majorBidi"/>
                <w:lang w:eastAsia="fr-FR"/>
              </w:rPr>
            </w:pPr>
            <w:r w:rsidRPr="004E6817">
              <w:rPr>
                <w:rFonts w:asciiTheme="majorBidi" w:hAnsiTheme="majorBidi" w:cstheme="majorBidi"/>
                <w:lang w:eastAsia="fr-FR"/>
              </w:rPr>
              <w:t>Return</w:t>
            </w:r>
          </w:p>
        </w:tc>
      </w:tr>
      <w:tr w:rsidR="0015062D" w:rsidRPr="00473271" w:rsidTr="0015062D">
        <w:trPr>
          <w:trHeight w:val="510"/>
          <w:jc w:val="center"/>
        </w:trPr>
        <w:tc>
          <w:tcPr>
            <w:tcW w:w="1468" w:type="pct"/>
            <w:vMerge/>
            <w:tcBorders>
              <w:left w:val="single" w:sz="4" w:space="0" w:color="auto"/>
              <w:bottom w:val="single" w:sz="4" w:space="0" w:color="auto"/>
              <w:right w:val="single" w:sz="4" w:space="0" w:color="auto"/>
            </w:tcBorders>
            <w:noWrap/>
            <w:vAlign w:val="bottom"/>
          </w:tcPr>
          <w:p w:rsidR="00BB1D4E" w:rsidRPr="004E6817" w:rsidRDefault="00BB1D4E" w:rsidP="003927B7">
            <w:pPr>
              <w:pStyle w:val="Tablehead"/>
              <w:rPr>
                <w:rFonts w:ascii="CG Times" w:hAnsi="CG Times"/>
                <w:lang w:eastAsia="zh-CN"/>
              </w:rPr>
            </w:pPr>
          </w:p>
        </w:tc>
        <w:tc>
          <w:tcPr>
            <w:tcW w:w="883" w:type="pct"/>
            <w:tcBorders>
              <w:top w:val="nil"/>
              <w:left w:val="nil"/>
              <w:bottom w:val="single" w:sz="4" w:space="0" w:color="auto"/>
              <w:right w:val="single" w:sz="4" w:space="0" w:color="auto"/>
            </w:tcBorders>
            <w:vAlign w:val="center"/>
            <w:hideMark/>
          </w:tcPr>
          <w:p w:rsidR="00BB1D4E" w:rsidRPr="00BB1D4E" w:rsidRDefault="0078540C" w:rsidP="003927B7">
            <w:pPr>
              <w:pStyle w:val="Tablehead"/>
              <w:rPr>
                <w:lang w:val="en-US" w:eastAsia="fr-FR"/>
              </w:rPr>
            </w:pPr>
            <w:r>
              <w:rPr>
                <w:lang w:val="en-US" w:eastAsia="fr-FR"/>
              </w:rPr>
              <w:t>GW to HAPS</w:t>
            </w:r>
            <w:r>
              <w:rPr>
                <w:lang w:val="en-US" w:eastAsia="fr-FR"/>
              </w:rPr>
              <w:br/>
              <w:t>Ground to </w:t>
            </w:r>
            <w:r w:rsidR="00BB1D4E" w:rsidRPr="00BB1D4E">
              <w:rPr>
                <w:lang w:val="en-US" w:eastAsia="fr-FR"/>
              </w:rPr>
              <w:t>HAPS</w:t>
            </w:r>
          </w:p>
        </w:tc>
        <w:tc>
          <w:tcPr>
            <w:tcW w:w="885" w:type="pct"/>
            <w:tcBorders>
              <w:top w:val="nil"/>
              <w:left w:val="nil"/>
              <w:bottom w:val="single" w:sz="4" w:space="0" w:color="auto"/>
              <w:right w:val="single" w:sz="4" w:space="0" w:color="auto"/>
            </w:tcBorders>
            <w:vAlign w:val="center"/>
            <w:hideMark/>
          </w:tcPr>
          <w:p w:rsidR="00BB1D4E" w:rsidRPr="00BB1D4E" w:rsidRDefault="0078540C" w:rsidP="003927B7">
            <w:pPr>
              <w:pStyle w:val="Tablehead"/>
              <w:rPr>
                <w:lang w:val="en-US" w:eastAsia="fr-FR"/>
              </w:rPr>
            </w:pPr>
            <w:r>
              <w:rPr>
                <w:lang w:val="en-US" w:eastAsia="fr-FR"/>
              </w:rPr>
              <w:t>HAPS to CPE</w:t>
            </w:r>
            <w:r>
              <w:rPr>
                <w:lang w:val="en-US" w:eastAsia="fr-FR"/>
              </w:rPr>
              <w:br/>
              <w:t>HAPS to </w:t>
            </w:r>
            <w:r w:rsidR="00BB1D4E" w:rsidRPr="00BB1D4E">
              <w:rPr>
                <w:lang w:val="en-US" w:eastAsia="fr-FR"/>
              </w:rPr>
              <w:t>ground</w:t>
            </w:r>
          </w:p>
        </w:tc>
        <w:tc>
          <w:tcPr>
            <w:tcW w:w="883" w:type="pct"/>
            <w:tcBorders>
              <w:top w:val="nil"/>
              <w:left w:val="nil"/>
              <w:bottom w:val="single" w:sz="4" w:space="0" w:color="auto"/>
              <w:right w:val="single" w:sz="4" w:space="0" w:color="auto"/>
            </w:tcBorders>
            <w:vAlign w:val="center"/>
            <w:hideMark/>
          </w:tcPr>
          <w:p w:rsidR="00BB1D4E" w:rsidRPr="00BB1D4E" w:rsidRDefault="0078540C" w:rsidP="003927B7">
            <w:pPr>
              <w:pStyle w:val="Tablehead"/>
              <w:rPr>
                <w:lang w:val="en-US" w:eastAsia="fr-FR"/>
              </w:rPr>
            </w:pPr>
            <w:r>
              <w:rPr>
                <w:lang w:val="en-US" w:eastAsia="fr-FR"/>
              </w:rPr>
              <w:t>CPE to HAPS</w:t>
            </w:r>
            <w:r>
              <w:rPr>
                <w:lang w:val="en-US" w:eastAsia="fr-FR"/>
              </w:rPr>
              <w:br/>
            </w:r>
            <w:r w:rsidR="00B24B6C">
              <w:rPr>
                <w:lang w:val="en-US" w:eastAsia="fr-FR"/>
              </w:rPr>
              <w:t xml:space="preserve">ground </w:t>
            </w:r>
            <w:r>
              <w:rPr>
                <w:lang w:val="en-US" w:eastAsia="fr-FR"/>
              </w:rPr>
              <w:t>to </w:t>
            </w:r>
            <w:r w:rsidR="00BB1D4E" w:rsidRPr="00BB1D4E">
              <w:rPr>
                <w:lang w:val="en-US" w:eastAsia="fr-FR"/>
              </w:rPr>
              <w:t>HAPS</w:t>
            </w:r>
          </w:p>
        </w:tc>
        <w:tc>
          <w:tcPr>
            <w:tcW w:w="881" w:type="pct"/>
            <w:tcBorders>
              <w:top w:val="nil"/>
              <w:left w:val="nil"/>
              <w:bottom w:val="single" w:sz="4" w:space="0" w:color="auto"/>
              <w:right w:val="single" w:sz="4" w:space="0" w:color="auto"/>
            </w:tcBorders>
            <w:vAlign w:val="center"/>
            <w:hideMark/>
          </w:tcPr>
          <w:p w:rsidR="00BB1D4E" w:rsidRPr="00BB1D4E" w:rsidRDefault="0078540C" w:rsidP="003927B7">
            <w:pPr>
              <w:pStyle w:val="Tablehead"/>
              <w:rPr>
                <w:lang w:val="en-US" w:eastAsia="fr-FR"/>
              </w:rPr>
            </w:pPr>
            <w:r>
              <w:rPr>
                <w:lang w:val="en-US" w:eastAsia="fr-FR"/>
              </w:rPr>
              <w:t>HAPS to GW</w:t>
            </w:r>
            <w:r>
              <w:rPr>
                <w:lang w:val="en-US" w:eastAsia="fr-FR"/>
              </w:rPr>
              <w:br/>
              <w:t>HAPS to </w:t>
            </w:r>
            <w:r w:rsidR="00BB1D4E" w:rsidRPr="00BB1D4E">
              <w:rPr>
                <w:lang w:val="en-US" w:eastAsia="fr-FR"/>
              </w:rPr>
              <w:t>ground</w:t>
            </w:r>
          </w:p>
        </w:tc>
      </w:tr>
      <w:tr w:rsidR="0015062D" w:rsidRPr="0015062D" w:rsidTr="0015062D">
        <w:trPr>
          <w:trHeight w:val="353"/>
          <w:jc w:val="center"/>
        </w:trPr>
        <w:tc>
          <w:tcPr>
            <w:tcW w:w="1468" w:type="pct"/>
            <w:tcBorders>
              <w:top w:val="nil"/>
              <w:left w:val="single" w:sz="4" w:space="0" w:color="auto"/>
              <w:bottom w:val="single" w:sz="4" w:space="0" w:color="auto"/>
              <w:right w:val="single" w:sz="4" w:space="0" w:color="auto"/>
            </w:tcBorders>
            <w:vAlign w:val="center"/>
            <w:hideMark/>
          </w:tcPr>
          <w:p w:rsidR="00BB1D4E" w:rsidRPr="0015062D" w:rsidRDefault="00BB1D4E" w:rsidP="00F24420">
            <w:pPr>
              <w:pStyle w:val="Tabletext"/>
              <w:jc w:val="left"/>
              <w:rPr>
                <w:lang w:val="en-US" w:eastAsia="fr-FR"/>
              </w:rPr>
            </w:pPr>
            <w:r w:rsidRPr="0015062D">
              <w:rPr>
                <w:lang w:val="en-US" w:eastAsia="fr-FR"/>
              </w:rPr>
              <w:t>specific applications</w:t>
            </w:r>
            <w:r w:rsidR="0015062D" w:rsidRPr="0015062D">
              <w:rPr>
                <w:lang w:val="en-US" w:eastAsia="fr-FR"/>
              </w:rPr>
              <w:br/>
            </w:r>
            <w:r w:rsidRPr="0015062D">
              <w:rPr>
                <w:lang w:val="en-US" w:eastAsia="fr-FR"/>
              </w:rPr>
              <w:t>(MHz)</w:t>
            </w:r>
          </w:p>
        </w:tc>
        <w:tc>
          <w:tcPr>
            <w:tcW w:w="883" w:type="pct"/>
            <w:tcBorders>
              <w:top w:val="nil"/>
              <w:left w:val="nil"/>
              <w:bottom w:val="single" w:sz="4" w:space="0" w:color="auto"/>
              <w:right w:val="single" w:sz="4" w:space="0" w:color="auto"/>
            </w:tcBorders>
            <w:noWrap/>
            <w:vAlign w:val="center"/>
            <w:hideMark/>
          </w:tcPr>
          <w:p w:rsidR="00BB1D4E" w:rsidRPr="0015062D" w:rsidRDefault="00BB1D4E" w:rsidP="003927B7">
            <w:pPr>
              <w:pStyle w:val="Tabletext"/>
              <w:jc w:val="center"/>
              <w:rPr>
                <w:lang w:val="en-US"/>
              </w:rPr>
            </w:pPr>
            <w:r w:rsidRPr="0015062D">
              <w:rPr>
                <w:lang w:val="en-US"/>
              </w:rPr>
              <w:t>110</w:t>
            </w:r>
          </w:p>
        </w:tc>
        <w:tc>
          <w:tcPr>
            <w:tcW w:w="885" w:type="pct"/>
            <w:tcBorders>
              <w:top w:val="nil"/>
              <w:left w:val="nil"/>
              <w:bottom w:val="single" w:sz="4" w:space="0" w:color="auto"/>
              <w:right w:val="single" w:sz="4" w:space="0" w:color="auto"/>
            </w:tcBorders>
            <w:noWrap/>
            <w:vAlign w:val="center"/>
            <w:hideMark/>
          </w:tcPr>
          <w:p w:rsidR="00BB1D4E" w:rsidRPr="0015062D" w:rsidRDefault="00BB1D4E" w:rsidP="003927B7">
            <w:pPr>
              <w:pStyle w:val="Tabletext"/>
              <w:jc w:val="center"/>
              <w:rPr>
                <w:lang w:val="en-US"/>
              </w:rPr>
            </w:pPr>
            <w:r w:rsidRPr="0015062D">
              <w:rPr>
                <w:lang w:val="en-US"/>
              </w:rPr>
              <w:t>15</w:t>
            </w:r>
          </w:p>
        </w:tc>
        <w:tc>
          <w:tcPr>
            <w:tcW w:w="883" w:type="pct"/>
            <w:tcBorders>
              <w:top w:val="nil"/>
              <w:left w:val="nil"/>
              <w:bottom w:val="single" w:sz="4" w:space="0" w:color="auto"/>
              <w:right w:val="single" w:sz="4" w:space="0" w:color="auto"/>
            </w:tcBorders>
            <w:noWrap/>
            <w:vAlign w:val="center"/>
            <w:hideMark/>
          </w:tcPr>
          <w:p w:rsidR="00BB1D4E" w:rsidRPr="0015062D" w:rsidRDefault="00BB1D4E" w:rsidP="003927B7">
            <w:pPr>
              <w:pStyle w:val="Tabletext"/>
              <w:jc w:val="center"/>
              <w:rPr>
                <w:lang w:val="en-US"/>
              </w:rPr>
            </w:pPr>
            <w:r w:rsidRPr="0015062D">
              <w:rPr>
                <w:lang w:val="en-US"/>
              </w:rPr>
              <w:t>15</w:t>
            </w:r>
          </w:p>
        </w:tc>
        <w:tc>
          <w:tcPr>
            <w:tcW w:w="881" w:type="pct"/>
            <w:tcBorders>
              <w:top w:val="nil"/>
              <w:left w:val="nil"/>
              <w:bottom w:val="single" w:sz="4" w:space="0" w:color="auto"/>
              <w:right w:val="single" w:sz="4" w:space="0" w:color="auto"/>
            </w:tcBorders>
            <w:noWrap/>
            <w:vAlign w:val="center"/>
            <w:hideMark/>
          </w:tcPr>
          <w:p w:rsidR="00BB1D4E" w:rsidRPr="0015062D" w:rsidRDefault="00BB1D4E" w:rsidP="003927B7">
            <w:pPr>
              <w:pStyle w:val="Tabletext"/>
              <w:jc w:val="center"/>
              <w:rPr>
                <w:lang w:val="en-US"/>
              </w:rPr>
            </w:pPr>
            <w:r w:rsidRPr="0015062D">
              <w:rPr>
                <w:lang w:val="en-US"/>
              </w:rPr>
              <w:t>110</w:t>
            </w:r>
          </w:p>
        </w:tc>
      </w:tr>
      <w:tr w:rsidR="0015062D" w:rsidRPr="0015062D" w:rsidTr="0015062D">
        <w:trPr>
          <w:jc w:val="center"/>
        </w:trPr>
        <w:tc>
          <w:tcPr>
            <w:tcW w:w="1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1D4E" w:rsidRPr="0015062D" w:rsidRDefault="00BB1D4E" w:rsidP="00F24420">
            <w:pPr>
              <w:pStyle w:val="Tabletext"/>
              <w:jc w:val="left"/>
              <w:rPr>
                <w:lang w:val="en-US"/>
              </w:rPr>
            </w:pPr>
            <w:r w:rsidRPr="0015062D">
              <w:rPr>
                <w:lang w:val="en-US" w:eastAsia="fr-FR"/>
              </w:rPr>
              <w:t>connectivity applications (MHz)*</w:t>
            </w: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15062D" w:rsidRDefault="00BB1D4E" w:rsidP="003927B7">
            <w:pPr>
              <w:pStyle w:val="Tabletext"/>
              <w:jc w:val="center"/>
              <w:rPr>
                <w:lang w:val="en-US"/>
              </w:rPr>
            </w:pPr>
            <w:r w:rsidRPr="0015062D">
              <w:rPr>
                <w:lang w:val="en-US"/>
              </w:rPr>
              <w:t>247-2727</w:t>
            </w:r>
          </w:p>
        </w:tc>
        <w:tc>
          <w:tcPr>
            <w:tcW w:w="8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15062D" w:rsidRDefault="00BB1D4E" w:rsidP="003927B7">
            <w:pPr>
              <w:pStyle w:val="Tabletext"/>
              <w:jc w:val="center"/>
              <w:rPr>
                <w:lang w:val="en-US"/>
              </w:rPr>
            </w:pPr>
            <w:r w:rsidRPr="0015062D">
              <w:rPr>
                <w:lang w:val="en-US"/>
              </w:rPr>
              <w:t>164-938</w:t>
            </w:r>
          </w:p>
        </w:tc>
        <w:tc>
          <w:tcPr>
            <w:tcW w:w="8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15062D" w:rsidRDefault="00BB1D4E" w:rsidP="003927B7">
            <w:pPr>
              <w:pStyle w:val="Tabletext"/>
              <w:jc w:val="center"/>
              <w:rPr>
                <w:lang w:val="en-US"/>
              </w:rPr>
            </w:pPr>
            <w:r w:rsidRPr="0015062D">
              <w:rPr>
                <w:lang w:val="en-US"/>
              </w:rPr>
              <w:t>24-240</w:t>
            </w:r>
          </w:p>
        </w:tc>
        <w:tc>
          <w:tcPr>
            <w:tcW w:w="8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B1D4E" w:rsidRPr="0015062D" w:rsidRDefault="00BB1D4E" w:rsidP="003927B7">
            <w:pPr>
              <w:pStyle w:val="Tabletext"/>
              <w:jc w:val="center"/>
              <w:rPr>
                <w:lang w:val="en-US"/>
              </w:rPr>
            </w:pPr>
            <w:r w:rsidRPr="0015062D">
              <w:rPr>
                <w:lang w:val="en-US"/>
              </w:rPr>
              <w:t>35-480</w:t>
            </w:r>
          </w:p>
        </w:tc>
      </w:tr>
      <w:tr w:rsidR="00BB1D4E" w:rsidRPr="00473271" w:rsidTr="0015062D">
        <w:trPr>
          <w:jc w:val="center"/>
        </w:trPr>
        <w:tc>
          <w:tcPr>
            <w:tcW w:w="5000" w:type="pct"/>
            <w:gridSpan w:val="5"/>
            <w:tcBorders>
              <w:top w:val="single" w:sz="4" w:space="0" w:color="auto"/>
            </w:tcBorders>
            <w:tcMar>
              <w:top w:w="0" w:type="dxa"/>
              <w:left w:w="108" w:type="dxa"/>
              <w:bottom w:w="0" w:type="dxa"/>
              <w:right w:w="108" w:type="dxa"/>
            </w:tcMar>
          </w:tcPr>
          <w:p w:rsidR="00BB1D4E" w:rsidRPr="00BB1D4E" w:rsidRDefault="00BB1D4E" w:rsidP="00F24420">
            <w:pPr>
              <w:pStyle w:val="Tabletext"/>
              <w:rPr>
                <w:lang w:val="en-US"/>
              </w:rPr>
            </w:pPr>
            <w:r w:rsidRPr="00BB1D4E">
              <w:rPr>
                <w:lang w:val="en-US"/>
              </w:rPr>
              <w:t>* The ranges are covering several possible use cases with different targeted markets.</w:t>
            </w:r>
          </w:p>
        </w:tc>
      </w:tr>
    </w:tbl>
    <w:p w:rsidR="00BB1D4E" w:rsidRPr="004E6817" w:rsidRDefault="00BB1D4E" w:rsidP="00BB1D4E">
      <w:pPr>
        <w:pStyle w:val="Tablefin"/>
      </w:pPr>
    </w:p>
    <w:p w:rsidR="00BB1D4E" w:rsidRPr="00BB1D4E" w:rsidRDefault="00BB1D4E" w:rsidP="00F24420">
      <w:pPr>
        <w:keepNext/>
        <w:keepLines/>
        <w:rPr>
          <w:lang w:val="en-US" w:eastAsia="ja-JP"/>
        </w:rPr>
      </w:pPr>
      <w:r w:rsidRPr="00BB1D4E">
        <w:rPr>
          <w:lang w:val="en-US" w:eastAsia="ja-JP"/>
        </w:rPr>
        <w:lastRenderedPageBreak/>
        <w:t>Additional details of the analysis conducted on the spectrum needs for HAPS are available in Table 5 below:</w:t>
      </w:r>
    </w:p>
    <w:p w:rsidR="00BB1D4E" w:rsidRPr="00BB1D4E" w:rsidRDefault="00F24420" w:rsidP="00BB1D4E">
      <w:pPr>
        <w:pStyle w:val="TableNo"/>
        <w:rPr>
          <w:lang w:val="en-US"/>
        </w:rPr>
      </w:pPr>
      <w:r w:rsidRPr="00BB1D4E">
        <w:rPr>
          <w:lang w:val="en-US"/>
        </w:rPr>
        <w:t xml:space="preserve">TABLE </w:t>
      </w:r>
      <w:r w:rsidR="00BB1D4E" w:rsidRPr="00BB1D4E">
        <w:rPr>
          <w:lang w:val="en-US"/>
        </w:rPr>
        <w:t>5</w:t>
      </w:r>
    </w:p>
    <w:p w:rsidR="00BB1D4E" w:rsidRPr="00BB1D4E" w:rsidRDefault="00BB1D4E" w:rsidP="00BB1D4E">
      <w:pPr>
        <w:pStyle w:val="Tabletitle"/>
        <w:rPr>
          <w:lang w:val="en-US"/>
        </w:rPr>
      </w:pPr>
      <w:r w:rsidRPr="00BB1D4E">
        <w:rPr>
          <w:lang w:val="en-US"/>
        </w:rPr>
        <w:t>Spectrum needs for a variety of system characteristics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414"/>
        <w:gridCol w:w="1424"/>
        <w:gridCol w:w="1270"/>
        <w:gridCol w:w="1142"/>
        <w:gridCol w:w="802"/>
        <w:gridCol w:w="1037"/>
      </w:tblGrid>
      <w:tr w:rsidR="00BB1D4E" w:rsidRPr="002D16AF" w:rsidTr="002D16AF">
        <w:tc>
          <w:tcPr>
            <w:tcW w:w="2550" w:type="dxa"/>
            <w:shd w:val="clear" w:color="auto" w:fill="auto"/>
            <w:vAlign w:val="center"/>
          </w:tcPr>
          <w:p w:rsidR="00BB1D4E" w:rsidRPr="002D16AF" w:rsidRDefault="00BB1D4E" w:rsidP="003927B7">
            <w:pPr>
              <w:pStyle w:val="Tablehead"/>
              <w:rPr>
                <w:sz w:val="20"/>
              </w:rPr>
            </w:pPr>
            <w:r w:rsidRPr="002D16AF">
              <w:rPr>
                <w:sz w:val="20"/>
              </w:rPr>
              <w:t>Type of HAPS system</w:t>
            </w:r>
          </w:p>
        </w:tc>
        <w:tc>
          <w:tcPr>
            <w:tcW w:w="1414" w:type="dxa"/>
            <w:shd w:val="clear" w:color="auto" w:fill="auto"/>
            <w:vAlign w:val="center"/>
          </w:tcPr>
          <w:p w:rsidR="00BB1D4E" w:rsidRPr="002D16AF" w:rsidRDefault="00BB1D4E" w:rsidP="003927B7">
            <w:pPr>
              <w:pStyle w:val="Tablehead"/>
              <w:rPr>
                <w:sz w:val="20"/>
                <w:lang w:val="en-US" w:eastAsia="fr-FR"/>
              </w:rPr>
            </w:pPr>
            <w:r w:rsidRPr="002D16AF">
              <w:rPr>
                <w:sz w:val="20"/>
                <w:lang w:val="en-US" w:eastAsia="fr-FR"/>
              </w:rPr>
              <w:t xml:space="preserve">GW </w:t>
            </w:r>
            <w:r w:rsidR="002D16AF">
              <w:rPr>
                <w:sz w:val="20"/>
                <w:lang w:val="en-US" w:eastAsia="fr-FR"/>
              </w:rPr>
              <w:br/>
            </w:r>
            <w:r w:rsidRPr="002D16AF">
              <w:rPr>
                <w:sz w:val="20"/>
                <w:lang w:val="en-US" w:eastAsia="fr-FR"/>
              </w:rPr>
              <w:t>to HAPS</w:t>
            </w:r>
          </w:p>
          <w:p w:rsidR="00BB1D4E" w:rsidRPr="002D16AF" w:rsidRDefault="00BB1D4E" w:rsidP="003927B7">
            <w:pPr>
              <w:pStyle w:val="Tablehead"/>
              <w:rPr>
                <w:sz w:val="20"/>
                <w:lang w:val="en-US"/>
              </w:rPr>
            </w:pPr>
            <w:r w:rsidRPr="002D16AF">
              <w:rPr>
                <w:sz w:val="20"/>
                <w:lang w:val="en-US" w:eastAsia="fr-FR"/>
              </w:rPr>
              <w:t>Ground-to-HAPS</w:t>
            </w:r>
          </w:p>
        </w:tc>
        <w:tc>
          <w:tcPr>
            <w:tcW w:w="1424" w:type="dxa"/>
            <w:shd w:val="clear" w:color="auto" w:fill="auto"/>
            <w:vAlign w:val="center"/>
          </w:tcPr>
          <w:p w:rsidR="00BB1D4E" w:rsidRPr="002D16AF" w:rsidRDefault="00BB1D4E" w:rsidP="003927B7">
            <w:pPr>
              <w:pStyle w:val="Tablehead"/>
              <w:rPr>
                <w:sz w:val="20"/>
                <w:lang w:val="en-US" w:eastAsia="fr-FR"/>
              </w:rPr>
            </w:pPr>
            <w:r w:rsidRPr="002D16AF">
              <w:rPr>
                <w:sz w:val="20"/>
                <w:lang w:val="en-US" w:eastAsia="fr-FR"/>
              </w:rPr>
              <w:t xml:space="preserve">HAPS </w:t>
            </w:r>
            <w:r w:rsidR="002D16AF">
              <w:rPr>
                <w:sz w:val="20"/>
                <w:lang w:val="en-US" w:eastAsia="fr-FR"/>
              </w:rPr>
              <w:br/>
            </w:r>
            <w:r w:rsidRPr="002D16AF">
              <w:rPr>
                <w:sz w:val="20"/>
                <w:lang w:val="en-US" w:eastAsia="fr-FR"/>
              </w:rPr>
              <w:t>to CPE</w:t>
            </w:r>
          </w:p>
          <w:p w:rsidR="00BB1D4E" w:rsidRPr="002D16AF" w:rsidRDefault="00BB1D4E" w:rsidP="003927B7">
            <w:pPr>
              <w:pStyle w:val="Tablehead"/>
              <w:rPr>
                <w:sz w:val="20"/>
                <w:lang w:val="en-US"/>
              </w:rPr>
            </w:pPr>
            <w:r w:rsidRPr="002D16AF">
              <w:rPr>
                <w:sz w:val="20"/>
                <w:lang w:val="en-US" w:eastAsia="fr-FR"/>
              </w:rPr>
              <w:t>HAPS-to-ground</w:t>
            </w:r>
          </w:p>
        </w:tc>
        <w:tc>
          <w:tcPr>
            <w:tcW w:w="1270" w:type="dxa"/>
            <w:shd w:val="clear" w:color="auto" w:fill="auto"/>
            <w:vAlign w:val="center"/>
          </w:tcPr>
          <w:p w:rsidR="00BB1D4E" w:rsidRPr="002D16AF" w:rsidRDefault="00BB1D4E" w:rsidP="002D16AF">
            <w:pPr>
              <w:pStyle w:val="Tablehead"/>
              <w:rPr>
                <w:sz w:val="20"/>
                <w:lang w:val="en-US" w:eastAsia="fr-FR"/>
              </w:rPr>
            </w:pPr>
            <w:r w:rsidRPr="002D16AF">
              <w:rPr>
                <w:sz w:val="20"/>
                <w:lang w:val="en-US" w:eastAsia="fr-FR"/>
              </w:rPr>
              <w:t>CPE to</w:t>
            </w:r>
            <w:r w:rsidR="002D16AF">
              <w:rPr>
                <w:sz w:val="20"/>
                <w:lang w:val="en-US" w:eastAsia="fr-FR"/>
              </w:rPr>
              <w:t> </w:t>
            </w:r>
            <w:r w:rsidRPr="002D16AF">
              <w:rPr>
                <w:sz w:val="20"/>
                <w:lang w:val="en-US" w:eastAsia="fr-FR"/>
              </w:rPr>
              <w:t>HAPS</w:t>
            </w:r>
          </w:p>
          <w:p w:rsidR="00BB1D4E" w:rsidRPr="002D16AF" w:rsidRDefault="00BB1D4E" w:rsidP="003927B7">
            <w:pPr>
              <w:pStyle w:val="Tablehead"/>
              <w:rPr>
                <w:sz w:val="20"/>
                <w:lang w:val="en-US"/>
              </w:rPr>
            </w:pPr>
            <w:r w:rsidRPr="002D16AF">
              <w:rPr>
                <w:sz w:val="20"/>
                <w:lang w:val="en-US" w:eastAsia="fr-FR"/>
              </w:rPr>
              <w:t>Ground-to-HAPS</w:t>
            </w:r>
          </w:p>
        </w:tc>
        <w:tc>
          <w:tcPr>
            <w:tcW w:w="1142" w:type="dxa"/>
            <w:shd w:val="clear" w:color="auto" w:fill="auto"/>
            <w:vAlign w:val="center"/>
          </w:tcPr>
          <w:p w:rsidR="00BB1D4E" w:rsidRPr="002D16AF" w:rsidRDefault="00BB1D4E" w:rsidP="002D16AF">
            <w:pPr>
              <w:pStyle w:val="Tablehead"/>
              <w:rPr>
                <w:sz w:val="20"/>
                <w:lang w:val="en-US" w:eastAsia="fr-FR"/>
              </w:rPr>
            </w:pPr>
            <w:r w:rsidRPr="002D16AF">
              <w:rPr>
                <w:sz w:val="20"/>
                <w:lang w:val="en-US" w:eastAsia="fr-FR"/>
              </w:rPr>
              <w:t>HAPS to</w:t>
            </w:r>
            <w:r w:rsidR="002D16AF">
              <w:rPr>
                <w:sz w:val="20"/>
                <w:lang w:val="en-US" w:eastAsia="fr-FR"/>
              </w:rPr>
              <w:t> </w:t>
            </w:r>
            <w:r w:rsidRPr="002D16AF">
              <w:rPr>
                <w:sz w:val="20"/>
                <w:lang w:val="en-US" w:eastAsia="fr-FR"/>
              </w:rPr>
              <w:t>GW</w:t>
            </w:r>
          </w:p>
          <w:p w:rsidR="00BB1D4E" w:rsidRPr="002D16AF" w:rsidRDefault="00BB1D4E" w:rsidP="003927B7">
            <w:pPr>
              <w:pStyle w:val="Tablehead"/>
              <w:rPr>
                <w:sz w:val="20"/>
                <w:lang w:val="en-US"/>
              </w:rPr>
            </w:pPr>
            <w:r w:rsidRPr="002D16AF">
              <w:rPr>
                <w:sz w:val="20"/>
                <w:lang w:val="en-US" w:eastAsia="fr-FR"/>
              </w:rPr>
              <w:t>HAPS-to-ground</w:t>
            </w:r>
          </w:p>
        </w:tc>
        <w:tc>
          <w:tcPr>
            <w:tcW w:w="802" w:type="dxa"/>
            <w:shd w:val="clear" w:color="auto" w:fill="auto"/>
            <w:vAlign w:val="center"/>
          </w:tcPr>
          <w:p w:rsidR="00BB1D4E" w:rsidRPr="002D16AF" w:rsidRDefault="00BB1D4E" w:rsidP="003927B7">
            <w:pPr>
              <w:pStyle w:val="Tablehead"/>
              <w:rPr>
                <w:sz w:val="20"/>
                <w:lang w:val="en-US" w:eastAsia="fr-FR"/>
              </w:rPr>
            </w:pPr>
            <w:r w:rsidRPr="002D16AF">
              <w:rPr>
                <w:sz w:val="20"/>
                <w:lang w:val="en-US" w:eastAsia="fr-FR"/>
              </w:rPr>
              <w:t>Total uplink</w:t>
            </w:r>
          </w:p>
        </w:tc>
        <w:tc>
          <w:tcPr>
            <w:tcW w:w="1037" w:type="dxa"/>
            <w:shd w:val="clear" w:color="auto" w:fill="auto"/>
            <w:vAlign w:val="center"/>
          </w:tcPr>
          <w:p w:rsidR="00BB1D4E" w:rsidRPr="002D16AF" w:rsidRDefault="00BB1D4E" w:rsidP="003927B7">
            <w:pPr>
              <w:pStyle w:val="Tablehead"/>
              <w:rPr>
                <w:sz w:val="20"/>
                <w:lang w:val="en-US" w:eastAsia="fr-FR"/>
              </w:rPr>
            </w:pPr>
            <w:r w:rsidRPr="002D16AF">
              <w:rPr>
                <w:sz w:val="20"/>
                <w:lang w:val="en-US" w:eastAsia="fr-FR"/>
              </w:rPr>
              <w:t>Total downlink</w:t>
            </w:r>
          </w:p>
        </w:tc>
      </w:tr>
      <w:tr w:rsidR="00BB1D4E" w:rsidRPr="004E6817" w:rsidTr="002D16AF">
        <w:tc>
          <w:tcPr>
            <w:tcW w:w="2550" w:type="dxa"/>
            <w:shd w:val="clear" w:color="auto" w:fill="auto"/>
          </w:tcPr>
          <w:p w:rsidR="00BB1D4E" w:rsidRPr="004E6817" w:rsidRDefault="00BB1D4E" w:rsidP="003927B7">
            <w:pPr>
              <w:tabs>
                <w:tab w:val="left" w:pos="3544"/>
              </w:tabs>
              <w:spacing w:before="40" w:after="40"/>
              <w:rPr>
                <w:sz w:val="20"/>
              </w:rPr>
            </w:pPr>
            <w:r w:rsidRPr="002D16AF">
              <w:rPr>
                <w:sz w:val="20"/>
                <w:lang w:val="en-US"/>
              </w:rPr>
              <w:t>Connectivity 1 (</w:t>
            </w:r>
            <w:r w:rsidRPr="002D16AF">
              <w:rPr>
                <w:sz w:val="20"/>
                <w:lang w:val="en-US" w:eastAsia="fr-FR"/>
              </w:rPr>
              <w:t>M</w:t>
            </w:r>
            <w:r w:rsidRPr="004E6817">
              <w:rPr>
                <w:sz w:val="20"/>
                <w:lang w:eastAsia="fr-FR"/>
              </w:rPr>
              <w:t>Hz</w:t>
            </w:r>
            <w:r>
              <w:rPr>
                <w:sz w:val="20"/>
                <w:lang w:eastAsia="fr-FR"/>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1 800</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900</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240</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480</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2 040</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1 380</w:t>
            </w:r>
          </w:p>
        </w:tc>
      </w:tr>
      <w:tr w:rsidR="00BB1D4E" w:rsidRPr="004E6817" w:rsidTr="002D16AF">
        <w:tc>
          <w:tcPr>
            <w:tcW w:w="2550" w:type="dxa"/>
            <w:shd w:val="clear" w:color="auto" w:fill="auto"/>
          </w:tcPr>
          <w:p w:rsidR="00BB1D4E" w:rsidRPr="004E6817" w:rsidRDefault="00BB1D4E" w:rsidP="003927B7">
            <w:pPr>
              <w:tabs>
                <w:tab w:val="left" w:pos="3544"/>
              </w:tabs>
              <w:spacing w:before="40" w:after="40"/>
              <w:rPr>
                <w:sz w:val="20"/>
              </w:rPr>
            </w:pPr>
            <w:r w:rsidRPr="004E6817">
              <w:rPr>
                <w:sz w:val="20"/>
              </w:rPr>
              <w:t>Connectivity 2</w:t>
            </w:r>
            <w:r>
              <w:rPr>
                <w:sz w:val="20"/>
              </w:rPr>
              <w:t xml:space="preserve"> (</w:t>
            </w:r>
            <w:r w:rsidRPr="004E6817">
              <w:rPr>
                <w:sz w:val="20"/>
              </w:rPr>
              <w:t>MHz</w:t>
            </w:r>
            <w:r>
              <w:rPr>
                <w:sz w:val="20"/>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2 727</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938</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117</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341</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2 844</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1 279</w:t>
            </w:r>
          </w:p>
        </w:tc>
      </w:tr>
      <w:tr w:rsidR="00BB1D4E" w:rsidRPr="004E6817" w:rsidTr="002D16AF">
        <w:tc>
          <w:tcPr>
            <w:tcW w:w="2550" w:type="dxa"/>
            <w:shd w:val="clear" w:color="auto" w:fill="auto"/>
          </w:tcPr>
          <w:p w:rsidR="00BB1D4E" w:rsidRPr="004E6817" w:rsidRDefault="00BB1D4E" w:rsidP="003927B7">
            <w:pPr>
              <w:tabs>
                <w:tab w:val="left" w:pos="3544"/>
              </w:tabs>
              <w:spacing w:before="40" w:after="40"/>
              <w:rPr>
                <w:sz w:val="20"/>
              </w:rPr>
            </w:pPr>
            <w:r w:rsidRPr="004E6817">
              <w:rPr>
                <w:sz w:val="20"/>
              </w:rPr>
              <w:t>Connectivity 3</w:t>
            </w:r>
            <w:r>
              <w:rPr>
                <w:sz w:val="20"/>
              </w:rPr>
              <w:t xml:space="preserve"> (</w:t>
            </w:r>
            <w:r w:rsidRPr="004E6817">
              <w:rPr>
                <w:sz w:val="20"/>
                <w:lang w:eastAsia="fr-FR"/>
              </w:rPr>
              <w:t>MHz</w:t>
            </w:r>
            <w:r>
              <w:rPr>
                <w:sz w:val="20"/>
                <w:lang w:eastAsia="fr-FR"/>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1 114</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576</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213</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371</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1 327</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947</w:t>
            </w:r>
          </w:p>
        </w:tc>
      </w:tr>
      <w:tr w:rsidR="00BB1D4E" w:rsidRPr="004E6817" w:rsidTr="002D16AF">
        <w:tc>
          <w:tcPr>
            <w:tcW w:w="2550" w:type="dxa"/>
            <w:shd w:val="clear" w:color="auto" w:fill="auto"/>
          </w:tcPr>
          <w:p w:rsidR="00BB1D4E" w:rsidRPr="004E6817" w:rsidRDefault="00BB1D4E" w:rsidP="003927B7">
            <w:pPr>
              <w:tabs>
                <w:tab w:val="left" w:pos="3544"/>
              </w:tabs>
              <w:spacing w:before="40" w:after="40"/>
              <w:rPr>
                <w:sz w:val="20"/>
              </w:rPr>
            </w:pPr>
            <w:r w:rsidRPr="004E6817">
              <w:rPr>
                <w:sz w:val="20"/>
              </w:rPr>
              <w:t>Connectivity 4</w:t>
            </w:r>
            <w:r>
              <w:rPr>
                <w:sz w:val="20"/>
              </w:rPr>
              <w:t xml:space="preserve"> (</w:t>
            </w:r>
            <w:r w:rsidRPr="004E6817">
              <w:rPr>
                <w:sz w:val="20"/>
              </w:rPr>
              <w:t>MHz</w:t>
            </w:r>
            <w:r>
              <w:rPr>
                <w:sz w:val="20"/>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1 424</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200</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59</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310</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1 483</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510</w:t>
            </w:r>
          </w:p>
        </w:tc>
      </w:tr>
      <w:tr w:rsidR="00BB1D4E" w:rsidRPr="004E6817" w:rsidTr="002D16AF">
        <w:tc>
          <w:tcPr>
            <w:tcW w:w="2550" w:type="dxa"/>
            <w:shd w:val="clear" w:color="auto" w:fill="auto"/>
          </w:tcPr>
          <w:p w:rsidR="00BB1D4E" w:rsidRPr="004E6817" w:rsidRDefault="00BB1D4E" w:rsidP="003927B7">
            <w:pPr>
              <w:tabs>
                <w:tab w:val="left" w:pos="3544"/>
              </w:tabs>
              <w:spacing w:before="40" w:after="40"/>
              <w:rPr>
                <w:sz w:val="20"/>
              </w:rPr>
            </w:pPr>
            <w:r w:rsidRPr="004E6817">
              <w:rPr>
                <w:sz w:val="20"/>
              </w:rPr>
              <w:t>Connectivity 5</w:t>
            </w:r>
            <w:r>
              <w:rPr>
                <w:sz w:val="20"/>
              </w:rPr>
              <w:t xml:space="preserve"> (</w:t>
            </w:r>
            <w:r w:rsidRPr="004E6817">
              <w:rPr>
                <w:sz w:val="20"/>
                <w:lang w:eastAsia="fr-FR"/>
              </w:rPr>
              <w:t>MHz</w:t>
            </w:r>
            <w:r>
              <w:rPr>
                <w:sz w:val="20"/>
                <w:lang w:eastAsia="fr-FR"/>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247</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164</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24</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35</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271</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199</w:t>
            </w:r>
          </w:p>
        </w:tc>
      </w:tr>
      <w:tr w:rsidR="00BB1D4E" w:rsidRPr="004E6817" w:rsidTr="002D16AF">
        <w:tc>
          <w:tcPr>
            <w:tcW w:w="2550" w:type="dxa"/>
            <w:shd w:val="clear" w:color="auto" w:fill="auto"/>
          </w:tcPr>
          <w:p w:rsidR="00BB1D4E" w:rsidRPr="004E6817" w:rsidRDefault="00BB1D4E" w:rsidP="00824C36">
            <w:pPr>
              <w:tabs>
                <w:tab w:val="left" w:pos="3544"/>
              </w:tabs>
              <w:spacing w:before="40" w:after="40"/>
              <w:jc w:val="left"/>
              <w:rPr>
                <w:sz w:val="20"/>
                <w:lang w:eastAsia="fr-FR"/>
              </w:rPr>
            </w:pPr>
            <w:r w:rsidRPr="004E6817">
              <w:rPr>
                <w:sz w:val="20"/>
              </w:rPr>
              <w:t>Minimum</w:t>
            </w:r>
            <w:r>
              <w:rPr>
                <w:sz w:val="20"/>
              </w:rPr>
              <w:t xml:space="preserve"> (</w:t>
            </w:r>
            <w:r w:rsidRPr="004E6817">
              <w:rPr>
                <w:sz w:val="20"/>
              </w:rPr>
              <w:t>MHz</w:t>
            </w:r>
            <w:r>
              <w:rPr>
                <w:sz w:val="20"/>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271</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199</w:t>
            </w:r>
          </w:p>
        </w:tc>
      </w:tr>
      <w:tr w:rsidR="00BB1D4E" w:rsidRPr="004E6817" w:rsidTr="002D16AF">
        <w:tc>
          <w:tcPr>
            <w:tcW w:w="2550" w:type="dxa"/>
            <w:shd w:val="clear" w:color="auto" w:fill="auto"/>
          </w:tcPr>
          <w:p w:rsidR="00BB1D4E" w:rsidRPr="004E6817" w:rsidRDefault="00BB1D4E" w:rsidP="00824C36">
            <w:pPr>
              <w:tabs>
                <w:tab w:val="left" w:pos="3544"/>
              </w:tabs>
              <w:spacing w:before="40" w:after="40"/>
              <w:jc w:val="left"/>
              <w:rPr>
                <w:sz w:val="20"/>
              </w:rPr>
            </w:pPr>
            <w:r w:rsidRPr="004E6817">
              <w:rPr>
                <w:sz w:val="20"/>
              </w:rPr>
              <w:t>Maximum</w:t>
            </w:r>
            <w:r>
              <w:rPr>
                <w:sz w:val="20"/>
              </w:rPr>
              <w:t xml:space="preserve"> (</w:t>
            </w:r>
            <w:r w:rsidRPr="004E6817">
              <w:rPr>
                <w:sz w:val="20"/>
              </w:rPr>
              <w:t>MHz</w:t>
            </w:r>
            <w:r>
              <w:rPr>
                <w:sz w:val="20"/>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2 844</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1 380</w:t>
            </w:r>
          </w:p>
        </w:tc>
      </w:tr>
      <w:tr w:rsidR="00BB1D4E" w:rsidRPr="004E6817" w:rsidTr="002D16AF">
        <w:tc>
          <w:tcPr>
            <w:tcW w:w="2550" w:type="dxa"/>
            <w:shd w:val="clear" w:color="auto" w:fill="auto"/>
          </w:tcPr>
          <w:p w:rsidR="00BB1D4E" w:rsidRPr="004E6817" w:rsidRDefault="00BB1D4E" w:rsidP="00824C36">
            <w:pPr>
              <w:tabs>
                <w:tab w:val="left" w:pos="3544"/>
              </w:tabs>
              <w:spacing w:before="40" w:after="40"/>
              <w:jc w:val="left"/>
              <w:rPr>
                <w:sz w:val="20"/>
              </w:rPr>
            </w:pPr>
            <w:r w:rsidRPr="004E6817">
              <w:rPr>
                <w:sz w:val="20"/>
              </w:rPr>
              <w:t>Specific</w:t>
            </w:r>
            <w:r>
              <w:rPr>
                <w:sz w:val="20"/>
              </w:rPr>
              <w:t xml:space="preserve"> (</w:t>
            </w:r>
            <w:r w:rsidRPr="004E6817">
              <w:rPr>
                <w:sz w:val="20"/>
              </w:rPr>
              <w:t>MHz</w:t>
            </w:r>
            <w:r>
              <w:rPr>
                <w:sz w:val="20"/>
              </w:rPr>
              <w:t>)</w:t>
            </w:r>
          </w:p>
        </w:tc>
        <w:tc>
          <w:tcPr>
            <w:tcW w:w="141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110</w:t>
            </w:r>
          </w:p>
        </w:tc>
        <w:tc>
          <w:tcPr>
            <w:tcW w:w="1424"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15</w:t>
            </w:r>
          </w:p>
        </w:tc>
        <w:tc>
          <w:tcPr>
            <w:tcW w:w="1270"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15</w:t>
            </w:r>
          </w:p>
        </w:tc>
        <w:tc>
          <w:tcPr>
            <w:tcW w:w="114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110</w:t>
            </w:r>
          </w:p>
        </w:tc>
        <w:tc>
          <w:tcPr>
            <w:tcW w:w="802"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125</w:t>
            </w:r>
          </w:p>
        </w:tc>
        <w:tc>
          <w:tcPr>
            <w:tcW w:w="1037" w:type="dxa"/>
            <w:shd w:val="clear" w:color="auto" w:fill="auto"/>
            <w:vAlign w:val="bottom"/>
          </w:tcPr>
          <w:p w:rsidR="00BB1D4E" w:rsidRPr="004E6817" w:rsidRDefault="00BB1D4E" w:rsidP="003927B7">
            <w:pPr>
              <w:tabs>
                <w:tab w:val="left" w:pos="3544"/>
              </w:tabs>
              <w:spacing w:before="40" w:after="40"/>
              <w:jc w:val="center"/>
              <w:rPr>
                <w:sz w:val="20"/>
              </w:rPr>
            </w:pPr>
            <w:r w:rsidRPr="004E6817">
              <w:rPr>
                <w:sz w:val="20"/>
              </w:rPr>
              <w:t>125</w:t>
            </w:r>
          </w:p>
        </w:tc>
      </w:tr>
      <w:tr w:rsidR="00BB1D4E" w:rsidRPr="004E6817" w:rsidTr="002D16AF">
        <w:tc>
          <w:tcPr>
            <w:tcW w:w="2550" w:type="dxa"/>
            <w:shd w:val="clear" w:color="auto" w:fill="auto"/>
          </w:tcPr>
          <w:p w:rsidR="00BB1D4E" w:rsidRPr="00BB1D4E" w:rsidRDefault="00BB1D4E" w:rsidP="00824C36">
            <w:pPr>
              <w:tabs>
                <w:tab w:val="left" w:pos="3544"/>
              </w:tabs>
              <w:spacing w:before="40" w:after="40"/>
              <w:jc w:val="left"/>
              <w:rPr>
                <w:sz w:val="20"/>
                <w:lang w:val="en-US"/>
              </w:rPr>
            </w:pPr>
            <w:r w:rsidRPr="00BB1D4E">
              <w:rPr>
                <w:sz w:val="20"/>
                <w:lang w:val="en-US"/>
              </w:rPr>
              <w:t>Minimum (including specific applications) (MHz)</w:t>
            </w:r>
          </w:p>
        </w:tc>
        <w:tc>
          <w:tcPr>
            <w:tcW w:w="1414"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424"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270"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142"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802" w:type="dxa"/>
            <w:shd w:val="clear" w:color="auto" w:fill="auto"/>
            <w:vAlign w:val="center"/>
          </w:tcPr>
          <w:p w:rsidR="00BB1D4E" w:rsidRPr="006700B9" w:rsidRDefault="00BB1D4E" w:rsidP="003927B7">
            <w:pPr>
              <w:tabs>
                <w:tab w:val="left" w:pos="3544"/>
              </w:tabs>
              <w:spacing w:before="40" w:after="40"/>
              <w:jc w:val="center"/>
              <w:rPr>
                <w:bCs/>
                <w:sz w:val="20"/>
              </w:rPr>
            </w:pPr>
            <w:r w:rsidRPr="006700B9">
              <w:rPr>
                <w:bCs/>
                <w:sz w:val="20"/>
              </w:rPr>
              <w:t>396</w:t>
            </w:r>
          </w:p>
        </w:tc>
        <w:tc>
          <w:tcPr>
            <w:tcW w:w="1037" w:type="dxa"/>
            <w:shd w:val="clear" w:color="auto" w:fill="auto"/>
            <w:vAlign w:val="center"/>
          </w:tcPr>
          <w:p w:rsidR="00BB1D4E" w:rsidRPr="006700B9" w:rsidRDefault="00BB1D4E" w:rsidP="003927B7">
            <w:pPr>
              <w:tabs>
                <w:tab w:val="left" w:pos="3544"/>
              </w:tabs>
              <w:spacing w:before="40" w:after="40"/>
              <w:jc w:val="center"/>
              <w:rPr>
                <w:bCs/>
                <w:sz w:val="20"/>
              </w:rPr>
            </w:pPr>
            <w:r w:rsidRPr="006700B9">
              <w:rPr>
                <w:bCs/>
                <w:sz w:val="20"/>
              </w:rPr>
              <w:t>324</w:t>
            </w:r>
          </w:p>
        </w:tc>
      </w:tr>
      <w:tr w:rsidR="00BB1D4E" w:rsidRPr="004E6817" w:rsidTr="002D16AF">
        <w:tc>
          <w:tcPr>
            <w:tcW w:w="2550" w:type="dxa"/>
            <w:shd w:val="clear" w:color="auto" w:fill="auto"/>
          </w:tcPr>
          <w:p w:rsidR="00BB1D4E" w:rsidRPr="00BB1D4E" w:rsidRDefault="00BB1D4E" w:rsidP="00824C36">
            <w:pPr>
              <w:tabs>
                <w:tab w:val="left" w:pos="3544"/>
              </w:tabs>
              <w:spacing w:before="40" w:after="40"/>
              <w:jc w:val="left"/>
              <w:rPr>
                <w:sz w:val="20"/>
                <w:lang w:val="en-US"/>
              </w:rPr>
            </w:pPr>
            <w:r w:rsidRPr="00BB1D4E">
              <w:rPr>
                <w:sz w:val="20"/>
                <w:lang w:val="en-US"/>
              </w:rPr>
              <w:t>Maximum (including specific applications) (MHz)</w:t>
            </w:r>
          </w:p>
        </w:tc>
        <w:tc>
          <w:tcPr>
            <w:tcW w:w="1414"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424"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270"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1142" w:type="dxa"/>
            <w:shd w:val="clear" w:color="auto" w:fill="auto"/>
            <w:vAlign w:val="bottom"/>
          </w:tcPr>
          <w:p w:rsidR="00BB1D4E" w:rsidRPr="00BB1D4E" w:rsidRDefault="00BB1D4E" w:rsidP="003927B7">
            <w:pPr>
              <w:tabs>
                <w:tab w:val="left" w:pos="3544"/>
              </w:tabs>
              <w:spacing w:before="40" w:after="40"/>
              <w:jc w:val="center"/>
              <w:rPr>
                <w:sz w:val="20"/>
                <w:lang w:val="en-US"/>
              </w:rPr>
            </w:pPr>
          </w:p>
        </w:tc>
        <w:tc>
          <w:tcPr>
            <w:tcW w:w="802" w:type="dxa"/>
            <w:shd w:val="clear" w:color="auto" w:fill="auto"/>
            <w:vAlign w:val="center"/>
          </w:tcPr>
          <w:p w:rsidR="00BB1D4E" w:rsidRPr="006700B9" w:rsidRDefault="00BB1D4E" w:rsidP="003927B7">
            <w:pPr>
              <w:tabs>
                <w:tab w:val="left" w:pos="3544"/>
              </w:tabs>
              <w:spacing w:before="40" w:after="40"/>
              <w:jc w:val="center"/>
              <w:rPr>
                <w:bCs/>
                <w:sz w:val="20"/>
              </w:rPr>
            </w:pPr>
            <w:r w:rsidRPr="006700B9">
              <w:rPr>
                <w:bCs/>
                <w:sz w:val="20"/>
              </w:rPr>
              <w:t>2 969</w:t>
            </w:r>
          </w:p>
        </w:tc>
        <w:tc>
          <w:tcPr>
            <w:tcW w:w="1037" w:type="dxa"/>
            <w:shd w:val="clear" w:color="auto" w:fill="auto"/>
            <w:vAlign w:val="center"/>
          </w:tcPr>
          <w:p w:rsidR="00BB1D4E" w:rsidRPr="006700B9" w:rsidRDefault="00BB1D4E" w:rsidP="003927B7">
            <w:pPr>
              <w:tabs>
                <w:tab w:val="left" w:pos="3544"/>
              </w:tabs>
              <w:spacing w:before="40" w:after="40"/>
              <w:jc w:val="center"/>
              <w:rPr>
                <w:bCs/>
                <w:sz w:val="20"/>
              </w:rPr>
            </w:pPr>
            <w:r w:rsidRPr="006700B9">
              <w:rPr>
                <w:bCs/>
                <w:sz w:val="20"/>
              </w:rPr>
              <w:t>1 505</w:t>
            </w:r>
          </w:p>
        </w:tc>
      </w:tr>
    </w:tbl>
    <w:p w:rsidR="00BB1D4E" w:rsidRPr="004E6817" w:rsidRDefault="00BB1D4E" w:rsidP="00BB1D4E">
      <w:pPr>
        <w:pStyle w:val="Tablefin"/>
      </w:pPr>
    </w:p>
    <w:p w:rsidR="00BB1D4E" w:rsidRPr="0078540C" w:rsidRDefault="00BB1D4E" w:rsidP="00BB1D4E">
      <w:pPr>
        <w:rPr>
          <w:spacing w:val="-2"/>
          <w:lang w:val="en-US"/>
        </w:rPr>
      </w:pPr>
      <w:r w:rsidRPr="0078540C">
        <w:rPr>
          <w:spacing w:val="-2"/>
          <w:lang w:val="en-US"/>
        </w:rPr>
        <w:t>Noting the variety of HAPS systems characteristics and targeted services, there is also a variation in the spectrum needs. The results of studies that estimate the total spectrum needs for HAPS systems to be:</w:t>
      </w:r>
    </w:p>
    <w:p w:rsidR="00BB1D4E" w:rsidRPr="00BB1D4E" w:rsidRDefault="00BB1D4E" w:rsidP="00BB1D4E">
      <w:pPr>
        <w:pStyle w:val="enumlev1"/>
        <w:rPr>
          <w:lang w:val="en-US"/>
        </w:rPr>
      </w:pPr>
      <w:r w:rsidRPr="00BB1D4E">
        <w:rPr>
          <w:lang w:val="en-US"/>
        </w:rPr>
        <w:t>–</w:t>
      </w:r>
      <w:r w:rsidRPr="00BB1D4E">
        <w:rPr>
          <w:lang w:val="en-US"/>
        </w:rPr>
        <w:tab/>
        <w:t>in the range of 396</w:t>
      </w:r>
      <w:r w:rsidR="00B24B6C">
        <w:rPr>
          <w:lang w:val="en-US"/>
        </w:rPr>
        <w:t xml:space="preserve"> MHz</w:t>
      </w:r>
      <w:r w:rsidRPr="00BB1D4E">
        <w:rPr>
          <w:lang w:val="en-US"/>
        </w:rPr>
        <w:t xml:space="preserve"> (for lower capacity) to 2 969 MHz (for higher capacity) for the ground to HAPS platform links;</w:t>
      </w:r>
    </w:p>
    <w:p w:rsidR="00BB1D4E" w:rsidRPr="00BB1D4E" w:rsidRDefault="00BB1D4E" w:rsidP="00BB1D4E">
      <w:pPr>
        <w:pStyle w:val="enumlev1"/>
        <w:rPr>
          <w:lang w:val="en-US"/>
        </w:rPr>
      </w:pPr>
      <w:r w:rsidRPr="00BB1D4E">
        <w:rPr>
          <w:lang w:val="en-US"/>
        </w:rPr>
        <w:t>–</w:t>
      </w:r>
      <w:r w:rsidRPr="00BB1D4E">
        <w:rPr>
          <w:lang w:val="en-US"/>
        </w:rPr>
        <w:tab/>
        <w:t>in the range of 324</w:t>
      </w:r>
      <w:r w:rsidR="00B24B6C">
        <w:rPr>
          <w:lang w:val="en-US"/>
        </w:rPr>
        <w:t xml:space="preserve"> MHz</w:t>
      </w:r>
      <w:r w:rsidRPr="00BB1D4E">
        <w:rPr>
          <w:lang w:val="en-US"/>
        </w:rPr>
        <w:t xml:space="preserve"> (for lower capacity) to 1 505 MHz (for higher capacity) for the HAPS platform to ground links.</w:t>
      </w:r>
    </w:p>
    <w:p w:rsidR="00BB1D4E" w:rsidRPr="00BB1D4E" w:rsidRDefault="00BB1D4E" w:rsidP="00BB1D4E">
      <w:pPr>
        <w:tabs>
          <w:tab w:val="left" w:pos="3544"/>
        </w:tabs>
        <w:rPr>
          <w:lang w:val="en-US"/>
        </w:rPr>
      </w:pPr>
      <w:r w:rsidRPr="00BB1D4E">
        <w:rPr>
          <w:lang w:val="en-US"/>
        </w:rPr>
        <w:t>These ranges include the spectrum needs to cover those of specific applications (e.g. disaster relief missions) plus that for connectivity applications (e.g. commercial broadband).</w:t>
      </w:r>
    </w:p>
    <w:p w:rsidR="00BB1D4E" w:rsidRPr="00BB1D4E" w:rsidRDefault="00BB1D4E" w:rsidP="00BB1D4E">
      <w:pPr>
        <w:rPr>
          <w:lang w:val="en-US"/>
        </w:rPr>
      </w:pPr>
      <w:r w:rsidRPr="00BB1D4E">
        <w:rPr>
          <w:lang w:val="en-US"/>
        </w:rPr>
        <w:t>The above spectrum needs are based on assumed HAPS throughputs, user densities and the operation of a single HAPS platform over a given service area. Different assumptions would result in spectrum needs that would differ than those provided.</w:t>
      </w:r>
    </w:p>
    <w:p w:rsidR="00BB1D4E" w:rsidRPr="00BB1D4E" w:rsidRDefault="00BB1D4E" w:rsidP="00BB1D4E">
      <w:pPr>
        <w:rPr>
          <w:lang w:val="en-US"/>
        </w:rPr>
      </w:pPr>
      <w:r w:rsidRPr="00BB1D4E">
        <w:rPr>
          <w:lang w:val="en-US"/>
        </w:rPr>
        <w:t>The existing identifications prior to WRC-19 for HAPS as an application in the fixed service were adopted prior to the advent of multi-gigabit broadband and technology that make broadband HAPS viable. Prior to WRC-19, there was only one global identification for HAPS as a fixed service application (47.2-47.5 GHz/ 47.9-48.2 GHz), and it is in a band particularly challenging due to rain fade in some countries. In addition to the single global identification, there is an identification in 28/31 GHz that is currently effectively secondary and available in 23 countries. There is a third fixed identification in the 6 GHz band that is also currently effectively secondary, is limited to five gateway links per HAPS, and subject to agreement from neighbouring administrations within 1 000 km.</w:t>
      </w:r>
    </w:p>
    <w:p w:rsidR="00BB1D4E" w:rsidRPr="00BB1D4E" w:rsidRDefault="00BB1D4E" w:rsidP="00C60A15">
      <w:pPr>
        <w:rPr>
          <w:lang w:val="en-US"/>
        </w:rPr>
      </w:pPr>
      <w:r w:rsidRPr="00BB1D4E">
        <w:rPr>
          <w:lang w:val="en-US"/>
        </w:rPr>
        <w:t>Given the regulatory provisions in the existing identifications a</w:t>
      </w:r>
      <w:r w:rsidR="00C60A15">
        <w:rPr>
          <w:lang w:val="en-US"/>
        </w:rPr>
        <w:t>nd the current demand for multi</w:t>
      </w:r>
      <w:r w:rsidR="00C60A15">
        <w:rPr>
          <w:lang w:val="en-US"/>
        </w:rPr>
        <w:noBreakHyphen/>
      </w:r>
      <w:r w:rsidRPr="00BB1D4E">
        <w:rPr>
          <w:lang w:val="en-US"/>
        </w:rPr>
        <w:t xml:space="preserve">gigabit broadband, the existing identifications associated with current HAPS regulatory provisions are not sufficient to accommodate the largest case requirements of all HAPS systems in their more demanding spectrum scenarios. Consequently, sharing and compatibility studies on possible new HAPS identifications were conducted per Resolution </w:t>
      </w:r>
      <w:r w:rsidRPr="00BB1D4E">
        <w:rPr>
          <w:b/>
          <w:lang w:val="en-US"/>
        </w:rPr>
        <w:t>160 (WRC-15)</w:t>
      </w:r>
      <w:r w:rsidRPr="00BB1D4E">
        <w:rPr>
          <w:lang w:val="en-US"/>
        </w:rPr>
        <w:t>.</w:t>
      </w:r>
    </w:p>
    <w:p w:rsidR="00BB1D4E" w:rsidRPr="004E6817" w:rsidRDefault="00BB1D4E" w:rsidP="004620B6">
      <w:pPr>
        <w:pStyle w:val="Annextitle"/>
      </w:pPr>
      <w:r w:rsidRPr="004E6817">
        <w:lastRenderedPageBreak/>
        <w:t>Annex 1</w:t>
      </w:r>
      <w:r w:rsidR="004620B6">
        <w:br/>
      </w:r>
      <w:r w:rsidR="004620B6">
        <w:br/>
      </w:r>
      <w:r w:rsidRPr="004E6817">
        <w:t>Broadband connectivit</w:t>
      </w:r>
      <w:r w:rsidR="00C60A15">
        <w:t>y – Capacity analysis</w:t>
      </w:r>
    </w:p>
    <w:p w:rsidR="00BB1D4E" w:rsidRPr="00BB1D4E" w:rsidRDefault="00BB1D4E" w:rsidP="00BB1D4E">
      <w:pPr>
        <w:pStyle w:val="Heading1"/>
        <w:rPr>
          <w:lang w:val="en-US"/>
        </w:rPr>
      </w:pPr>
      <w:r w:rsidRPr="00BB1D4E">
        <w:rPr>
          <w:lang w:val="en-US"/>
        </w:rPr>
        <w:t>1</w:t>
      </w:r>
      <w:r w:rsidRPr="00BB1D4E">
        <w:rPr>
          <w:lang w:val="en-US"/>
        </w:rPr>
        <w:tab/>
        <w:t>Introduction</w:t>
      </w:r>
    </w:p>
    <w:p w:rsidR="00BB1D4E" w:rsidRPr="00BB1D4E" w:rsidRDefault="00BB1D4E" w:rsidP="00BB1D4E">
      <w:pPr>
        <w:rPr>
          <w:lang w:val="en-US"/>
        </w:rPr>
      </w:pPr>
      <w:r w:rsidRPr="00BB1D4E">
        <w:rPr>
          <w:lang w:val="en-US"/>
        </w:rPr>
        <w:t>This Annex includes the assumptions and capacity analyses for the gateway and fixed ter</w:t>
      </w:r>
      <w:r w:rsidR="00B24B6C">
        <w:rPr>
          <w:lang w:val="en-US"/>
        </w:rPr>
        <w:t>minal links for Systems 2, 4, 5</w:t>
      </w:r>
      <w:r w:rsidRPr="00BB1D4E">
        <w:rPr>
          <w:lang w:val="en-US"/>
        </w:rPr>
        <w:t xml:space="preserve"> and 6.</w:t>
      </w:r>
    </w:p>
    <w:p w:rsidR="00BB1D4E" w:rsidRPr="00BB1D4E" w:rsidRDefault="00C60A15" w:rsidP="00BB1D4E">
      <w:pPr>
        <w:pStyle w:val="Heading1"/>
        <w:rPr>
          <w:lang w:val="en-US"/>
        </w:rPr>
      </w:pPr>
      <w:r>
        <w:rPr>
          <w:lang w:val="en-US"/>
        </w:rPr>
        <w:t>2</w:t>
      </w:r>
      <w:r>
        <w:rPr>
          <w:lang w:val="en-US"/>
        </w:rPr>
        <w:tab/>
        <w:t xml:space="preserve">Capacity analysis for Systems </w:t>
      </w:r>
      <w:r w:rsidR="00BB1D4E" w:rsidRPr="00BB1D4E">
        <w:rPr>
          <w:lang w:val="en-US"/>
        </w:rPr>
        <w:t>2 and 4</w:t>
      </w:r>
    </w:p>
    <w:p w:rsidR="00BB1D4E" w:rsidRPr="00BB1D4E" w:rsidRDefault="00BB1D4E" w:rsidP="00BB1D4E">
      <w:pPr>
        <w:pStyle w:val="Heading2"/>
        <w:rPr>
          <w:lang w:val="en-US"/>
        </w:rPr>
      </w:pPr>
      <w:r w:rsidRPr="00BB1D4E">
        <w:rPr>
          <w:lang w:val="en-US"/>
        </w:rPr>
        <w:t>2.1</w:t>
      </w:r>
      <w:r w:rsidRPr="00BB1D4E">
        <w:rPr>
          <w:lang w:val="en-US"/>
        </w:rPr>
        <w:tab/>
        <w:t>Assumptions</w:t>
      </w:r>
    </w:p>
    <w:p w:rsidR="00BB1D4E" w:rsidRPr="00BB1D4E" w:rsidRDefault="00BB1D4E" w:rsidP="00B24B6C">
      <w:pPr>
        <w:rPr>
          <w:lang w:val="en-US"/>
        </w:rPr>
      </w:pPr>
      <w:r w:rsidRPr="00BB1D4E">
        <w:rPr>
          <w:lang w:val="en-US"/>
        </w:rPr>
        <w:t>Streaming of Standard Definition video requires 2</w:t>
      </w:r>
      <w:r w:rsidRPr="00BB1D4E">
        <w:rPr>
          <w:sz w:val="20"/>
          <w:szCs w:val="22"/>
          <w:lang w:val="en-US"/>
        </w:rPr>
        <w:t> </w:t>
      </w:r>
      <w:r w:rsidRPr="00BB1D4E">
        <w:rPr>
          <w:lang w:val="en-US"/>
        </w:rPr>
        <w:t>Mbit/s which would be representative for internet videos e.g. YouTube. A value of 2.5 Mb</w:t>
      </w:r>
      <w:r w:rsidR="00B24B6C">
        <w:rPr>
          <w:lang w:val="en-US"/>
        </w:rPr>
        <w:t>it/</w:t>
      </w:r>
      <w:r w:rsidRPr="00BB1D4E">
        <w:rPr>
          <w:lang w:val="en-US"/>
        </w:rPr>
        <w:t>s per user is assumed to be provided by a HAPS-based connectivity solution.</w:t>
      </w:r>
    </w:p>
    <w:p w:rsidR="00BB1D4E" w:rsidRPr="00BB1D4E" w:rsidRDefault="00BB1D4E" w:rsidP="003D504E">
      <w:pPr>
        <w:rPr>
          <w:lang w:val="en-US"/>
        </w:rPr>
      </w:pPr>
      <w:r w:rsidRPr="00BB1D4E">
        <w:rPr>
          <w:lang w:val="en-US"/>
        </w:rPr>
        <w:t>Providing a minimum population density of 60 inhabitants/km</w:t>
      </w:r>
      <w:r w:rsidRPr="00BB1D4E">
        <w:rPr>
          <w:vertAlign w:val="superscript"/>
          <w:lang w:val="en-US"/>
        </w:rPr>
        <w:t>2</w:t>
      </w:r>
      <w:r w:rsidRPr="00BB1D4E">
        <w:rPr>
          <w:lang w:val="en-US"/>
        </w:rPr>
        <w:t>. With an assumed penetration rate of 33% this gives a user density of 20.4 users</w:t>
      </w:r>
      <w:r w:rsidR="00AA2CBE">
        <w:rPr>
          <w:lang w:val="en-US"/>
        </w:rPr>
        <w:t>/</w:t>
      </w:r>
      <w:r w:rsidRPr="00BB1D4E">
        <w:rPr>
          <w:lang w:val="en-US"/>
        </w:rPr>
        <w:t>km</w:t>
      </w:r>
      <w:r w:rsidRPr="00BB1D4E">
        <w:rPr>
          <w:vertAlign w:val="superscript"/>
          <w:lang w:val="en-US"/>
        </w:rPr>
        <w:t>2</w:t>
      </w:r>
      <w:r w:rsidRPr="00BB1D4E">
        <w:rPr>
          <w:lang w:val="en-US"/>
        </w:rPr>
        <w:t>. With the coverage area diameter (up to 100 km) a maximum number of 160 000 active users can be considered as upper boundary for system sizing. This will even grow for more densely populated areas.</w:t>
      </w:r>
    </w:p>
    <w:p w:rsidR="00BB1D4E" w:rsidRPr="00BB1D4E" w:rsidRDefault="00BB1D4E" w:rsidP="00BB1D4E">
      <w:pPr>
        <w:pStyle w:val="Heading2"/>
        <w:rPr>
          <w:lang w:val="en-US"/>
        </w:rPr>
      </w:pPr>
      <w:r w:rsidRPr="00BB1D4E">
        <w:rPr>
          <w:lang w:val="en-US"/>
        </w:rPr>
        <w:t>2.2</w:t>
      </w:r>
      <w:r w:rsidRPr="00BB1D4E">
        <w:rPr>
          <w:lang w:val="en-US"/>
        </w:rPr>
        <w:tab/>
        <w:t>Capacity demand</w:t>
      </w:r>
    </w:p>
    <w:p w:rsidR="00BB1D4E" w:rsidRPr="00BB1D4E" w:rsidRDefault="00BB1D4E" w:rsidP="00BB1D4E">
      <w:pPr>
        <w:pStyle w:val="Heading3"/>
        <w:rPr>
          <w:lang w:val="en-US"/>
        </w:rPr>
      </w:pPr>
      <w:r w:rsidRPr="00BB1D4E">
        <w:rPr>
          <w:lang w:val="en-US"/>
        </w:rPr>
        <w:t>2.2.1</w:t>
      </w:r>
      <w:r w:rsidRPr="00BB1D4E">
        <w:rPr>
          <w:lang w:val="en-US"/>
        </w:rPr>
        <w:tab/>
        <w:t>Bottom-up approach</w:t>
      </w:r>
    </w:p>
    <w:p w:rsidR="00BB1D4E" w:rsidRPr="00BB1D4E" w:rsidRDefault="00BB1D4E" w:rsidP="003D504E">
      <w:pPr>
        <w:rPr>
          <w:lang w:val="en-US"/>
        </w:rPr>
      </w:pPr>
      <w:r w:rsidRPr="00BB1D4E">
        <w:rPr>
          <w:lang w:val="en-US"/>
        </w:rPr>
        <w:t>Table 6 compares the lower and upper boundary requirements for sizing.</w:t>
      </w:r>
    </w:p>
    <w:p w:rsidR="00BB1D4E" w:rsidRPr="00BB1D4E" w:rsidRDefault="00C60A15" w:rsidP="00BB1D4E">
      <w:pPr>
        <w:pStyle w:val="TableNo"/>
        <w:rPr>
          <w:lang w:val="en-US"/>
        </w:rPr>
      </w:pPr>
      <w:r w:rsidRPr="00BB1D4E">
        <w:rPr>
          <w:lang w:val="en-US"/>
        </w:rPr>
        <w:t xml:space="preserve">TABLE </w:t>
      </w:r>
      <w:r w:rsidR="00BB1D4E" w:rsidRPr="00BB1D4E">
        <w:rPr>
          <w:lang w:val="en-US"/>
        </w:rPr>
        <w:t>6</w:t>
      </w:r>
    </w:p>
    <w:p w:rsidR="00BB1D4E" w:rsidRPr="00BB1D4E" w:rsidRDefault="00BB1D4E" w:rsidP="00BB1D4E">
      <w:pPr>
        <w:pStyle w:val="Tabletitle"/>
        <w:rPr>
          <w:bCs/>
          <w:lang w:val="en-US"/>
        </w:rPr>
      </w:pPr>
      <w:r w:rsidRPr="00BB1D4E">
        <w:rPr>
          <w:lang w:val="en-US"/>
        </w:rPr>
        <w:t>Comparison of lower/upper boundary throughput</w:t>
      </w:r>
    </w:p>
    <w:tbl>
      <w:tblPr>
        <w:tblStyle w:val="TableGrid"/>
        <w:tblW w:w="9628" w:type="dxa"/>
        <w:jc w:val="center"/>
        <w:tblLook w:val="0420" w:firstRow="1" w:lastRow="0" w:firstColumn="0" w:lastColumn="0" w:noHBand="0" w:noVBand="1"/>
      </w:tblPr>
      <w:tblGrid>
        <w:gridCol w:w="4105"/>
        <w:gridCol w:w="2692"/>
        <w:gridCol w:w="2831"/>
      </w:tblGrid>
      <w:tr w:rsidR="00BB1D4E" w:rsidRPr="00473271" w:rsidTr="00C60A15">
        <w:trPr>
          <w:trHeight w:val="20"/>
          <w:jc w:val="center"/>
        </w:trPr>
        <w:tc>
          <w:tcPr>
            <w:tcW w:w="2132" w:type="pct"/>
            <w:hideMark/>
          </w:tcPr>
          <w:p w:rsidR="00BB1D4E" w:rsidRPr="004E6817" w:rsidRDefault="00BB1D4E" w:rsidP="003927B7">
            <w:pPr>
              <w:pStyle w:val="Tablehead"/>
            </w:pPr>
            <w:r w:rsidRPr="004E6817">
              <w:t>Parameter</w:t>
            </w:r>
          </w:p>
        </w:tc>
        <w:tc>
          <w:tcPr>
            <w:tcW w:w="1398" w:type="pct"/>
            <w:hideMark/>
          </w:tcPr>
          <w:p w:rsidR="00BB1D4E" w:rsidRPr="00BB1D4E" w:rsidRDefault="00BB1D4E" w:rsidP="003927B7">
            <w:pPr>
              <w:pStyle w:val="Tablehead"/>
              <w:rPr>
                <w:lang w:val="en-US"/>
              </w:rPr>
            </w:pPr>
            <w:r w:rsidRPr="00BB1D4E">
              <w:rPr>
                <w:lang w:val="en-US"/>
              </w:rPr>
              <w:t xml:space="preserve">Min throughput need </w:t>
            </w:r>
            <w:r w:rsidRPr="00BB1D4E">
              <w:rPr>
                <w:lang w:val="en-US"/>
              </w:rPr>
              <w:br/>
              <w:t>(40 km diameter)</w:t>
            </w:r>
          </w:p>
        </w:tc>
        <w:tc>
          <w:tcPr>
            <w:tcW w:w="1470" w:type="pct"/>
            <w:hideMark/>
          </w:tcPr>
          <w:p w:rsidR="00BB1D4E" w:rsidRPr="00BB1D4E" w:rsidRDefault="00BB1D4E" w:rsidP="003927B7">
            <w:pPr>
              <w:pStyle w:val="Tablehead"/>
              <w:rPr>
                <w:lang w:val="en-US"/>
              </w:rPr>
            </w:pPr>
            <w:r w:rsidRPr="00BB1D4E">
              <w:rPr>
                <w:lang w:val="en-US"/>
              </w:rPr>
              <w:t xml:space="preserve">Max throughput need </w:t>
            </w:r>
            <w:r w:rsidRPr="00BB1D4E">
              <w:rPr>
                <w:lang w:val="en-US"/>
              </w:rPr>
              <w:br/>
              <w:t>(100 km diameter)</w:t>
            </w:r>
          </w:p>
        </w:tc>
      </w:tr>
      <w:tr w:rsidR="00BB1D4E" w:rsidRPr="004E6817" w:rsidTr="00C60A15">
        <w:trPr>
          <w:trHeight w:val="20"/>
          <w:jc w:val="center"/>
        </w:trPr>
        <w:tc>
          <w:tcPr>
            <w:tcW w:w="2132" w:type="pct"/>
            <w:hideMark/>
          </w:tcPr>
          <w:p w:rsidR="00BB1D4E" w:rsidRPr="004E6817" w:rsidRDefault="00BB1D4E" w:rsidP="00C60A15">
            <w:pPr>
              <w:pStyle w:val="Tabletext"/>
              <w:jc w:val="left"/>
            </w:pPr>
            <w:r w:rsidRPr="004E6817">
              <w:t>Average datarate per user</w:t>
            </w:r>
          </w:p>
        </w:tc>
        <w:tc>
          <w:tcPr>
            <w:tcW w:w="1398" w:type="pct"/>
            <w:hideMark/>
          </w:tcPr>
          <w:p w:rsidR="00BB1D4E" w:rsidRPr="004E6817" w:rsidRDefault="00BB1D4E" w:rsidP="003927B7">
            <w:pPr>
              <w:pStyle w:val="Tabletext"/>
              <w:jc w:val="center"/>
            </w:pPr>
            <w:r w:rsidRPr="004E6817">
              <w:t>30 Gbyte / month = 100 kb</w:t>
            </w:r>
            <w:r>
              <w:t>it/</w:t>
            </w:r>
            <w:r w:rsidRPr="004E6817">
              <w:t>s</w:t>
            </w:r>
          </w:p>
        </w:tc>
        <w:tc>
          <w:tcPr>
            <w:tcW w:w="1470" w:type="pct"/>
            <w:hideMark/>
          </w:tcPr>
          <w:p w:rsidR="00BB1D4E" w:rsidRPr="004E6817" w:rsidRDefault="00BB1D4E" w:rsidP="003927B7">
            <w:pPr>
              <w:pStyle w:val="Tabletext"/>
              <w:jc w:val="center"/>
            </w:pPr>
            <w:r w:rsidRPr="004E6817">
              <w:t>30 Gbyte / month = 100 kb</w:t>
            </w:r>
            <w:r>
              <w:t>it/</w:t>
            </w:r>
            <w:r w:rsidRPr="004E6817">
              <w:t>s</w:t>
            </w:r>
          </w:p>
        </w:tc>
      </w:tr>
      <w:tr w:rsidR="00BB1D4E" w:rsidRPr="00473271" w:rsidTr="00C60A15">
        <w:trPr>
          <w:trHeight w:val="20"/>
          <w:jc w:val="center"/>
        </w:trPr>
        <w:tc>
          <w:tcPr>
            <w:tcW w:w="2132" w:type="pct"/>
            <w:hideMark/>
          </w:tcPr>
          <w:p w:rsidR="00BB1D4E" w:rsidRPr="00BB1D4E" w:rsidRDefault="00BB1D4E" w:rsidP="00C60A15">
            <w:pPr>
              <w:pStyle w:val="Tabletext"/>
              <w:jc w:val="left"/>
              <w:rPr>
                <w:lang w:val="en-US"/>
              </w:rPr>
            </w:pPr>
            <w:r w:rsidRPr="00BB1D4E">
              <w:rPr>
                <w:lang w:val="en-US"/>
              </w:rPr>
              <w:t>Average datarate for all users in footprint of HAPS</w:t>
            </w:r>
          </w:p>
        </w:tc>
        <w:tc>
          <w:tcPr>
            <w:tcW w:w="1398" w:type="pct"/>
            <w:hideMark/>
          </w:tcPr>
          <w:p w:rsidR="00BB1D4E" w:rsidRPr="00BB1D4E" w:rsidRDefault="00BB1D4E" w:rsidP="003927B7">
            <w:pPr>
              <w:pStyle w:val="Tabletext"/>
              <w:jc w:val="center"/>
              <w:rPr>
                <w:lang w:val="en-US"/>
              </w:rPr>
            </w:pPr>
            <w:r w:rsidRPr="00BB1D4E">
              <w:rPr>
                <w:lang w:val="en-US"/>
              </w:rPr>
              <w:t>93 kbit/s * 25 600 users = 2.56 Gbit/s</w:t>
            </w:r>
          </w:p>
        </w:tc>
        <w:tc>
          <w:tcPr>
            <w:tcW w:w="1470" w:type="pct"/>
            <w:hideMark/>
          </w:tcPr>
          <w:p w:rsidR="00BB1D4E" w:rsidRPr="00BB1D4E" w:rsidRDefault="00BB1D4E" w:rsidP="003927B7">
            <w:pPr>
              <w:pStyle w:val="Tabletext"/>
              <w:jc w:val="center"/>
              <w:rPr>
                <w:lang w:val="en-US"/>
              </w:rPr>
            </w:pPr>
            <w:r w:rsidRPr="00BB1D4E">
              <w:rPr>
                <w:lang w:val="en-US"/>
              </w:rPr>
              <w:t>93 kbit/s*160 000 users</w:t>
            </w:r>
            <w:r w:rsidR="00AA2CBE">
              <w:rPr>
                <w:lang w:val="en-US"/>
              </w:rPr>
              <w:t xml:space="preserve"> </w:t>
            </w:r>
            <w:r w:rsidRPr="00BB1D4E">
              <w:rPr>
                <w:lang w:val="en-US"/>
              </w:rPr>
              <w:t>= 16 Gbit/s</w:t>
            </w:r>
          </w:p>
        </w:tc>
      </w:tr>
      <w:tr w:rsidR="00BB1D4E" w:rsidRPr="004E6817" w:rsidTr="00C60A15">
        <w:trPr>
          <w:trHeight w:val="20"/>
          <w:jc w:val="center"/>
        </w:trPr>
        <w:tc>
          <w:tcPr>
            <w:tcW w:w="2132" w:type="pct"/>
            <w:hideMark/>
          </w:tcPr>
          <w:p w:rsidR="00BB1D4E" w:rsidRPr="00BB1D4E" w:rsidRDefault="00BB1D4E" w:rsidP="00C60A15">
            <w:pPr>
              <w:pStyle w:val="Tabletext"/>
              <w:jc w:val="left"/>
              <w:rPr>
                <w:lang w:val="en-US"/>
              </w:rPr>
            </w:pPr>
            <w:r w:rsidRPr="00BB1D4E">
              <w:rPr>
                <w:lang w:val="en-US"/>
              </w:rPr>
              <w:t>Capacity to simultaneously stream videos</w:t>
            </w:r>
          </w:p>
        </w:tc>
        <w:tc>
          <w:tcPr>
            <w:tcW w:w="1398" w:type="pct"/>
            <w:hideMark/>
          </w:tcPr>
          <w:p w:rsidR="00BB1D4E" w:rsidRPr="004E6817" w:rsidRDefault="00BB1D4E" w:rsidP="003927B7">
            <w:pPr>
              <w:pStyle w:val="Tabletext"/>
              <w:jc w:val="center"/>
            </w:pPr>
            <w:r w:rsidRPr="004E6817">
              <w:t>1000 users</w:t>
            </w:r>
          </w:p>
        </w:tc>
        <w:tc>
          <w:tcPr>
            <w:tcW w:w="1470" w:type="pct"/>
            <w:hideMark/>
          </w:tcPr>
          <w:p w:rsidR="00BB1D4E" w:rsidRPr="004E6817" w:rsidRDefault="00BB1D4E" w:rsidP="003927B7">
            <w:pPr>
              <w:pStyle w:val="Tabletext"/>
              <w:jc w:val="center"/>
            </w:pPr>
            <w:r w:rsidRPr="004E6817">
              <w:t>6 400 users</w:t>
            </w:r>
          </w:p>
        </w:tc>
      </w:tr>
      <w:tr w:rsidR="00BB1D4E" w:rsidRPr="004E6817" w:rsidTr="00C60A15">
        <w:trPr>
          <w:trHeight w:val="20"/>
          <w:jc w:val="center"/>
        </w:trPr>
        <w:tc>
          <w:tcPr>
            <w:tcW w:w="2132" w:type="pct"/>
            <w:hideMark/>
          </w:tcPr>
          <w:p w:rsidR="00BB1D4E" w:rsidRPr="00BB1D4E" w:rsidRDefault="00BB1D4E" w:rsidP="00C60A15">
            <w:pPr>
              <w:pStyle w:val="Tabletext"/>
              <w:jc w:val="left"/>
              <w:rPr>
                <w:lang w:val="en-US"/>
              </w:rPr>
            </w:pPr>
            <w:r w:rsidRPr="00BB1D4E">
              <w:rPr>
                <w:lang w:val="en-US"/>
              </w:rPr>
              <w:t>Peak hour streaming capacity (factor 2)</w:t>
            </w:r>
          </w:p>
        </w:tc>
        <w:tc>
          <w:tcPr>
            <w:tcW w:w="1398" w:type="pct"/>
            <w:hideMark/>
          </w:tcPr>
          <w:p w:rsidR="00BB1D4E" w:rsidRPr="004E6817" w:rsidRDefault="00BB1D4E" w:rsidP="003927B7">
            <w:pPr>
              <w:pStyle w:val="Tabletext"/>
              <w:jc w:val="center"/>
            </w:pPr>
            <w:r w:rsidRPr="004E6817">
              <w:t>2 000 users simultaneously</w:t>
            </w:r>
          </w:p>
        </w:tc>
        <w:tc>
          <w:tcPr>
            <w:tcW w:w="1470" w:type="pct"/>
            <w:hideMark/>
          </w:tcPr>
          <w:p w:rsidR="00BB1D4E" w:rsidRPr="004E6817" w:rsidRDefault="00BB1D4E" w:rsidP="003927B7">
            <w:pPr>
              <w:pStyle w:val="Tabletext"/>
              <w:jc w:val="center"/>
            </w:pPr>
            <w:r w:rsidRPr="004E6817">
              <w:t>12 800 users simultaneously</w:t>
            </w:r>
          </w:p>
        </w:tc>
      </w:tr>
      <w:tr w:rsidR="00BB1D4E" w:rsidRPr="004E6817" w:rsidTr="00C60A15">
        <w:trPr>
          <w:trHeight w:val="20"/>
          <w:jc w:val="center"/>
        </w:trPr>
        <w:tc>
          <w:tcPr>
            <w:tcW w:w="2132" w:type="pct"/>
            <w:hideMark/>
          </w:tcPr>
          <w:p w:rsidR="00BB1D4E" w:rsidRPr="00BB1D4E" w:rsidRDefault="00BB1D4E" w:rsidP="00C60A15">
            <w:pPr>
              <w:pStyle w:val="Tabletext"/>
              <w:jc w:val="left"/>
              <w:rPr>
                <w:lang w:val="en-US"/>
              </w:rPr>
            </w:pPr>
            <w:r w:rsidRPr="00BB1D4E">
              <w:rPr>
                <w:lang w:val="en-US"/>
              </w:rPr>
              <w:t>Total sizing datarate requirement per HAPS</w:t>
            </w:r>
          </w:p>
        </w:tc>
        <w:tc>
          <w:tcPr>
            <w:tcW w:w="1398" w:type="pct"/>
            <w:hideMark/>
          </w:tcPr>
          <w:p w:rsidR="00BB1D4E" w:rsidRPr="004E6817" w:rsidRDefault="00BB1D4E" w:rsidP="003927B7">
            <w:pPr>
              <w:pStyle w:val="Tabletext"/>
              <w:jc w:val="center"/>
            </w:pPr>
            <w:r w:rsidRPr="004E6817">
              <w:t>4.76 Gb</w:t>
            </w:r>
            <w:r>
              <w:t>it/</w:t>
            </w:r>
            <w:r w:rsidRPr="004E6817">
              <w:t>s</w:t>
            </w:r>
          </w:p>
        </w:tc>
        <w:tc>
          <w:tcPr>
            <w:tcW w:w="1470" w:type="pct"/>
            <w:hideMark/>
          </w:tcPr>
          <w:p w:rsidR="00BB1D4E" w:rsidRPr="004E6817" w:rsidRDefault="00BB1D4E" w:rsidP="003927B7">
            <w:pPr>
              <w:pStyle w:val="Tabletext"/>
              <w:jc w:val="center"/>
              <w:rPr>
                <w:bCs/>
              </w:rPr>
            </w:pPr>
            <w:r w:rsidRPr="004E6817">
              <w:rPr>
                <w:bCs/>
              </w:rPr>
              <w:t>29.8 Gb</w:t>
            </w:r>
            <w:r>
              <w:rPr>
                <w:bCs/>
              </w:rPr>
              <w:t>it/</w:t>
            </w:r>
            <w:r w:rsidRPr="004E6817">
              <w:rPr>
                <w:bCs/>
              </w:rPr>
              <w:t>s</w:t>
            </w:r>
          </w:p>
        </w:tc>
      </w:tr>
    </w:tbl>
    <w:p w:rsidR="00BB1D4E" w:rsidRPr="004E6817" w:rsidRDefault="00BB1D4E" w:rsidP="00BB1D4E">
      <w:pPr>
        <w:pStyle w:val="Tablefin"/>
      </w:pPr>
    </w:p>
    <w:p w:rsidR="00BB1D4E" w:rsidRPr="00BB1D4E" w:rsidRDefault="00BB1D4E" w:rsidP="00BB1D4E">
      <w:pPr>
        <w:rPr>
          <w:lang w:val="en-US"/>
        </w:rPr>
      </w:pPr>
      <w:r w:rsidRPr="00BB1D4E">
        <w:rPr>
          <w:lang w:val="en-US"/>
        </w:rPr>
        <w:t>From Table 6 above, it appears the maximum capacity per HAPS is 29.8 Gbit/s.</w:t>
      </w:r>
    </w:p>
    <w:p w:rsidR="00BB1D4E" w:rsidRPr="00BB1D4E" w:rsidRDefault="00BB1D4E" w:rsidP="00BB1D4E">
      <w:pPr>
        <w:pStyle w:val="Heading3"/>
        <w:rPr>
          <w:lang w:val="en-US"/>
        </w:rPr>
      </w:pPr>
      <w:r w:rsidRPr="00BB1D4E">
        <w:rPr>
          <w:lang w:val="en-US"/>
        </w:rPr>
        <w:t>2.2.2</w:t>
      </w:r>
      <w:r w:rsidRPr="00BB1D4E">
        <w:rPr>
          <w:lang w:val="en-US"/>
        </w:rPr>
        <w:tab/>
        <w:t>Top-down approach</w:t>
      </w:r>
    </w:p>
    <w:p w:rsidR="00BB1D4E" w:rsidRPr="00BB1D4E" w:rsidRDefault="00BB1D4E" w:rsidP="00BB1D4E">
      <w:pPr>
        <w:rPr>
          <w:lang w:val="en-US"/>
        </w:rPr>
      </w:pPr>
      <w:r w:rsidRPr="00BB1D4E">
        <w:rPr>
          <w:lang w:val="en-US"/>
        </w:rPr>
        <w:t xml:space="preserve">The forward link capacity is the driving factor for determining the spectrum needs. In the case of heavier than air platform, the maximum forward link capacity will be limited by the maximum available transmit power. The current technology allows a maximum transmit power for that type of platform of around 8 watts for the HAPS to CPEs links (e.g. 500 mW per beam in case of 16 beams towards CPEs). In less than 10 years, it is expected that this value could be double and become </w:t>
      </w:r>
      <w:r w:rsidRPr="00BB1D4E">
        <w:rPr>
          <w:lang w:val="en-US"/>
        </w:rPr>
        <w:lastRenderedPageBreak/>
        <w:t>16 watts. This value of 16 watts is then used in the study to determine the maximum forward link capacity per HAPS.</w:t>
      </w:r>
    </w:p>
    <w:p w:rsidR="00BB1D4E" w:rsidRPr="00BB1D4E" w:rsidRDefault="00BB1D4E" w:rsidP="00BB1D4E">
      <w:pPr>
        <w:rPr>
          <w:lang w:val="en-US"/>
        </w:rPr>
      </w:pPr>
      <w:r w:rsidRPr="00BB1D4E">
        <w:rPr>
          <w:lang w:val="en-US"/>
        </w:rPr>
        <w:t xml:space="preserve">For the heavier than air platform the maximum spectral efficiency of 4 bit/s/Hz is used in the study for the forward link. This corresponds to a </w:t>
      </w:r>
      <w:r w:rsidRPr="00BB1D4E">
        <w:rPr>
          <w:i/>
          <w:iCs/>
          <w:lang w:val="en-US"/>
        </w:rPr>
        <w:t>C</w:t>
      </w:r>
      <w:r w:rsidRPr="00BB1D4E">
        <w:rPr>
          <w:lang w:val="en-US"/>
        </w:rPr>
        <w:t>/</w:t>
      </w:r>
      <w:r w:rsidRPr="00BB1D4E">
        <w:rPr>
          <w:i/>
          <w:iCs/>
          <w:lang w:val="en-US"/>
        </w:rPr>
        <w:t>N</w:t>
      </w:r>
      <w:r w:rsidRPr="00BB1D4E">
        <w:rPr>
          <w:lang w:val="en-US"/>
        </w:rPr>
        <w:t xml:space="preserve"> of 15 dB using DVB-S2X. For transparent platform and in order to obtain a combine </w:t>
      </w:r>
      <w:r w:rsidRPr="00BB1D4E">
        <w:rPr>
          <w:i/>
          <w:iCs/>
          <w:lang w:val="en-US"/>
        </w:rPr>
        <w:t>C</w:t>
      </w:r>
      <w:r w:rsidRPr="00BB1D4E">
        <w:rPr>
          <w:lang w:val="en-US"/>
        </w:rPr>
        <w:t>/</w:t>
      </w:r>
      <w:r w:rsidRPr="00BB1D4E">
        <w:rPr>
          <w:i/>
          <w:iCs/>
          <w:lang w:val="en-US"/>
        </w:rPr>
        <w:t>N</w:t>
      </w:r>
      <w:r w:rsidRPr="00BB1D4E">
        <w:rPr>
          <w:lang w:val="en-US"/>
        </w:rPr>
        <w:t xml:space="preserve"> of 15 dB it is assumed a </w:t>
      </w:r>
      <w:r w:rsidRPr="00BB1D4E">
        <w:rPr>
          <w:i/>
          <w:iCs/>
          <w:lang w:val="en-US"/>
        </w:rPr>
        <w:t>C</w:t>
      </w:r>
      <w:r w:rsidRPr="00BB1D4E">
        <w:rPr>
          <w:lang w:val="en-US"/>
        </w:rPr>
        <w:t>/</w:t>
      </w:r>
      <w:r w:rsidRPr="00BB1D4E">
        <w:rPr>
          <w:i/>
          <w:iCs/>
          <w:lang w:val="en-US"/>
        </w:rPr>
        <w:t>N</w:t>
      </w:r>
      <w:r w:rsidRPr="00BB1D4E">
        <w:rPr>
          <w:lang w:val="en-US"/>
        </w:rPr>
        <w:t xml:space="preserve"> forward uplink of 22 dB and a </w:t>
      </w:r>
      <w:r w:rsidRPr="00BB1D4E">
        <w:rPr>
          <w:i/>
          <w:iCs/>
          <w:lang w:val="en-US"/>
        </w:rPr>
        <w:t>C</w:t>
      </w:r>
      <w:r w:rsidRPr="00B24B6C">
        <w:rPr>
          <w:lang w:val="en-US"/>
        </w:rPr>
        <w:t>/</w:t>
      </w:r>
      <w:r w:rsidRPr="00BB1D4E">
        <w:rPr>
          <w:i/>
          <w:iCs/>
          <w:lang w:val="en-US"/>
        </w:rPr>
        <w:t>N</w:t>
      </w:r>
      <w:r w:rsidRPr="00BB1D4E">
        <w:rPr>
          <w:lang w:val="en-US"/>
        </w:rPr>
        <w:t xml:space="preserve"> forward downlink of 16 dB.</w:t>
      </w:r>
    </w:p>
    <w:p w:rsidR="00BB1D4E" w:rsidRPr="00BB1D4E" w:rsidRDefault="00BB1D4E" w:rsidP="00BB1D4E">
      <w:pPr>
        <w:rPr>
          <w:lang w:val="en-US"/>
        </w:rPr>
      </w:pPr>
      <w:r w:rsidRPr="00BB1D4E">
        <w:rPr>
          <w:lang w:val="en-US"/>
        </w:rPr>
        <w:t>Based on the above assumptions, the maximum forward link downlink budget is derived.</w:t>
      </w:r>
    </w:p>
    <w:p w:rsidR="00BB1D4E" w:rsidRPr="004E6817" w:rsidRDefault="00C60A15" w:rsidP="00BB1D4E">
      <w:pPr>
        <w:pStyle w:val="TableNo"/>
      </w:pPr>
      <w:r w:rsidRPr="004E6817">
        <w:t>TABLE 7</w:t>
      </w:r>
    </w:p>
    <w:p w:rsidR="00BB1D4E" w:rsidRPr="004E6817" w:rsidRDefault="00BB1D4E" w:rsidP="00BB1D4E">
      <w:pPr>
        <w:pStyle w:val="Tabletitle"/>
      </w:pPr>
      <w:r w:rsidRPr="004E6817">
        <w:t>Maximum forward link capacity</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3438"/>
      </w:tblGrid>
      <w:tr w:rsidR="007041B9" w:rsidRPr="004E6817" w:rsidTr="007041B9">
        <w:trPr>
          <w:trHeight w:val="289"/>
          <w:jc w:val="center"/>
        </w:trPr>
        <w:tc>
          <w:tcPr>
            <w:tcW w:w="4070" w:type="dxa"/>
            <w:shd w:val="clear" w:color="auto" w:fill="auto"/>
            <w:noWrap/>
            <w:vAlign w:val="bottom"/>
            <w:hideMark/>
          </w:tcPr>
          <w:p w:rsidR="007041B9" w:rsidRPr="004E6817" w:rsidRDefault="007041B9" w:rsidP="003927B7">
            <w:pPr>
              <w:pStyle w:val="Tablehead"/>
            </w:pPr>
            <w:r w:rsidRPr="004E6817">
              <w:t> </w:t>
            </w:r>
          </w:p>
        </w:tc>
        <w:tc>
          <w:tcPr>
            <w:tcW w:w="3438" w:type="dxa"/>
            <w:shd w:val="clear" w:color="auto" w:fill="auto"/>
            <w:noWrap/>
            <w:vAlign w:val="bottom"/>
            <w:hideMark/>
          </w:tcPr>
          <w:p w:rsidR="007041B9" w:rsidRPr="004E6817" w:rsidRDefault="007041B9" w:rsidP="003927B7">
            <w:pPr>
              <w:pStyle w:val="Tablehead"/>
            </w:pPr>
            <w:r w:rsidRPr="004E6817">
              <w:t>HAPS=&gt;CPE</w:t>
            </w:r>
          </w:p>
        </w:tc>
      </w:tr>
      <w:tr w:rsidR="007041B9" w:rsidRPr="004E6817" w:rsidTr="007041B9">
        <w:trPr>
          <w:trHeight w:val="289"/>
          <w:jc w:val="center"/>
        </w:trPr>
        <w:tc>
          <w:tcPr>
            <w:tcW w:w="4070" w:type="dxa"/>
            <w:vAlign w:val="center"/>
            <w:hideMark/>
          </w:tcPr>
          <w:p w:rsidR="007041B9" w:rsidRPr="004E6817" w:rsidRDefault="007041B9" w:rsidP="003927B7">
            <w:pPr>
              <w:pStyle w:val="Tabletext"/>
            </w:pPr>
            <w:r w:rsidRPr="004E6817">
              <w:t>Availability</w:t>
            </w:r>
            <w:r>
              <w:t xml:space="preserve"> (</w:t>
            </w:r>
            <w:r w:rsidRPr="004E6817">
              <w:t>%</w:t>
            </w:r>
            <w:r>
              <w:t>)</w:t>
            </w:r>
          </w:p>
        </w:tc>
        <w:tc>
          <w:tcPr>
            <w:tcW w:w="3438" w:type="dxa"/>
            <w:shd w:val="clear" w:color="auto" w:fill="auto"/>
            <w:noWrap/>
            <w:vAlign w:val="bottom"/>
            <w:hideMark/>
          </w:tcPr>
          <w:p w:rsidR="007041B9" w:rsidRPr="004E6817" w:rsidRDefault="007041B9" w:rsidP="003927B7">
            <w:pPr>
              <w:pStyle w:val="Tabletext"/>
              <w:jc w:val="center"/>
            </w:pPr>
            <w:r w:rsidRPr="004E6817">
              <w:t>99.6</w:t>
            </w:r>
          </w:p>
        </w:tc>
      </w:tr>
      <w:tr w:rsidR="007041B9" w:rsidRPr="004E6817" w:rsidTr="007041B9">
        <w:trPr>
          <w:trHeight w:val="289"/>
          <w:jc w:val="center"/>
        </w:trPr>
        <w:tc>
          <w:tcPr>
            <w:tcW w:w="4070" w:type="dxa"/>
            <w:shd w:val="clear" w:color="auto" w:fill="auto"/>
            <w:noWrap/>
            <w:vAlign w:val="center"/>
          </w:tcPr>
          <w:p w:rsidR="007041B9" w:rsidRPr="004E6817" w:rsidRDefault="007041B9" w:rsidP="003927B7">
            <w:pPr>
              <w:pStyle w:val="Tabletext"/>
            </w:pPr>
            <w:r w:rsidRPr="004E6817">
              <w:t>CPE location</w:t>
            </w:r>
          </w:p>
        </w:tc>
        <w:tc>
          <w:tcPr>
            <w:tcW w:w="3438" w:type="dxa"/>
            <w:shd w:val="clear" w:color="auto" w:fill="auto"/>
            <w:noWrap/>
            <w:vAlign w:val="bottom"/>
          </w:tcPr>
          <w:p w:rsidR="007041B9" w:rsidRPr="004E6817" w:rsidRDefault="007041B9" w:rsidP="003927B7">
            <w:pPr>
              <w:pStyle w:val="Tabletext"/>
              <w:jc w:val="center"/>
            </w:pPr>
            <w:r w:rsidRPr="004E6817">
              <w:t>Long 7.37° and Lat 9°</w:t>
            </w:r>
          </w:p>
        </w:tc>
      </w:tr>
      <w:tr w:rsidR="007041B9" w:rsidRPr="004E6817" w:rsidTr="007041B9">
        <w:trPr>
          <w:trHeight w:val="192"/>
          <w:jc w:val="center"/>
        </w:trPr>
        <w:tc>
          <w:tcPr>
            <w:tcW w:w="4070" w:type="dxa"/>
            <w:shd w:val="clear" w:color="auto" w:fill="auto"/>
            <w:noWrap/>
            <w:vAlign w:val="center"/>
            <w:hideMark/>
          </w:tcPr>
          <w:p w:rsidR="007041B9" w:rsidRPr="004E6817" w:rsidRDefault="007041B9" w:rsidP="003927B7">
            <w:pPr>
              <w:pStyle w:val="Tabletext"/>
            </w:pPr>
            <w:r w:rsidRPr="004E6817">
              <w:t>Elevation CPE</w:t>
            </w:r>
            <w:r>
              <w:t xml:space="preserve"> (degrees)</w:t>
            </w:r>
          </w:p>
        </w:tc>
        <w:tc>
          <w:tcPr>
            <w:tcW w:w="3438" w:type="dxa"/>
            <w:shd w:val="clear" w:color="auto" w:fill="auto"/>
            <w:noWrap/>
            <w:vAlign w:val="bottom"/>
            <w:hideMark/>
          </w:tcPr>
          <w:p w:rsidR="007041B9" w:rsidRPr="004E6817" w:rsidRDefault="007041B9" w:rsidP="003927B7">
            <w:pPr>
              <w:pStyle w:val="Tabletext"/>
              <w:jc w:val="center"/>
            </w:pPr>
            <w:r w:rsidRPr="004E6817">
              <w:t>20.99</w:t>
            </w:r>
          </w:p>
        </w:tc>
      </w:tr>
      <w:tr w:rsidR="007041B9" w:rsidRPr="004E6817" w:rsidTr="007041B9">
        <w:trPr>
          <w:trHeight w:val="282"/>
          <w:jc w:val="center"/>
        </w:trPr>
        <w:tc>
          <w:tcPr>
            <w:tcW w:w="4070" w:type="dxa"/>
            <w:shd w:val="clear" w:color="auto" w:fill="auto"/>
            <w:noWrap/>
            <w:vAlign w:val="center"/>
            <w:hideMark/>
          </w:tcPr>
          <w:p w:rsidR="007041B9" w:rsidRPr="004E6817" w:rsidRDefault="007041B9" w:rsidP="003927B7">
            <w:pPr>
              <w:pStyle w:val="Tabletext"/>
            </w:pPr>
            <w:r w:rsidRPr="004E6817">
              <w:t>Frequency</w:t>
            </w:r>
            <w:r>
              <w:t xml:space="preserve"> (</w:t>
            </w:r>
            <w:r w:rsidRPr="004E6817">
              <w:t>GHz</w:t>
            </w:r>
            <w:r>
              <w:t>)</w:t>
            </w:r>
          </w:p>
        </w:tc>
        <w:tc>
          <w:tcPr>
            <w:tcW w:w="3438" w:type="dxa"/>
            <w:shd w:val="clear" w:color="auto" w:fill="auto"/>
            <w:noWrap/>
            <w:vAlign w:val="bottom"/>
            <w:hideMark/>
          </w:tcPr>
          <w:p w:rsidR="007041B9" w:rsidRPr="004E6817" w:rsidRDefault="007041B9" w:rsidP="003927B7">
            <w:pPr>
              <w:pStyle w:val="Tabletext"/>
              <w:jc w:val="center"/>
            </w:pPr>
            <w:r w:rsidRPr="004E6817">
              <w:t>26</w:t>
            </w:r>
          </w:p>
        </w:tc>
      </w:tr>
      <w:tr w:rsidR="007041B9" w:rsidRPr="004E6817" w:rsidTr="007041B9">
        <w:trPr>
          <w:trHeight w:val="289"/>
          <w:jc w:val="center"/>
        </w:trPr>
        <w:tc>
          <w:tcPr>
            <w:tcW w:w="4070" w:type="dxa"/>
            <w:shd w:val="clear" w:color="auto" w:fill="auto"/>
            <w:noWrap/>
            <w:vAlign w:val="center"/>
            <w:hideMark/>
          </w:tcPr>
          <w:p w:rsidR="007041B9" w:rsidRPr="004E6817" w:rsidRDefault="007041B9" w:rsidP="003927B7">
            <w:pPr>
              <w:pStyle w:val="Tabletext"/>
            </w:pPr>
            <w:r w:rsidRPr="004E6817">
              <w:t>TX antenna gain</w:t>
            </w:r>
            <w:r>
              <w:t xml:space="preserve"> (</w:t>
            </w:r>
            <w:r w:rsidRPr="004E6817">
              <w:t>dBi</w:t>
            </w:r>
            <w:r>
              <w:t>)</w:t>
            </w:r>
          </w:p>
        </w:tc>
        <w:tc>
          <w:tcPr>
            <w:tcW w:w="3438" w:type="dxa"/>
            <w:shd w:val="clear" w:color="auto" w:fill="auto"/>
            <w:noWrap/>
            <w:vAlign w:val="bottom"/>
            <w:hideMark/>
          </w:tcPr>
          <w:p w:rsidR="007041B9" w:rsidRPr="004E6817" w:rsidRDefault="007041B9" w:rsidP="003927B7">
            <w:pPr>
              <w:pStyle w:val="Tabletext"/>
              <w:jc w:val="center"/>
            </w:pPr>
            <w:r w:rsidRPr="004E6817">
              <w:t>29</w:t>
            </w:r>
          </w:p>
        </w:tc>
      </w:tr>
      <w:tr w:rsidR="007041B9" w:rsidRPr="004E6817" w:rsidTr="007041B9">
        <w:trPr>
          <w:trHeight w:val="289"/>
          <w:jc w:val="center"/>
        </w:trPr>
        <w:tc>
          <w:tcPr>
            <w:tcW w:w="4070" w:type="dxa"/>
            <w:shd w:val="clear" w:color="auto" w:fill="auto"/>
            <w:noWrap/>
            <w:vAlign w:val="center"/>
            <w:hideMark/>
          </w:tcPr>
          <w:p w:rsidR="007041B9" w:rsidRPr="004E6817" w:rsidRDefault="007041B9" w:rsidP="003927B7">
            <w:pPr>
              <w:pStyle w:val="Tabletext"/>
            </w:pPr>
            <w:r w:rsidRPr="004E6817">
              <w:t>TX power</w:t>
            </w:r>
            <w:r>
              <w:t xml:space="preserve"> (</w:t>
            </w:r>
            <w:r w:rsidRPr="004E6817">
              <w:t>dBW</w:t>
            </w:r>
            <w:r>
              <w:t>)</w:t>
            </w:r>
          </w:p>
        </w:tc>
        <w:tc>
          <w:tcPr>
            <w:tcW w:w="3438" w:type="dxa"/>
            <w:shd w:val="clear" w:color="auto" w:fill="auto"/>
            <w:noWrap/>
            <w:vAlign w:val="bottom"/>
            <w:hideMark/>
          </w:tcPr>
          <w:p w:rsidR="007041B9" w:rsidRPr="004E6817" w:rsidRDefault="007041B9" w:rsidP="003927B7">
            <w:pPr>
              <w:pStyle w:val="Tabletext"/>
              <w:jc w:val="center"/>
            </w:pPr>
            <w:r w:rsidRPr="004E6817">
              <w:t>12.00</w:t>
            </w:r>
          </w:p>
        </w:tc>
      </w:tr>
      <w:tr w:rsidR="007041B9" w:rsidRPr="004E6817" w:rsidTr="007041B9">
        <w:trPr>
          <w:trHeight w:val="289"/>
          <w:jc w:val="center"/>
        </w:trPr>
        <w:tc>
          <w:tcPr>
            <w:tcW w:w="4070" w:type="dxa"/>
            <w:shd w:val="clear" w:color="auto" w:fill="auto"/>
            <w:noWrap/>
            <w:vAlign w:val="center"/>
            <w:hideMark/>
          </w:tcPr>
          <w:p w:rsidR="007041B9" w:rsidRPr="004E6817" w:rsidRDefault="007041B9" w:rsidP="003927B7">
            <w:pPr>
              <w:pStyle w:val="Tabletext"/>
            </w:pPr>
            <w:r w:rsidRPr="004E6817">
              <w:t>Output back off</w:t>
            </w:r>
            <w:r>
              <w:t xml:space="preserve"> (</w:t>
            </w:r>
            <w:r w:rsidRPr="004E6817">
              <w:t>dB</w:t>
            </w:r>
            <w:r>
              <w:t>)</w:t>
            </w:r>
          </w:p>
        </w:tc>
        <w:tc>
          <w:tcPr>
            <w:tcW w:w="3438" w:type="dxa"/>
            <w:shd w:val="clear" w:color="auto" w:fill="auto"/>
            <w:noWrap/>
            <w:vAlign w:val="bottom"/>
            <w:hideMark/>
          </w:tcPr>
          <w:p w:rsidR="007041B9" w:rsidRPr="004E6817" w:rsidRDefault="007041B9" w:rsidP="003927B7">
            <w:pPr>
              <w:pStyle w:val="Tabletext"/>
              <w:jc w:val="center"/>
            </w:pPr>
            <w:r w:rsidRPr="004E6817">
              <w:t>4</w:t>
            </w:r>
          </w:p>
        </w:tc>
      </w:tr>
      <w:tr w:rsidR="007041B9" w:rsidRPr="00B24B6C"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e.i.r.p. (dBW</w:t>
            </w:r>
            <w:r>
              <w:rPr>
                <w:lang w:val="en-GB"/>
              </w:rPr>
              <w:t>)</w:t>
            </w:r>
          </w:p>
        </w:tc>
        <w:tc>
          <w:tcPr>
            <w:tcW w:w="3438" w:type="dxa"/>
            <w:shd w:val="clear" w:color="auto" w:fill="auto"/>
            <w:noWrap/>
            <w:vAlign w:val="bottom"/>
            <w:hideMark/>
          </w:tcPr>
          <w:p w:rsidR="007041B9" w:rsidRPr="00B24B6C" w:rsidRDefault="007041B9" w:rsidP="003927B7">
            <w:pPr>
              <w:pStyle w:val="Tabletext"/>
              <w:jc w:val="center"/>
              <w:rPr>
                <w:lang w:val="en-GB"/>
              </w:rPr>
            </w:pPr>
            <w:r w:rsidRPr="00B24B6C">
              <w:rPr>
                <w:lang w:val="en-GB"/>
              </w:rPr>
              <w:t>37.0</w:t>
            </w:r>
          </w:p>
        </w:tc>
      </w:tr>
      <w:tr w:rsidR="007041B9" w:rsidRPr="00B24B6C"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Free space loss</w:t>
            </w:r>
            <w:r>
              <w:rPr>
                <w:lang w:val="en-GB"/>
              </w:rPr>
              <w:t xml:space="preserve"> (</w:t>
            </w:r>
            <w:r w:rsidRPr="00B24B6C">
              <w:rPr>
                <w:lang w:val="en-GB"/>
              </w:rPr>
              <w:t>dB</w:t>
            </w:r>
            <w:r>
              <w:rPr>
                <w:lang w:val="en-GB"/>
              </w:rPr>
              <w:t>)</w:t>
            </w:r>
          </w:p>
        </w:tc>
        <w:tc>
          <w:tcPr>
            <w:tcW w:w="3438" w:type="dxa"/>
            <w:shd w:val="clear" w:color="auto" w:fill="auto"/>
            <w:noWrap/>
            <w:vAlign w:val="bottom"/>
            <w:hideMark/>
          </w:tcPr>
          <w:p w:rsidR="007041B9" w:rsidRPr="00B24B6C" w:rsidRDefault="007041B9" w:rsidP="003927B7">
            <w:pPr>
              <w:pStyle w:val="Tabletext"/>
              <w:jc w:val="center"/>
              <w:rPr>
                <w:lang w:val="en-GB"/>
              </w:rPr>
            </w:pPr>
            <w:r w:rsidRPr="00B24B6C">
              <w:rPr>
                <w:lang w:val="en-GB"/>
              </w:rPr>
              <w:t>155.37</w:t>
            </w:r>
          </w:p>
        </w:tc>
      </w:tr>
      <w:tr w:rsidR="007041B9" w:rsidRPr="00B24B6C"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Atm. gas attenuation</w:t>
            </w:r>
            <w:r>
              <w:rPr>
                <w:lang w:val="en-GB"/>
              </w:rPr>
              <w:t xml:space="preserve"> (</w:t>
            </w:r>
            <w:r w:rsidRPr="00B24B6C">
              <w:rPr>
                <w:lang w:val="en-GB"/>
              </w:rPr>
              <w:t>dB</w:t>
            </w:r>
            <w:r>
              <w:rPr>
                <w:lang w:val="en-GB"/>
              </w:rPr>
              <w:t>)</w:t>
            </w:r>
          </w:p>
        </w:tc>
        <w:tc>
          <w:tcPr>
            <w:tcW w:w="3438" w:type="dxa"/>
            <w:shd w:val="clear" w:color="auto" w:fill="auto"/>
            <w:noWrap/>
            <w:vAlign w:val="bottom"/>
            <w:hideMark/>
          </w:tcPr>
          <w:p w:rsidR="007041B9" w:rsidRPr="00B24B6C" w:rsidRDefault="007041B9" w:rsidP="003927B7">
            <w:pPr>
              <w:pStyle w:val="Tabletext"/>
              <w:jc w:val="center"/>
              <w:rPr>
                <w:lang w:val="en-GB"/>
              </w:rPr>
            </w:pPr>
            <w:r w:rsidRPr="00B24B6C">
              <w:rPr>
                <w:lang w:val="en-GB"/>
              </w:rPr>
              <w:t>0.42</w:t>
            </w:r>
          </w:p>
        </w:tc>
      </w:tr>
      <w:tr w:rsidR="007041B9" w:rsidRPr="00B24B6C"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Rain attenuation</w:t>
            </w:r>
            <w:r>
              <w:rPr>
                <w:lang w:val="en-GB"/>
              </w:rPr>
              <w:t xml:space="preserve"> (</w:t>
            </w:r>
            <w:r w:rsidRPr="00B24B6C">
              <w:rPr>
                <w:lang w:val="en-GB"/>
              </w:rPr>
              <w:t>dB</w:t>
            </w:r>
            <w:r>
              <w:rPr>
                <w:lang w:val="en-GB"/>
              </w:rPr>
              <w:t>)</w:t>
            </w:r>
          </w:p>
        </w:tc>
        <w:tc>
          <w:tcPr>
            <w:tcW w:w="3438" w:type="dxa"/>
            <w:shd w:val="clear" w:color="auto" w:fill="auto"/>
            <w:noWrap/>
            <w:vAlign w:val="bottom"/>
            <w:hideMark/>
          </w:tcPr>
          <w:p w:rsidR="007041B9" w:rsidRPr="00B24B6C" w:rsidRDefault="007041B9" w:rsidP="003927B7">
            <w:pPr>
              <w:pStyle w:val="Tabletext"/>
              <w:jc w:val="center"/>
              <w:rPr>
                <w:lang w:val="en-GB"/>
              </w:rPr>
            </w:pPr>
            <w:r w:rsidRPr="00B24B6C">
              <w:rPr>
                <w:lang w:val="en-GB"/>
              </w:rPr>
              <w:t>14.77</w:t>
            </w:r>
          </w:p>
        </w:tc>
      </w:tr>
      <w:tr w:rsidR="007041B9" w:rsidRPr="00B24B6C"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 xml:space="preserve">Maximum RX gain </w:t>
            </w:r>
            <w:r>
              <w:rPr>
                <w:lang w:val="en-GB"/>
              </w:rPr>
              <w:t>(</w:t>
            </w:r>
            <w:r w:rsidRPr="00B24B6C">
              <w:rPr>
                <w:lang w:val="en-GB"/>
              </w:rPr>
              <w:t>dBi</w:t>
            </w:r>
            <w:r>
              <w:rPr>
                <w:lang w:val="en-GB"/>
              </w:rPr>
              <w:t>)</w:t>
            </w:r>
          </w:p>
        </w:tc>
        <w:tc>
          <w:tcPr>
            <w:tcW w:w="3438" w:type="dxa"/>
            <w:shd w:val="clear" w:color="auto" w:fill="auto"/>
            <w:noWrap/>
            <w:vAlign w:val="bottom"/>
            <w:hideMark/>
          </w:tcPr>
          <w:p w:rsidR="007041B9" w:rsidRPr="00B24B6C" w:rsidRDefault="007041B9" w:rsidP="003927B7">
            <w:pPr>
              <w:pStyle w:val="Tabletext"/>
              <w:jc w:val="center"/>
              <w:rPr>
                <w:lang w:val="en-GB"/>
              </w:rPr>
            </w:pPr>
            <w:r w:rsidRPr="00B24B6C">
              <w:rPr>
                <w:lang w:val="en-GB"/>
              </w:rPr>
              <w:t>47</w:t>
            </w:r>
          </w:p>
        </w:tc>
      </w:tr>
      <w:tr w:rsidR="007041B9" w:rsidRPr="004E6817" w:rsidTr="007041B9">
        <w:trPr>
          <w:trHeight w:val="289"/>
          <w:jc w:val="center"/>
        </w:trPr>
        <w:tc>
          <w:tcPr>
            <w:tcW w:w="4070" w:type="dxa"/>
            <w:shd w:val="clear" w:color="auto" w:fill="auto"/>
            <w:noWrap/>
            <w:vAlign w:val="bottom"/>
            <w:hideMark/>
          </w:tcPr>
          <w:p w:rsidR="007041B9" w:rsidRPr="00B24B6C" w:rsidRDefault="007041B9" w:rsidP="003927B7">
            <w:pPr>
              <w:pStyle w:val="Tabletext"/>
              <w:rPr>
                <w:lang w:val="en-GB"/>
              </w:rPr>
            </w:pPr>
            <w:r w:rsidRPr="00B24B6C">
              <w:rPr>
                <w:lang w:val="en-GB"/>
              </w:rPr>
              <w:t>G/T</w:t>
            </w:r>
            <w:r>
              <w:rPr>
                <w:lang w:val="en-GB"/>
              </w:rPr>
              <w:t xml:space="preserve"> (</w:t>
            </w:r>
            <w:r w:rsidRPr="00B24B6C">
              <w:rPr>
                <w:lang w:val="en-GB"/>
              </w:rPr>
              <w:t>dB/</w:t>
            </w:r>
            <w:r w:rsidRPr="004E6817">
              <w:t>K</w:t>
            </w:r>
            <w:r>
              <w:t>)</w:t>
            </w:r>
          </w:p>
        </w:tc>
        <w:tc>
          <w:tcPr>
            <w:tcW w:w="3438" w:type="dxa"/>
            <w:shd w:val="clear" w:color="auto" w:fill="auto"/>
            <w:noWrap/>
            <w:vAlign w:val="bottom"/>
            <w:hideMark/>
          </w:tcPr>
          <w:p w:rsidR="007041B9" w:rsidRPr="004E6817" w:rsidRDefault="007041B9" w:rsidP="003927B7">
            <w:pPr>
              <w:pStyle w:val="Tabletext"/>
              <w:jc w:val="center"/>
            </w:pPr>
            <w:r w:rsidRPr="004E6817">
              <w:t>22.1</w:t>
            </w:r>
          </w:p>
        </w:tc>
      </w:tr>
      <w:tr w:rsidR="007041B9" w:rsidRPr="004E6817" w:rsidTr="007041B9">
        <w:trPr>
          <w:trHeight w:val="289"/>
          <w:jc w:val="center"/>
        </w:trPr>
        <w:tc>
          <w:tcPr>
            <w:tcW w:w="4070" w:type="dxa"/>
            <w:shd w:val="clear" w:color="auto" w:fill="auto"/>
            <w:noWrap/>
            <w:vAlign w:val="bottom"/>
            <w:hideMark/>
          </w:tcPr>
          <w:p w:rsidR="007041B9" w:rsidRPr="004E6817" w:rsidRDefault="007041B9" w:rsidP="003927B7">
            <w:pPr>
              <w:pStyle w:val="Tabletext"/>
            </w:pPr>
            <w:r w:rsidRPr="004E6817">
              <w:t>Boltzmann</w:t>
            </w:r>
            <w:r>
              <w:t xml:space="preserve"> (</w:t>
            </w:r>
            <w:r w:rsidRPr="004E6817">
              <w:t>dB</w:t>
            </w:r>
            <w:r>
              <w:t>)</w:t>
            </w:r>
          </w:p>
        </w:tc>
        <w:tc>
          <w:tcPr>
            <w:tcW w:w="3438" w:type="dxa"/>
            <w:shd w:val="clear" w:color="auto" w:fill="auto"/>
            <w:noWrap/>
            <w:vAlign w:val="bottom"/>
            <w:hideMark/>
          </w:tcPr>
          <w:p w:rsidR="007041B9" w:rsidRPr="004E6817" w:rsidRDefault="007041B9" w:rsidP="00C60A15">
            <w:pPr>
              <w:pStyle w:val="Tabletext"/>
              <w:jc w:val="center"/>
            </w:pPr>
            <w:r>
              <w:t>−</w:t>
            </w:r>
            <w:r w:rsidRPr="004E6817">
              <w:t>228.60</w:t>
            </w:r>
          </w:p>
        </w:tc>
      </w:tr>
      <w:tr w:rsidR="007041B9" w:rsidRPr="004E6817" w:rsidTr="007041B9">
        <w:trPr>
          <w:trHeight w:val="289"/>
          <w:jc w:val="center"/>
        </w:trPr>
        <w:tc>
          <w:tcPr>
            <w:tcW w:w="4070" w:type="dxa"/>
            <w:shd w:val="clear" w:color="auto" w:fill="auto"/>
            <w:noWrap/>
            <w:vAlign w:val="bottom"/>
            <w:hideMark/>
          </w:tcPr>
          <w:p w:rsidR="007041B9" w:rsidRPr="004E6817" w:rsidRDefault="007041B9" w:rsidP="003927B7">
            <w:pPr>
              <w:pStyle w:val="Tabletext"/>
            </w:pPr>
            <w:r w:rsidRPr="00FC005C">
              <w:rPr>
                <w:i/>
                <w:iCs/>
              </w:rPr>
              <w:t>C</w:t>
            </w:r>
            <w:r w:rsidRPr="004E6817">
              <w:t>/</w:t>
            </w:r>
            <w:r w:rsidRPr="00FC005C">
              <w:rPr>
                <w:i/>
                <w:iCs/>
              </w:rPr>
              <w:t>N</w:t>
            </w:r>
            <w:r w:rsidRPr="00B24B6C">
              <w:t>o</w:t>
            </w:r>
            <w:r>
              <w:t xml:space="preserve"> (</w:t>
            </w:r>
            <w:r w:rsidRPr="004E6817">
              <w:t>dBHz</w:t>
            </w:r>
            <w:r>
              <w:t>)</w:t>
            </w:r>
          </w:p>
        </w:tc>
        <w:tc>
          <w:tcPr>
            <w:tcW w:w="3438" w:type="dxa"/>
            <w:shd w:val="clear" w:color="auto" w:fill="auto"/>
            <w:noWrap/>
            <w:vAlign w:val="bottom"/>
            <w:hideMark/>
          </w:tcPr>
          <w:p w:rsidR="007041B9" w:rsidRPr="004E6817" w:rsidRDefault="007041B9" w:rsidP="003927B7">
            <w:pPr>
              <w:pStyle w:val="Tabletext"/>
              <w:jc w:val="center"/>
            </w:pPr>
            <w:r w:rsidRPr="004E6817">
              <w:t>117.14</w:t>
            </w:r>
          </w:p>
        </w:tc>
      </w:tr>
      <w:tr w:rsidR="007041B9" w:rsidRPr="004E6817" w:rsidTr="007041B9">
        <w:trPr>
          <w:trHeight w:val="289"/>
          <w:jc w:val="center"/>
        </w:trPr>
        <w:tc>
          <w:tcPr>
            <w:tcW w:w="4070" w:type="dxa"/>
            <w:shd w:val="clear" w:color="auto" w:fill="auto"/>
            <w:noWrap/>
            <w:vAlign w:val="bottom"/>
            <w:hideMark/>
          </w:tcPr>
          <w:p w:rsidR="007041B9" w:rsidRPr="004E6817" w:rsidRDefault="007041B9" w:rsidP="003927B7">
            <w:pPr>
              <w:pStyle w:val="Tabletext"/>
            </w:pPr>
            <w:r w:rsidRPr="004E6817">
              <w:t>Bandwidth</w:t>
            </w:r>
            <w:r>
              <w:t xml:space="preserve"> (</w:t>
            </w:r>
            <w:r w:rsidRPr="004E6817">
              <w:t>GHz</w:t>
            </w:r>
            <w:r>
              <w:t>)</w:t>
            </w:r>
          </w:p>
        </w:tc>
        <w:tc>
          <w:tcPr>
            <w:tcW w:w="3438" w:type="dxa"/>
            <w:shd w:val="clear" w:color="auto" w:fill="auto"/>
            <w:noWrap/>
            <w:vAlign w:val="bottom"/>
            <w:hideMark/>
          </w:tcPr>
          <w:p w:rsidR="007041B9" w:rsidRPr="004E6817" w:rsidRDefault="007041B9" w:rsidP="003927B7">
            <w:pPr>
              <w:pStyle w:val="Tabletext"/>
              <w:jc w:val="center"/>
            </w:pPr>
            <w:r w:rsidRPr="004E6817">
              <w:t>7.200</w:t>
            </w:r>
          </w:p>
        </w:tc>
      </w:tr>
      <w:tr w:rsidR="007041B9" w:rsidRPr="004E6817" w:rsidTr="007041B9">
        <w:trPr>
          <w:trHeight w:val="289"/>
          <w:jc w:val="center"/>
        </w:trPr>
        <w:tc>
          <w:tcPr>
            <w:tcW w:w="4070" w:type="dxa"/>
            <w:shd w:val="clear" w:color="auto" w:fill="auto"/>
            <w:noWrap/>
            <w:vAlign w:val="bottom"/>
            <w:hideMark/>
          </w:tcPr>
          <w:p w:rsidR="007041B9" w:rsidRPr="004E6817" w:rsidRDefault="007041B9" w:rsidP="003927B7">
            <w:pPr>
              <w:pStyle w:val="Tabletext"/>
            </w:pPr>
            <w:r w:rsidRPr="004E6817">
              <w:t>Pointing loss</w:t>
            </w:r>
            <w:r>
              <w:t xml:space="preserve"> (</w:t>
            </w:r>
            <w:r w:rsidRPr="004E6817">
              <w:t>dB</w:t>
            </w:r>
            <w:r>
              <w:t>)</w:t>
            </w:r>
          </w:p>
        </w:tc>
        <w:tc>
          <w:tcPr>
            <w:tcW w:w="3438" w:type="dxa"/>
            <w:shd w:val="clear" w:color="auto" w:fill="auto"/>
            <w:noWrap/>
            <w:vAlign w:val="bottom"/>
            <w:hideMark/>
          </w:tcPr>
          <w:p w:rsidR="007041B9" w:rsidRPr="004E6817" w:rsidRDefault="007041B9" w:rsidP="003927B7">
            <w:pPr>
              <w:pStyle w:val="Tabletext"/>
              <w:jc w:val="center"/>
            </w:pPr>
            <w:r w:rsidRPr="004E6817">
              <w:t>0.50</w:t>
            </w:r>
          </w:p>
        </w:tc>
      </w:tr>
      <w:tr w:rsidR="007041B9" w:rsidRPr="004E6817" w:rsidTr="007041B9">
        <w:trPr>
          <w:trHeight w:val="289"/>
          <w:jc w:val="center"/>
        </w:trPr>
        <w:tc>
          <w:tcPr>
            <w:tcW w:w="4070" w:type="dxa"/>
            <w:shd w:val="clear" w:color="auto" w:fill="auto"/>
            <w:noWrap/>
            <w:vAlign w:val="bottom"/>
            <w:hideMark/>
          </w:tcPr>
          <w:p w:rsidR="007041B9" w:rsidRPr="00B24B6C" w:rsidRDefault="007041B9" w:rsidP="00C60A15">
            <w:pPr>
              <w:pStyle w:val="Tabletext"/>
              <w:rPr>
                <w:iCs/>
              </w:rPr>
            </w:pPr>
            <w:r w:rsidRPr="00FC005C">
              <w:rPr>
                <w:i/>
              </w:rPr>
              <w:t>C</w:t>
            </w:r>
            <w:r w:rsidRPr="004E6817">
              <w:rPr>
                <w:iCs/>
              </w:rPr>
              <w:t>/</w:t>
            </w:r>
            <w:r w:rsidRPr="00FC005C">
              <w:rPr>
                <w:i/>
              </w:rPr>
              <w:t>N</w:t>
            </w:r>
            <w:r>
              <w:rPr>
                <w:iCs/>
              </w:rPr>
              <w:t xml:space="preserve"> (</w:t>
            </w:r>
            <w:r w:rsidRPr="004E6817">
              <w:t>dB</w:t>
            </w:r>
            <w:r>
              <w:t>)</w:t>
            </w:r>
          </w:p>
        </w:tc>
        <w:tc>
          <w:tcPr>
            <w:tcW w:w="3438" w:type="dxa"/>
            <w:shd w:val="clear" w:color="auto" w:fill="auto"/>
            <w:noWrap/>
            <w:vAlign w:val="bottom"/>
            <w:hideMark/>
          </w:tcPr>
          <w:p w:rsidR="007041B9" w:rsidRPr="004E6817" w:rsidRDefault="007041B9" w:rsidP="003927B7">
            <w:pPr>
              <w:pStyle w:val="Tabletext"/>
              <w:jc w:val="center"/>
            </w:pPr>
            <w:r w:rsidRPr="004E6817">
              <w:t>18.07</w:t>
            </w:r>
          </w:p>
        </w:tc>
      </w:tr>
      <w:tr w:rsidR="007041B9" w:rsidRPr="004E6817" w:rsidTr="007041B9">
        <w:trPr>
          <w:trHeight w:val="289"/>
          <w:jc w:val="center"/>
        </w:trPr>
        <w:tc>
          <w:tcPr>
            <w:tcW w:w="4070" w:type="dxa"/>
            <w:shd w:val="clear" w:color="auto" w:fill="auto"/>
            <w:noWrap/>
            <w:vAlign w:val="bottom"/>
          </w:tcPr>
          <w:p w:rsidR="007041B9" w:rsidRPr="004E6817" w:rsidRDefault="007041B9" w:rsidP="003927B7">
            <w:pPr>
              <w:pStyle w:val="Tabletext"/>
            </w:pPr>
            <w:r w:rsidRPr="004E6817">
              <w:t>Margin</w:t>
            </w:r>
            <w:r>
              <w:t xml:space="preserve"> (</w:t>
            </w:r>
            <w:r w:rsidRPr="004E6817">
              <w:t>dB</w:t>
            </w:r>
            <w:r>
              <w:t>)</w:t>
            </w:r>
          </w:p>
        </w:tc>
        <w:tc>
          <w:tcPr>
            <w:tcW w:w="3438" w:type="dxa"/>
            <w:shd w:val="clear" w:color="auto" w:fill="auto"/>
            <w:noWrap/>
            <w:vAlign w:val="bottom"/>
          </w:tcPr>
          <w:p w:rsidR="007041B9" w:rsidRPr="004E6817" w:rsidRDefault="007041B9" w:rsidP="003927B7">
            <w:pPr>
              <w:pStyle w:val="Tabletext"/>
              <w:jc w:val="center"/>
            </w:pPr>
            <w:r w:rsidRPr="004E6817">
              <w:t>2.07</w:t>
            </w:r>
          </w:p>
        </w:tc>
      </w:tr>
      <w:tr w:rsidR="007041B9" w:rsidRPr="004E6817" w:rsidTr="007041B9">
        <w:trPr>
          <w:trHeight w:val="289"/>
          <w:jc w:val="center"/>
        </w:trPr>
        <w:tc>
          <w:tcPr>
            <w:tcW w:w="4070" w:type="dxa"/>
            <w:shd w:val="clear" w:color="auto" w:fill="auto"/>
            <w:noWrap/>
            <w:vAlign w:val="bottom"/>
          </w:tcPr>
          <w:p w:rsidR="007041B9" w:rsidRPr="00B24B6C" w:rsidRDefault="007041B9" w:rsidP="003927B7">
            <w:pPr>
              <w:pStyle w:val="Tabletext"/>
              <w:rPr>
                <w:lang w:val="en-GB"/>
              </w:rPr>
            </w:pPr>
            <w:r w:rsidRPr="00B24B6C">
              <w:rPr>
                <w:lang w:val="en-GB"/>
              </w:rPr>
              <w:t xml:space="preserve">Spectral efficiency </w:t>
            </w:r>
            <w:r>
              <w:rPr>
                <w:lang w:val="en-GB"/>
              </w:rPr>
              <w:t>(</w:t>
            </w:r>
            <w:r w:rsidRPr="00B24B6C">
              <w:rPr>
                <w:lang w:val="en-GB"/>
              </w:rPr>
              <w:t>bit/s/Hz</w:t>
            </w:r>
            <w:r>
              <w:rPr>
                <w:lang w:val="en-GB"/>
              </w:rPr>
              <w:t>)</w:t>
            </w:r>
          </w:p>
        </w:tc>
        <w:tc>
          <w:tcPr>
            <w:tcW w:w="3438" w:type="dxa"/>
            <w:shd w:val="clear" w:color="auto" w:fill="auto"/>
            <w:noWrap/>
            <w:vAlign w:val="bottom"/>
          </w:tcPr>
          <w:p w:rsidR="007041B9" w:rsidRPr="004E6817" w:rsidRDefault="007041B9" w:rsidP="003927B7">
            <w:pPr>
              <w:pStyle w:val="Tabletext"/>
              <w:jc w:val="center"/>
            </w:pPr>
            <w:r w:rsidRPr="004E6817">
              <w:t>4</w:t>
            </w:r>
          </w:p>
        </w:tc>
      </w:tr>
      <w:tr w:rsidR="007041B9" w:rsidRPr="004E6817" w:rsidTr="007041B9">
        <w:trPr>
          <w:trHeight w:val="67"/>
          <w:jc w:val="center"/>
        </w:trPr>
        <w:tc>
          <w:tcPr>
            <w:tcW w:w="4070" w:type="dxa"/>
            <w:shd w:val="clear" w:color="auto" w:fill="auto"/>
            <w:noWrap/>
            <w:vAlign w:val="bottom"/>
          </w:tcPr>
          <w:p w:rsidR="007041B9" w:rsidRPr="004E6817" w:rsidRDefault="007041B9" w:rsidP="003927B7">
            <w:pPr>
              <w:pStyle w:val="Tabletext"/>
            </w:pPr>
            <w:r w:rsidRPr="004E6817">
              <w:t>Maximum capacity</w:t>
            </w:r>
            <w:r>
              <w:t xml:space="preserve"> (</w:t>
            </w:r>
            <w:r w:rsidRPr="004E6817">
              <w:t>Gb</w:t>
            </w:r>
            <w:r>
              <w:t>it/</w:t>
            </w:r>
            <w:r w:rsidRPr="004E6817">
              <w:t>s</w:t>
            </w:r>
            <w:r>
              <w:t>)</w:t>
            </w:r>
          </w:p>
        </w:tc>
        <w:tc>
          <w:tcPr>
            <w:tcW w:w="3438" w:type="dxa"/>
            <w:shd w:val="clear" w:color="auto" w:fill="auto"/>
            <w:noWrap/>
            <w:vAlign w:val="bottom"/>
          </w:tcPr>
          <w:p w:rsidR="007041B9" w:rsidRPr="004E6817" w:rsidRDefault="007041B9" w:rsidP="003927B7">
            <w:pPr>
              <w:pStyle w:val="Tabletext"/>
              <w:jc w:val="center"/>
              <w:rPr>
                <w:b/>
              </w:rPr>
            </w:pPr>
            <w:r w:rsidRPr="004E6817">
              <w:rPr>
                <w:b/>
              </w:rPr>
              <w:t>28.8</w:t>
            </w:r>
          </w:p>
        </w:tc>
      </w:tr>
    </w:tbl>
    <w:p w:rsidR="00BB1D4E" w:rsidRPr="004E6817" w:rsidRDefault="00BB1D4E" w:rsidP="00BB1D4E">
      <w:pPr>
        <w:pStyle w:val="Tablefin"/>
      </w:pPr>
    </w:p>
    <w:p w:rsidR="00BB1D4E" w:rsidRPr="00BB1D4E" w:rsidRDefault="00BB1D4E" w:rsidP="00BB1D4E">
      <w:pPr>
        <w:rPr>
          <w:lang w:val="en-US"/>
        </w:rPr>
      </w:pPr>
      <w:r w:rsidRPr="00BB1D4E">
        <w:rPr>
          <w:lang w:val="en-US"/>
        </w:rPr>
        <w:t xml:space="preserve">The maximum forward link capacity per HAPS for System 2 is 28.8 Gbit/s. The ratio between forward link and return link is assumed to be 22% and therefore the associated maximum return link capacity is 6.34 Gbit/s. </w:t>
      </w:r>
    </w:p>
    <w:p w:rsidR="00BB1D4E" w:rsidRPr="00BB1D4E" w:rsidRDefault="00BB1D4E" w:rsidP="00BB1D4E">
      <w:pPr>
        <w:pStyle w:val="Heading1"/>
        <w:rPr>
          <w:lang w:val="en-US"/>
        </w:rPr>
      </w:pPr>
      <w:r w:rsidRPr="00BB1D4E">
        <w:rPr>
          <w:lang w:val="en-US"/>
        </w:rPr>
        <w:t>3</w:t>
      </w:r>
      <w:r w:rsidRPr="00BB1D4E">
        <w:rPr>
          <w:lang w:val="en-US"/>
        </w:rPr>
        <w:tab/>
        <w:t>Capacity analysis for System 5</w:t>
      </w:r>
    </w:p>
    <w:p w:rsidR="00BB1D4E" w:rsidRPr="00BB1D4E" w:rsidRDefault="00BB1D4E" w:rsidP="00BB1D4E">
      <w:pPr>
        <w:pStyle w:val="Heading2"/>
        <w:rPr>
          <w:lang w:val="en-US"/>
        </w:rPr>
      </w:pPr>
      <w:r w:rsidRPr="00BB1D4E">
        <w:rPr>
          <w:lang w:val="en-US"/>
        </w:rPr>
        <w:t>3.1</w:t>
      </w:r>
      <w:r w:rsidRPr="00BB1D4E">
        <w:rPr>
          <w:lang w:val="en-US"/>
        </w:rPr>
        <w:tab/>
        <w:t>HAPS broadband capacity demand</w:t>
      </w:r>
    </w:p>
    <w:p w:rsidR="00BB1D4E" w:rsidRPr="00BB1D4E" w:rsidRDefault="00BB1D4E" w:rsidP="00BB1D4E">
      <w:pPr>
        <w:rPr>
          <w:lang w:val="en-US"/>
        </w:rPr>
      </w:pPr>
      <w:r w:rsidRPr="00BB1D4E">
        <w:rPr>
          <w:lang w:val="en-US"/>
        </w:rPr>
        <w:t>B</w:t>
      </w:r>
      <w:r w:rsidRPr="00BB1D4E">
        <w:rPr>
          <w:lang w:val="en-US" w:eastAsia="zh-CN"/>
        </w:rPr>
        <w:t>esi</w:t>
      </w:r>
      <w:r w:rsidRPr="00BB1D4E">
        <w:rPr>
          <w:lang w:val="en-US"/>
        </w:rPr>
        <w:t xml:space="preserve">des, </w:t>
      </w:r>
      <w:r w:rsidRPr="00BB1D4E">
        <w:rPr>
          <w:lang w:val="en-US" w:eastAsia="zh-CN"/>
        </w:rPr>
        <w:t>c</w:t>
      </w:r>
      <w:r w:rsidRPr="00BB1D4E">
        <w:rPr>
          <w:lang w:val="en-US"/>
        </w:rPr>
        <w:t xml:space="preserve">onsidering that HAPS system might be deployed in the area </w:t>
      </w:r>
      <w:r w:rsidRPr="00BB1D4E">
        <w:rPr>
          <w:lang w:val="en-US" w:eastAsia="zh-CN"/>
        </w:rPr>
        <w:t>lacking</w:t>
      </w:r>
      <w:r w:rsidRPr="00BB1D4E">
        <w:rPr>
          <w:lang w:val="en-US"/>
        </w:rPr>
        <w:t xml:space="preserve"> of commercial terrestrial telecommunication systems due to construction difficulty, low population density might be </w:t>
      </w:r>
      <w:r w:rsidRPr="00BB1D4E">
        <w:rPr>
          <w:lang w:val="en-US"/>
        </w:rPr>
        <w:lastRenderedPageBreak/>
        <w:t>considered. Providing connectivity to underserved communities with minimal ground-level infrastructure and maintenance, HAPS system can therefore be an effective tool to help closing the digital divide in rural and remote communities, particularly those with challenging terrain or climate. Therefore, the areas with low population density scenarios should be considered.</w:t>
      </w:r>
    </w:p>
    <w:p w:rsidR="00BB1D4E" w:rsidRPr="00BB1D4E" w:rsidRDefault="00BB1D4E" w:rsidP="00BB1D4E">
      <w:pPr>
        <w:rPr>
          <w:lang w:val="en-US"/>
        </w:rPr>
      </w:pPr>
      <w:r w:rsidRPr="00BB1D4E">
        <w:rPr>
          <w:lang w:val="en-US"/>
        </w:rPr>
        <w:t>At minimal ground-level infrastructure and maintenance place, according the population statistics in 2015 in the west of China, namely more than one third of land area in Chinese, average population density was 9.05 inhabitants/km</w:t>
      </w:r>
      <w:r w:rsidRPr="00BB1D4E">
        <w:rPr>
          <w:vertAlign w:val="superscript"/>
          <w:lang w:val="en-US"/>
        </w:rPr>
        <w:t>2</w:t>
      </w:r>
      <w:r w:rsidRPr="00BB1D4E">
        <w:rPr>
          <w:lang w:val="en-US"/>
        </w:rPr>
        <w:t>, and it could be increased to around 9.54 inhabitants/km</w:t>
      </w:r>
      <w:r w:rsidRPr="00BB1D4E">
        <w:rPr>
          <w:vertAlign w:val="superscript"/>
          <w:lang w:val="en-US"/>
        </w:rPr>
        <w:t>2</w:t>
      </w:r>
      <w:r w:rsidRPr="00BB1D4E">
        <w:rPr>
          <w:lang w:val="en-US"/>
        </w:rPr>
        <w:t xml:space="preserve"> in 2020 by considering an annual natural population growth rate of 1.05%. In the following calculation </w:t>
      </w:r>
      <w:r w:rsidRPr="00BB1D4E">
        <w:rPr>
          <w:lang w:val="en-US" w:eastAsia="zh-CN"/>
        </w:rPr>
        <w:t>the population density is round up slightly to 10 inhabitants/</w:t>
      </w:r>
      <w:r w:rsidRPr="00BB1D4E">
        <w:rPr>
          <w:lang w:val="en-US"/>
        </w:rPr>
        <w:t xml:space="preserve"> km</w:t>
      </w:r>
      <w:r w:rsidRPr="00BB1D4E">
        <w:rPr>
          <w:vertAlign w:val="superscript"/>
          <w:lang w:val="en-US"/>
        </w:rPr>
        <w:t>2</w:t>
      </w:r>
      <w:r w:rsidRPr="00BB1D4E">
        <w:rPr>
          <w:lang w:val="en-US"/>
        </w:rPr>
        <w:t>.</w:t>
      </w:r>
    </w:p>
    <w:p w:rsidR="00BB1D4E" w:rsidRPr="004E6817" w:rsidRDefault="00C60A15" w:rsidP="00BB1D4E">
      <w:pPr>
        <w:pStyle w:val="TableNo"/>
      </w:pPr>
      <w:r w:rsidRPr="004E6817">
        <w:t xml:space="preserve">TABLE </w:t>
      </w:r>
      <w:r w:rsidR="00BB1D4E" w:rsidRPr="004E6817">
        <w:t>8</w:t>
      </w:r>
    </w:p>
    <w:p w:rsidR="00BB1D4E" w:rsidRPr="004E6817" w:rsidRDefault="00BB1D4E" w:rsidP="00BB1D4E">
      <w:pPr>
        <w:pStyle w:val="Tabletitle"/>
      </w:pPr>
      <w:r w:rsidRPr="004E6817">
        <w:t>Traffic model</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1546"/>
        <w:gridCol w:w="4549"/>
      </w:tblGrid>
      <w:tr w:rsidR="00BB1D4E" w:rsidRPr="004E6817" w:rsidTr="00AA2CBE">
        <w:trPr>
          <w:trHeight w:val="312"/>
        </w:trPr>
        <w:tc>
          <w:tcPr>
            <w:tcW w:w="3552" w:type="dxa"/>
            <w:vAlign w:val="center"/>
            <w:hideMark/>
          </w:tcPr>
          <w:p w:rsidR="00BB1D4E" w:rsidRPr="004E6817" w:rsidRDefault="00BB1D4E" w:rsidP="003927B7">
            <w:pPr>
              <w:pStyle w:val="Tablehead"/>
            </w:pPr>
            <w:r w:rsidRPr="004E6817">
              <w:t>Parameters</w:t>
            </w:r>
          </w:p>
        </w:tc>
        <w:tc>
          <w:tcPr>
            <w:tcW w:w="1546" w:type="dxa"/>
            <w:vAlign w:val="center"/>
            <w:hideMark/>
          </w:tcPr>
          <w:p w:rsidR="00BB1D4E" w:rsidRPr="004E6817" w:rsidRDefault="00BB1D4E" w:rsidP="003927B7">
            <w:pPr>
              <w:pStyle w:val="Tablehead"/>
            </w:pPr>
            <w:r w:rsidRPr="004E6817">
              <w:t>Value</w:t>
            </w:r>
          </w:p>
        </w:tc>
        <w:tc>
          <w:tcPr>
            <w:tcW w:w="4549" w:type="dxa"/>
            <w:vAlign w:val="center"/>
            <w:hideMark/>
          </w:tcPr>
          <w:p w:rsidR="00BB1D4E" w:rsidRPr="004E6817" w:rsidRDefault="00BB1D4E" w:rsidP="003927B7">
            <w:pPr>
              <w:pStyle w:val="Tablehead"/>
            </w:pPr>
            <w:r w:rsidRPr="004E6817">
              <w:t>Comments</w:t>
            </w:r>
          </w:p>
        </w:tc>
      </w:tr>
      <w:tr w:rsidR="00BB1D4E" w:rsidRPr="004E6817" w:rsidTr="00AA2CBE">
        <w:trPr>
          <w:trHeight w:val="290"/>
        </w:trPr>
        <w:tc>
          <w:tcPr>
            <w:tcW w:w="3552" w:type="dxa"/>
            <w:vAlign w:val="center"/>
            <w:hideMark/>
          </w:tcPr>
          <w:p w:rsidR="00BB1D4E" w:rsidRPr="00AA2CBE" w:rsidRDefault="00BB1D4E" w:rsidP="00EA647E">
            <w:pPr>
              <w:pStyle w:val="Tabletext"/>
              <w:jc w:val="left"/>
              <w:rPr>
                <w:lang w:val="en-US"/>
              </w:rPr>
            </w:pPr>
            <w:r w:rsidRPr="00AA2CBE">
              <w:rPr>
                <w:lang w:val="en-US"/>
              </w:rPr>
              <w:t>Number of subscribers per HAPS</w:t>
            </w:r>
          </w:p>
        </w:tc>
        <w:tc>
          <w:tcPr>
            <w:tcW w:w="1546" w:type="dxa"/>
            <w:vAlign w:val="center"/>
            <w:hideMark/>
          </w:tcPr>
          <w:p w:rsidR="00BB1D4E" w:rsidRPr="004E6817" w:rsidRDefault="00BB1D4E" w:rsidP="003927B7">
            <w:pPr>
              <w:pStyle w:val="Tabletext"/>
              <w:jc w:val="center"/>
            </w:pPr>
            <w:r w:rsidRPr="004E6817">
              <w:t>78540</w:t>
            </w:r>
          </w:p>
        </w:tc>
        <w:tc>
          <w:tcPr>
            <w:tcW w:w="4549" w:type="dxa"/>
            <w:vAlign w:val="center"/>
            <w:hideMark/>
          </w:tcPr>
          <w:p w:rsidR="00BB1D4E" w:rsidRPr="004E6817" w:rsidRDefault="00BB1D4E" w:rsidP="00EA647E">
            <w:pPr>
              <w:pStyle w:val="Tabletext"/>
              <w:jc w:val="left"/>
            </w:pPr>
            <w:r w:rsidRPr="004E6817">
              <w:t>Predicting value in 2020</w:t>
            </w:r>
          </w:p>
        </w:tc>
      </w:tr>
      <w:tr w:rsidR="00BB1D4E" w:rsidRPr="004E6817" w:rsidTr="00AA2CBE">
        <w:trPr>
          <w:trHeight w:val="55"/>
        </w:trPr>
        <w:tc>
          <w:tcPr>
            <w:tcW w:w="3552" w:type="dxa"/>
            <w:vAlign w:val="center"/>
          </w:tcPr>
          <w:p w:rsidR="00BB1D4E" w:rsidRPr="00C60A15" w:rsidRDefault="00BB1D4E" w:rsidP="00EA647E">
            <w:pPr>
              <w:pStyle w:val="Tabletext"/>
              <w:jc w:val="left"/>
            </w:pPr>
            <w:r w:rsidRPr="00C60A15">
              <w:t>Adoption rate</w:t>
            </w:r>
          </w:p>
        </w:tc>
        <w:tc>
          <w:tcPr>
            <w:tcW w:w="1546" w:type="dxa"/>
            <w:vAlign w:val="center"/>
          </w:tcPr>
          <w:p w:rsidR="00BB1D4E" w:rsidRPr="004E6817" w:rsidDel="00BF442F" w:rsidRDefault="00BB1D4E" w:rsidP="003927B7">
            <w:pPr>
              <w:pStyle w:val="Tabletext"/>
              <w:jc w:val="center"/>
            </w:pPr>
            <w:r w:rsidRPr="004E6817">
              <w:t>3</w:t>
            </w:r>
            <w:r w:rsidRPr="004E6817">
              <w:rPr>
                <w:lang w:eastAsia="zh-CN"/>
              </w:rPr>
              <w:t>3</w:t>
            </w:r>
            <w:r w:rsidRPr="004E6817">
              <w:t>%</w:t>
            </w:r>
          </w:p>
        </w:tc>
        <w:tc>
          <w:tcPr>
            <w:tcW w:w="4549" w:type="dxa"/>
            <w:vAlign w:val="center"/>
          </w:tcPr>
          <w:p w:rsidR="00BB1D4E" w:rsidRPr="004E6817" w:rsidRDefault="00C60A15" w:rsidP="00EA647E">
            <w:pPr>
              <w:pStyle w:val="Tabletext"/>
              <w:jc w:val="left"/>
            </w:pPr>
            <w:r w:rsidRPr="004E6817">
              <w:t xml:space="preserve">Minimal </w:t>
            </w:r>
            <w:r w:rsidR="00BB1D4E" w:rsidRPr="004E6817">
              <w:t>ground-level infrastructure and maintenance</w:t>
            </w:r>
          </w:p>
        </w:tc>
      </w:tr>
      <w:tr w:rsidR="00BB1D4E" w:rsidRPr="00473271" w:rsidTr="00AA2CBE">
        <w:trPr>
          <w:trHeight w:val="55"/>
        </w:trPr>
        <w:tc>
          <w:tcPr>
            <w:tcW w:w="3552" w:type="dxa"/>
            <w:vAlign w:val="center"/>
            <w:hideMark/>
          </w:tcPr>
          <w:p w:rsidR="00BB1D4E" w:rsidRPr="00AA2CBE" w:rsidRDefault="00C60A15" w:rsidP="00EA647E">
            <w:pPr>
              <w:pStyle w:val="Tabletext"/>
              <w:jc w:val="left"/>
              <w:rPr>
                <w:lang w:val="en-US"/>
              </w:rPr>
            </w:pPr>
            <w:r w:rsidRPr="00AA2CBE">
              <w:rPr>
                <w:lang w:val="en-US"/>
              </w:rPr>
              <w:t>D</w:t>
            </w:r>
            <w:r w:rsidR="00BB1D4E" w:rsidRPr="00AA2CBE">
              <w:rPr>
                <w:lang w:val="en-US"/>
              </w:rPr>
              <w:t>ata consumption per month per user</w:t>
            </w:r>
          </w:p>
        </w:tc>
        <w:tc>
          <w:tcPr>
            <w:tcW w:w="1546" w:type="dxa"/>
            <w:vAlign w:val="center"/>
            <w:hideMark/>
          </w:tcPr>
          <w:p w:rsidR="00BB1D4E" w:rsidRPr="004E6817" w:rsidRDefault="00BB1D4E" w:rsidP="003927B7">
            <w:pPr>
              <w:pStyle w:val="Tabletext"/>
              <w:jc w:val="center"/>
            </w:pPr>
            <w:r w:rsidRPr="004E6817">
              <w:t>30 GB</w:t>
            </w:r>
          </w:p>
        </w:tc>
        <w:tc>
          <w:tcPr>
            <w:tcW w:w="4549" w:type="dxa"/>
            <w:vAlign w:val="center"/>
            <w:hideMark/>
          </w:tcPr>
          <w:p w:rsidR="00BB1D4E" w:rsidRPr="00AA2CBE" w:rsidRDefault="00BB1D4E" w:rsidP="00EA647E">
            <w:pPr>
              <w:pStyle w:val="Tabletext"/>
              <w:jc w:val="left"/>
              <w:rPr>
                <w:lang w:val="en-US"/>
              </w:rPr>
            </w:pPr>
            <w:r w:rsidRPr="00AA2CBE">
              <w:rPr>
                <w:lang w:val="en-US"/>
              </w:rPr>
              <w:t>The sum of forward link and return link capacity</w:t>
            </w:r>
          </w:p>
        </w:tc>
      </w:tr>
      <w:tr w:rsidR="00BB1D4E" w:rsidRPr="00473271" w:rsidTr="00AA2CBE">
        <w:trPr>
          <w:trHeight w:val="55"/>
        </w:trPr>
        <w:tc>
          <w:tcPr>
            <w:tcW w:w="3552" w:type="dxa"/>
            <w:vAlign w:val="center"/>
            <w:hideMark/>
          </w:tcPr>
          <w:p w:rsidR="00BB1D4E" w:rsidRPr="00C60A15" w:rsidRDefault="00BB1D4E" w:rsidP="00EA647E">
            <w:pPr>
              <w:pStyle w:val="Tabletext"/>
              <w:jc w:val="left"/>
            </w:pPr>
            <w:r w:rsidRPr="00C60A15">
              <w:t xml:space="preserve">End </w:t>
            </w:r>
            <w:r w:rsidR="00625BA5" w:rsidRPr="00C60A15">
              <w:t>user throughput requirement</w:t>
            </w:r>
          </w:p>
        </w:tc>
        <w:tc>
          <w:tcPr>
            <w:tcW w:w="1546" w:type="dxa"/>
            <w:vAlign w:val="center"/>
            <w:hideMark/>
          </w:tcPr>
          <w:p w:rsidR="00BB1D4E" w:rsidRPr="004E6817" w:rsidRDefault="00BB1D4E" w:rsidP="003927B7">
            <w:pPr>
              <w:pStyle w:val="Tabletext"/>
              <w:jc w:val="center"/>
            </w:pPr>
            <w:r w:rsidRPr="004E6817">
              <w:t>2.5 Mb</w:t>
            </w:r>
            <w:r>
              <w:t>it/</w:t>
            </w:r>
            <w:r w:rsidRPr="004E6817">
              <w:t>s</w:t>
            </w:r>
          </w:p>
        </w:tc>
        <w:tc>
          <w:tcPr>
            <w:tcW w:w="4549" w:type="dxa"/>
            <w:vAlign w:val="center"/>
            <w:hideMark/>
          </w:tcPr>
          <w:p w:rsidR="00BB1D4E" w:rsidRPr="00824C36" w:rsidRDefault="00BB1D4E" w:rsidP="00EA647E">
            <w:pPr>
              <w:pStyle w:val="Tabletext"/>
              <w:jc w:val="left"/>
              <w:rPr>
                <w:lang w:val="en-US"/>
              </w:rPr>
            </w:pPr>
            <w:r w:rsidRPr="00824C36">
              <w:rPr>
                <w:lang w:val="en-US"/>
              </w:rPr>
              <w:t xml:space="preserve">Be able to carry the 480p video stream </w:t>
            </w:r>
          </w:p>
        </w:tc>
      </w:tr>
      <w:tr w:rsidR="00BB1D4E" w:rsidRPr="004E6817" w:rsidTr="00AA2CBE">
        <w:trPr>
          <w:trHeight w:val="55"/>
        </w:trPr>
        <w:tc>
          <w:tcPr>
            <w:tcW w:w="3552" w:type="dxa"/>
            <w:vAlign w:val="center"/>
            <w:hideMark/>
          </w:tcPr>
          <w:p w:rsidR="00BB1D4E" w:rsidRPr="00C60A15" w:rsidRDefault="00BB1D4E" w:rsidP="00EA647E">
            <w:pPr>
              <w:pStyle w:val="Tabletext"/>
              <w:jc w:val="left"/>
            </w:pPr>
            <w:r w:rsidRPr="00C60A15">
              <w:t>Busy hour ratio</w:t>
            </w:r>
          </w:p>
        </w:tc>
        <w:tc>
          <w:tcPr>
            <w:tcW w:w="1546" w:type="dxa"/>
            <w:vAlign w:val="center"/>
            <w:hideMark/>
          </w:tcPr>
          <w:p w:rsidR="00BB1D4E" w:rsidRPr="004E6817" w:rsidRDefault="00BB1D4E" w:rsidP="003927B7">
            <w:pPr>
              <w:pStyle w:val="Tabletext"/>
              <w:jc w:val="center"/>
            </w:pPr>
            <w:r w:rsidRPr="004E6817">
              <w:t>1.55</w:t>
            </w:r>
          </w:p>
        </w:tc>
        <w:tc>
          <w:tcPr>
            <w:tcW w:w="4549" w:type="dxa"/>
            <w:vAlign w:val="center"/>
            <w:hideMark/>
          </w:tcPr>
          <w:p w:rsidR="00BB1D4E" w:rsidRPr="004E6817" w:rsidRDefault="00BB1D4E" w:rsidP="00EA647E">
            <w:pPr>
              <w:pStyle w:val="Tabletext"/>
              <w:jc w:val="left"/>
            </w:pPr>
            <w:r w:rsidRPr="004E6817">
              <w:t>Busy hour ratio</w:t>
            </w:r>
          </w:p>
        </w:tc>
      </w:tr>
      <w:tr w:rsidR="00BB1D4E" w:rsidRPr="004E6817" w:rsidTr="00AA2CBE">
        <w:trPr>
          <w:trHeight w:val="193"/>
        </w:trPr>
        <w:tc>
          <w:tcPr>
            <w:tcW w:w="3552" w:type="dxa"/>
            <w:vAlign w:val="center"/>
            <w:hideMark/>
          </w:tcPr>
          <w:p w:rsidR="00BB1D4E" w:rsidRPr="00C60A15" w:rsidRDefault="00BB1D4E" w:rsidP="00EA647E">
            <w:pPr>
              <w:pStyle w:val="Tabletext"/>
              <w:jc w:val="left"/>
            </w:pPr>
            <w:r w:rsidRPr="00C60A15">
              <w:t>Utilization</w:t>
            </w:r>
          </w:p>
        </w:tc>
        <w:tc>
          <w:tcPr>
            <w:tcW w:w="1546" w:type="dxa"/>
            <w:vAlign w:val="center"/>
            <w:hideMark/>
          </w:tcPr>
          <w:p w:rsidR="00BB1D4E" w:rsidRPr="004E6817" w:rsidRDefault="00BB1D4E" w:rsidP="003927B7">
            <w:pPr>
              <w:pStyle w:val="Tabletext"/>
              <w:jc w:val="center"/>
            </w:pPr>
            <w:r w:rsidRPr="004E6817">
              <w:t>0.6</w:t>
            </w:r>
          </w:p>
        </w:tc>
        <w:tc>
          <w:tcPr>
            <w:tcW w:w="4549" w:type="dxa"/>
            <w:vAlign w:val="center"/>
            <w:hideMark/>
          </w:tcPr>
          <w:p w:rsidR="00BB1D4E" w:rsidRPr="004E6817" w:rsidRDefault="00BB1D4E" w:rsidP="00C60A15">
            <w:pPr>
              <w:pStyle w:val="Tabletext"/>
              <w:jc w:val="left"/>
            </w:pPr>
          </w:p>
        </w:tc>
      </w:tr>
      <w:tr w:rsidR="00BB1D4E" w:rsidRPr="004E6817" w:rsidTr="00AA2CBE">
        <w:trPr>
          <w:trHeight w:val="55"/>
        </w:trPr>
        <w:tc>
          <w:tcPr>
            <w:tcW w:w="3552" w:type="dxa"/>
            <w:vAlign w:val="center"/>
            <w:hideMark/>
          </w:tcPr>
          <w:p w:rsidR="00BB1D4E" w:rsidRPr="00C60A15" w:rsidRDefault="00BB1D4E" w:rsidP="00EA647E">
            <w:pPr>
              <w:pStyle w:val="Tabletext"/>
              <w:jc w:val="left"/>
            </w:pPr>
            <w:r w:rsidRPr="00C60A15">
              <w:t>Download/Upload ratio</w:t>
            </w:r>
          </w:p>
        </w:tc>
        <w:tc>
          <w:tcPr>
            <w:tcW w:w="1546" w:type="dxa"/>
            <w:vAlign w:val="center"/>
            <w:hideMark/>
          </w:tcPr>
          <w:p w:rsidR="00BB1D4E" w:rsidRPr="004E6817" w:rsidRDefault="00BB1D4E" w:rsidP="003927B7">
            <w:pPr>
              <w:pStyle w:val="Tabletext"/>
              <w:jc w:val="center"/>
            </w:pPr>
            <w:r w:rsidRPr="004E6817">
              <w:t>7:1</w:t>
            </w:r>
          </w:p>
        </w:tc>
        <w:tc>
          <w:tcPr>
            <w:tcW w:w="4549" w:type="dxa"/>
            <w:vAlign w:val="center"/>
            <w:hideMark/>
          </w:tcPr>
          <w:p w:rsidR="00BB1D4E" w:rsidRPr="004E6817" w:rsidRDefault="00BB1D4E" w:rsidP="00C60A15">
            <w:pPr>
              <w:pStyle w:val="Tabletext"/>
              <w:jc w:val="left"/>
            </w:pPr>
          </w:p>
        </w:tc>
      </w:tr>
    </w:tbl>
    <w:p w:rsidR="00BB1D4E" w:rsidRPr="004E6817" w:rsidRDefault="00BB1D4E" w:rsidP="00BB1D4E">
      <w:pPr>
        <w:pStyle w:val="Tablefin"/>
      </w:pPr>
    </w:p>
    <w:p w:rsidR="00BB1D4E" w:rsidRPr="00BB1D4E" w:rsidRDefault="00BB1D4E" w:rsidP="00BB1D4E">
      <w:pPr>
        <w:rPr>
          <w:lang w:val="en-US"/>
        </w:rPr>
      </w:pPr>
      <w:r w:rsidRPr="00BB1D4E">
        <w:rPr>
          <w:lang w:val="en-US"/>
        </w:rPr>
        <w:t>The demands of user link are shown below:</w:t>
      </w:r>
    </w:p>
    <w:p w:rsidR="00BB1D4E" w:rsidRPr="004E6817" w:rsidRDefault="004620B6" w:rsidP="00BB1D4E">
      <w:pPr>
        <w:pStyle w:val="TableNo"/>
      </w:pPr>
      <w:r w:rsidRPr="004E6817">
        <w:t xml:space="preserve">TABLE </w:t>
      </w:r>
      <w:r w:rsidR="00BB1D4E" w:rsidRPr="004E6817">
        <w:t>9</w:t>
      </w:r>
    </w:p>
    <w:p w:rsidR="00BB1D4E" w:rsidRPr="004E6817" w:rsidRDefault="00BB1D4E" w:rsidP="00BB1D4E">
      <w:pPr>
        <w:pStyle w:val="Tabletitle"/>
      </w:pPr>
      <w:r w:rsidRPr="004E6817">
        <w:t>Capacity demand</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562"/>
        <w:gridCol w:w="4549"/>
      </w:tblGrid>
      <w:tr w:rsidR="00BB1D4E" w:rsidRPr="004E6817" w:rsidTr="00AA2CBE">
        <w:trPr>
          <w:trHeight w:val="249"/>
        </w:trPr>
        <w:tc>
          <w:tcPr>
            <w:tcW w:w="3536" w:type="dxa"/>
            <w:vAlign w:val="center"/>
            <w:hideMark/>
          </w:tcPr>
          <w:p w:rsidR="00BB1D4E" w:rsidRPr="004E6817" w:rsidRDefault="00BB1D4E" w:rsidP="003927B7">
            <w:pPr>
              <w:pStyle w:val="Tablehead"/>
            </w:pPr>
            <w:r w:rsidRPr="004E6817">
              <w:t>Parameters</w:t>
            </w:r>
          </w:p>
        </w:tc>
        <w:tc>
          <w:tcPr>
            <w:tcW w:w="1562" w:type="dxa"/>
            <w:vAlign w:val="center"/>
            <w:hideMark/>
          </w:tcPr>
          <w:p w:rsidR="00BB1D4E" w:rsidRPr="004E6817" w:rsidRDefault="00BB1D4E" w:rsidP="003927B7">
            <w:pPr>
              <w:pStyle w:val="Tablehead"/>
            </w:pPr>
            <w:r w:rsidRPr="004E6817">
              <w:t>Value</w:t>
            </w:r>
          </w:p>
        </w:tc>
        <w:tc>
          <w:tcPr>
            <w:tcW w:w="4549" w:type="dxa"/>
            <w:vAlign w:val="center"/>
            <w:hideMark/>
          </w:tcPr>
          <w:p w:rsidR="00BB1D4E" w:rsidRPr="004E6817" w:rsidRDefault="00BB1D4E" w:rsidP="003927B7">
            <w:pPr>
              <w:pStyle w:val="Tablehead"/>
            </w:pPr>
            <w:r w:rsidRPr="004E6817">
              <w:t>Comments</w:t>
            </w:r>
          </w:p>
        </w:tc>
      </w:tr>
      <w:tr w:rsidR="00BB1D4E" w:rsidRPr="004E6817" w:rsidTr="00AA2CBE">
        <w:trPr>
          <w:trHeight w:val="201"/>
        </w:trPr>
        <w:tc>
          <w:tcPr>
            <w:tcW w:w="3536" w:type="dxa"/>
            <w:vAlign w:val="center"/>
            <w:hideMark/>
          </w:tcPr>
          <w:p w:rsidR="00BB1D4E" w:rsidRPr="00BB1D4E" w:rsidRDefault="00BB1D4E" w:rsidP="003927B7">
            <w:pPr>
              <w:pStyle w:val="Tabletext"/>
              <w:rPr>
                <w:lang w:val="en-US"/>
              </w:rPr>
            </w:pPr>
            <w:r w:rsidRPr="00BB1D4E">
              <w:rPr>
                <w:lang w:val="en-US"/>
              </w:rPr>
              <w:t>Average data rate per end user</w:t>
            </w:r>
          </w:p>
        </w:tc>
        <w:tc>
          <w:tcPr>
            <w:tcW w:w="1562" w:type="dxa"/>
            <w:vAlign w:val="center"/>
            <w:hideMark/>
          </w:tcPr>
          <w:p w:rsidR="00BB1D4E" w:rsidRPr="004E6817" w:rsidRDefault="00BB1D4E" w:rsidP="003927B7">
            <w:pPr>
              <w:pStyle w:val="Tabletext"/>
              <w:jc w:val="center"/>
            </w:pPr>
            <w:r w:rsidRPr="004E6817">
              <w:t>93 kb</w:t>
            </w:r>
            <w:r>
              <w:t>it/</w:t>
            </w:r>
            <w:r w:rsidRPr="004E6817">
              <w:t>s</w:t>
            </w:r>
          </w:p>
        </w:tc>
        <w:tc>
          <w:tcPr>
            <w:tcW w:w="4549" w:type="dxa"/>
            <w:vAlign w:val="center"/>
            <w:hideMark/>
          </w:tcPr>
          <w:p w:rsidR="00BB1D4E" w:rsidRPr="004E6817" w:rsidRDefault="00BB1D4E" w:rsidP="003927B7">
            <w:pPr>
              <w:pStyle w:val="Tabletext"/>
            </w:pPr>
            <w:r w:rsidRPr="004E6817">
              <w:t>30 GB/30 days/24 hours/3 600 seconds</w:t>
            </w:r>
          </w:p>
        </w:tc>
      </w:tr>
      <w:tr w:rsidR="00BB1D4E" w:rsidRPr="004E6817" w:rsidTr="00AA2CBE">
        <w:trPr>
          <w:trHeight w:val="55"/>
        </w:trPr>
        <w:tc>
          <w:tcPr>
            <w:tcW w:w="3536" w:type="dxa"/>
            <w:vAlign w:val="center"/>
            <w:hideMark/>
          </w:tcPr>
          <w:p w:rsidR="00BB1D4E" w:rsidRPr="00BB1D4E" w:rsidRDefault="00BB1D4E" w:rsidP="003927B7">
            <w:pPr>
              <w:pStyle w:val="Tabletext"/>
              <w:rPr>
                <w:lang w:val="en-US"/>
              </w:rPr>
            </w:pPr>
            <w:r w:rsidRPr="00BB1D4E">
              <w:rPr>
                <w:lang w:val="en-US"/>
              </w:rPr>
              <w:t>Data rate in busy hour per end user</w:t>
            </w:r>
          </w:p>
        </w:tc>
        <w:tc>
          <w:tcPr>
            <w:tcW w:w="1562" w:type="dxa"/>
            <w:vAlign w:val="center"/>
            <w:hideMark/>
          </w:tcPr>
          <w:p w:rsidR="00BB1D4E" w:rsidRPr="004E6817" w:rsidRDefault="00BB1D4E" w:rsidP="003927B7">
            <w:pPr>
              <w:pStyle w:val="Tabletext"/>
              <w:jc w:val="center"/>
            </w:pPr>
            <w:r w:rsidRPr="004E6817">
              <w:t>144 kb</w:t>
            </w:r>
            <w:r>
              <w:t>it/</w:t>
            </w:r>
            <w:r w:rsidRPr="004E6817">
              <w:t>s</w:t>
            </w:r>
          </w:p>
        </w:tc>
        <w:tc>
          <w:tcPr>
            <w:tcW w:w="4549" w:type="dxa"/>
            <w:vAlign w:val="center"/>
            <w:hideMark/>
          </w:tcPr>
          <w:p w:rsidR="00BB1D4E" w:rsidRPr="004E6817" w:rsidRDefault="00BB1D4E" w:rsidP="003927B7">
            <w:pPr>
              <w:pStyle w:val="Tabletext"/>
            </w:pPr>
          </w:p>
        </w:tc>
      </w:tr>
      <w:tr w:rsidR="00BB1D4E" w:rsidRPr="004E6817" w:rsidTr="00AA2CBE">
        <w:trPr>
          <w:trHeight w:val="55"/>
        </w:trPr>
        <w:tc>
          <w:tcPr>
            <w:tcW w:w="3536" w:type="dxa"/>
            <w:vAlign w:val="center"/>
            <w:hideMark/>
          </w:tcPr>
          <w:p w:rsidR="00BB1D4E" w:rsidRPr="004E6817" w:rsidRDefault="00BB1D4E" w:rsidP="003927B7">
            <w:pPr>
              <w:pStyle w:val="Tabletext"/>
            </w:pPr>
            <w:r w:rsidRPr="004E6817">
              <w:t>Oversubscription ratio</w:t>
            </w:r>
          </w:p>
        </w:tc>
        <w:tc>
          <w:tcPr>
            <w:tcW w:w="1562" w:type="dxa"/>
            <w:vAlign w:val="center"/>
            <w:hideMark/>
          </w:tcPr>
          <w:p w:rsidR="00BB1D4E" w:rsidRPr="004E6817" w:rsidRDefault="00BB1D4E" w:rsidP="003927B7">
            <w:pPr>
              <w:pStyle w:val="Tabletext"/>
              <w:jc w:val="center"/>
            </w:pPr>
            <w:r w:rsidRPr="004E6817">
              <w:t>17.4</w:t>
            </w:r>
          </w:p>
        </w:tc>
        <w:tc>
          <w:tcPr>
            <w:tcW w:w="4549" w:type="dxa"/>
            <w:vAlign w:val="center"/>
            <w:hideMark/>
          </w:tcPr>
          <w:p w:rsidR="00BB1D4E" w:rsidRPr="004E6817" w:rsidRDefault="00BB1D4E" w:rsidP="003927B7">
            <w:pPr>
              <w:pStyle w:val="Tabletext"/>
            </w:pPr>
            <w:r w:rsidRPr="004E6817">
              <w:t>2.5 Mb</w:t>
            </w:r>
            <w:r>
              <w:t>it/</w:t>
            </w:r>
            <w:r w:rsidRPr="004E6817">
              <w:t>s/144 kb</w:t>
            </w:r>
            <w:r>
              <w:t>it/</w:t>
            </w:r>
            <w:r w:rsidRPr="004E6817">
              <w:t>s</w:t>
            </w:r>
          </w:p>
        </w:tc>
      </w:tr>
      <w:tr w:rsidR="00BB1D4E" w:rsidRPr="004E6817" w:rsidTr="00AA2CBE">
        <w:trPr>
          <w:trHeight w:val="55"/>
        </w:trPr>
        <w:tc>
          <w:tcPr>
            <w:tcW w:w="3536" w:type="dxa"/>
            <w:vAlign w:val="center"/>
            <w:hideMark/>
          </w:tcPr>
          <w:p w:rsidR="00BB1D4E" w:rsidRPr="004E6817" w:rsidRDefault="00BB1D4E" w:rsidP="003927B7">
            <w:pPr>
              <w:pStyle w:val="Tabletext"/>
            </w:pPr>
            <w:r w:rsidRPr="004E6817">
              <w:t>Link throughput</w:t>
            </w:r>
          </w:p>
        </w:tc>
        <w:tc>
          <w:tcPr>
            <w:tcW w:w="1562" w:type="dxa"/>
            <w:vAlign w:val="center"/>
            <w:hideMark/>
          </w:tcPr>
          <w:p w:rsidR="00BB1D4E" w:rsidRPr="004E6817" w:rsidRDefault="00BB1D4E" w:rsidP="003927B7">
            <w:pPr>
              <w:pStyle w:val="Tabletext"/>
              <w:jc w:val="center"/>
            </w:pPr>
            <w:r w:rsidRPr="004E6817">
              <w:t>6.20 Gb</w:t>
            </w:r>
            <w:r>
              <w:t>it/</w:t>
            </w:r>
            <w:r w:rsidRPr="004E6817">
              <w:t>s</w:t>
            </w:r>
          </w:p>
        </w:tc>
        <w:tc>
          <w:tcPr>
            <w:tcW w:w="4549" w:type="dxa"/>
            <w:vAlign w:val="center"/>
          </w:tcPr>
          <w:p w:rsidR="00BB1D4E" w:rsidRPr="004E6817" w:rsidRDefault="00BB1D4E" w:rsidP="003927B7">
            <w:pPr>
              <w:pStyle w:val="Tabletext"/>
            </w:pPr>
          </w:p>
        </w:tc>
      </w:tr>
      <w:tr w:rsidR="00BB1D4E" w:rsidRPr="004E6817" w:rsidTr="00AA2CBE">
        <w:trPr>
          <w:trHeight w:val="55"/>
        </w:trPr>
        <w:tc>
          <w:tcPr>
            <w:tcW w:w="3536" w:type="dxa"/>
            <w:vAlign w:val="center"/>
            <w:hideMark/>
          </w:tcPr>
          <w:p w:rsidR="00BB1D4E" w:rsidRPr="00BB1D4E" w:rsidRDefault="00BB1D4E" w:rsidP="003927B7">
            <w:pPr>
              <w:pStyle w:val="Tabletext"/>
              <w:rPr>
                <w:lang w:val="en-US"/>
              </w:rPr>
            </w:pPr>
            <w:r w:rsidRPr="00BB1D4E">
              <w:rPr>
                <w:lang w:val="en-US"/>
              </w:rPr>
              <w:t>Provisioned throughput per end user</w:t>
            </w:r>
          </w:p>
        </w:tc>
        <w:tc>
          <w:tcPr>
            <w:tcW w:w="1562" w:type="dxa"/>
            <w:vAlign w:val="center"/>
            <w:hideMark/>
          </w:tcPr>
          <w:p w:rsidR="00BB1D4E" w:rsidRPr="004E6817" w:rsidRDefault="00BB1D4E" w:rsidP="003927B7">
            <w:pPr>
              <w:pStyle w:val="Tabletext"/>
              <w:jc w:val="center"/>
            </w:pPr>
            <w:r w:rsidRPr="004E6817">
              <w:t>240 kb</w:t>
            </w:r>
            <w:r>
              <w:t>it/</w:t>
            </w:r>
            <w:r w:rsidRPr="004E6817">
              <w:t>s</w:t>
            </w:r>
          </w:p>
        </w:tc>
        <w:tc>
          <w:tcPr>
            <w:tcW w:w="4549" w:type="dxa"/>
            <w:vAlign w:val="center"/>
          </w:tcPr>
          <w:p w:rsidR="00BB1D4E" w:rsidRPr="004E6817" w:rsidRDefault="00BB1D4E" w:rsidP="003927B7">
            <w:pPr>
              <w:pStyle w:val="Tabletext"/>
            </w:pPr>
          </w:p>
        </w:tc>
      </w:tr>
    </w:tbl>
    <w:p w:rsidR="00BB1D4E" w:rsidRPr="004E6817" w:rsidRDefault="00BB1D4E" w:rsidP="00BB1D4E">
      <w:pPr>
        <w:pStyle w:val="Tablefin"/>
      </w:pPr>
    </w:p>
    <w:p w:rsidR="00BB1D4E" w:rsidRPr="00BB1D4E" w:rsidRDefault="00BB1D4E" w:rsidP="00BB1D4E">
      <w:pPr>
        <w:rPr>
          <w:lang w:val="en-US" w:eastAsia="zh-CN"/>
        </w:rPr>
      </w:pPr>
      <w:r w:rsidRPr="00BB1D4E">
        <w:rPr>
          <w:lang w:val="en-US"/>
        </w:rPr>
        <w:t>In conclusion, a HAPS system should provide an overall 6.20 Gbit/s link throughput. The ratio between forward link and return link is assumed as 7</w:t>
      </w:r>
      <w:r w:rsidRPr="00BB1D4E">
        <w:rPr>
          <w:lang w:val="en-US" w:eastAsia="zh-CN"/>
        </w:rPr>
        <w:t>:1, which means the maximum forward link capacity is 5.425 Gbit/s.</w:t>
      </w:r>
      <w:bookmarkStart w:id="3" w:name="_Hlk482259336"/>
    </w:p>
    <w:p w:rsidR="00BB1D4E" w:rsidRPr="00BB1D4E" w:rsidRDefault="00BB1D4E" w:rsidP="00BB1D4E">
      <w:pPr>
        <w:pStyle w:val="Heading1"/>
        <w:rPr>
          <w:lang w:val="en-US"/>
        </w:rPr>
      </w:pPr>
      <w:r w:rsidRPr="00BB1D4E">
        <w:rPr>
          <w:lang w:val="en-US"/>
        </w:rPr>
        <w:t>4</w:t>
      </w:r>
      <w:r w:rsidRPr="00BB1D4E">
        <w:rPr>
          <w:lang w:val="en-US"/>
        </w:rPr>
        <w:tab/>
        <w:t>Capacity analysis for System 6</w:t>
      </w:r>
    </w:p>
    <w:p w:rsidR="00BB1D4E" w:rsidRPr="00BB1D4E" w:rsidRDefault="00BB1D4E" w:rsidP="00BB1D4E">
      <w:pPr>
        <w:rPr>
          <w:lang w:val="en-US"/>
        </w:rPr>
      </w:pPr>
      <w:r w:rsidRPr="00BB1D4E">
        <w:rPr>
          <w:lang w:val="en-US"/>
        </w:rPr>
        <w:t xml:space="preserve">This study used a geospatial simulation-based approach for a selection of 32 countries (with an emphasis on those countries where a large percentage of the population lacks connectivity). It was based on the following assumptions: </w:t>
      </w:r>
    </w:p>
    <w:p w:rsidR="00BB1D4E" w:rsidRPr="00BB1D4E" w:rsidRDefault="00BB1D4E" w:rsidP="00BB1D4E">
      <w:pPr>
        <w:pStyle w:val="enumlev1"/>
        <w:rPr>
          <w:lang w:val="en-US"/>
        </w:rPr>
      </w:pPr>
      <w:r w:rsidRPr="00BB1D4E">
        <w:rPr>
          <w:lang w:val="en-US"/>
        </w:rPr>
        <w:t>–</w:t>
      </w:r>
      <w:r w:rsidRPr="00BB1D4E">
        <w:rPr>
          <w:lang w:val="en-US"/>
        </w:rPr>
        <w:tab/>
        <w:t>Target year: 2020</w:t>
      </w:r>
    </w:p>
    <w:p w:rsidR="00BB1D4E" w:rsidRPr="00BB1D4E" w:rsidRDefault="00BB1D4E" w:rsidP="00BB1D4E">
      <w:pPr>
        <w:pStyle w:val="enumlev1"/>
        <w:rPr>
          <w:lang w:val="en-US"/>
        </w:rPr>
      </w:pPr>
      <w:r w:rsidRPr="00BB1D4E">
        <w:rPr>
          <w:lang w:val="en-US"/>
        </w:rPr>
        <w:lastRenderedPageBreak/>
        <w:t>–</w:t>
      </w:r>
      <w:r w:rsidRPr="00BB1D4E">
        <w:rPr>
          <w:lang w:val="en-US"/>
        </w:rPr>
        <w:tab/>
        <w:t>50 km radius coverage and 33 users/km</w:t>
      </w:r>
      <w:r w:rsidRPr="00BB1D4E">
        <w:rPr>
          <w:vertAlign w:val="superscript"/>
          <w:lang w:val="en-US"/>
        </w:rPr>
        <w:t>2</w:t>
      </w:r>
      <w:r w:rsidRPr="00BB1D4E">
        <w:rPr>
          <w:lang w:val="en-US"/>
        </w:rPr>
        <w:t>, with a number of users rounded to 250 000</w:t>
      </w:r>
    </w:p>
    <w:p w:rsidR="00BB1D4E" w:rsidRPr="00BB1D4E" w:rsidRDefault="00BB1D4E" w:rsidP="00BB1D4E">
      <w:pPr>
        <w:pStyle w:val="enumlev1"/>
        <w:rPr>
          <w:lang w:val="en-US"/>
        </w:rPr>
      </w:pPr>
      <w:r w:rsidRPr="00BB1D4E">
        <w:rPr>
          <w:lang w:val="en-US"/>
        </w:rPr>
        <w:t>–</w:t>
      </w:r>
      <w:r w:rsidRPr="00BB1D4E">
        <w:rPr>
          <w:lang w:val="en-US"/>
        </w:rPr>
        <w:tab/>
        <w:t>Target availability level: 99.5%</w:t>
      </w:r>
    </w:p>
    <w:p w:rsidR="00BB1D4E" w:rsidRPr="00BB1D4E" w:rsidRDefault="00BB1D4E" w:rsidP="00BB1D4E">
      <w:pPr>
        <w:pStyle w:val="enumlev1"/>
        <w:rPr>
          <w:lang w:val="en-US"/>
        </w:rPr>
      </w:pPr>
      <w:r w:rsidRPr="00BB1D4E">
        <w:rPr>
          <w:lang w:val="en-US"/>
        </w:rPr>
        <w:t>–</w:t>
      </w:r>
      <w:r w:rsidRPr="00BB1D4E">
        <w:rPr>
          <w:lang w:val="en-US"/>
        </w:rPr>
        <w:tab/>
        <w:t>Target connectivity level: 30 GB</w:t>
      </w:r>
    </w:p>
    <w:p w:rsidR="00BB1D4E" w:rsidRPr="00BB1D4E" w:rsidRDefault="00BB1D4E" w:rsidP="00BB1D4E">
      <w:pPr>
        <w:pStyle w:val="enumlev1"/>
        <w:rPr>
          <w:lang w:val="en-US"/>
        </w:rPr>
      </w:pPr>
      <w:r w:rsidRPr="00BB1D4E">
        <w:rPr>
          <w:lang w:val="en-US"/>
        </w:rPr>
        <w:t>–</w:t>
      </w:r>
      <w:r w:rsidRPr="00BB1D4E">
        <w:rPr>
          <w:lang w:val="en-US"/>
        </w:rPr>
        <w:tab/>
        <w:t>End user throughput requirement: 2.5 Mbit/s</w:t>
      </w:r>
    </w:p>
    <w:p w:rsidR="00BB1D4E" w:rsidRPr="00BB1D4E" w:rsidRDefault="00BB1D4E" w:rsidP="00BB1D4E">
      <w:pPr>
        <w:pStyle w:val="enumlev1"/>
        <w:rPr>
          <w:lang w:val="en-US"/>
        </w:rPr>
      </w:pPr>
      <w:r w:rsidRPr="00BB1D4E">
        <w:rPr>
          <w:lang w:val="en-US"/>
        </w:rPr>
        <w:t>–</w:t>
      </w:r>
      <w:r w:rsidRPr="00BB1D4E">
        <w:rPr>
          <w:lang w:val="en-US"/>
        </w:rPr>
        <w:tab/>
        <w:t>Data volume: 30 GB per month per user</w:t>
      </w:r>
    </w:p>
    <w:p w:rsidR="00BB1D4E" w:rsidRPr="00BB1D4E" w:rsidRDefault="00BB1D4E" w:rsidP="00BB1D4E">
      <w:pPr>
        <w:pStyle w:val="enumlev1"/>
        <w:rPr>
          <w:lang w:val="en-US"/>
        </w:rPr>
      </w:pPr>
      <w:r w:rsidRPr="00BB1D4E">
        <w:rPr>
          <w:lang w:val="en-US"/>
        </w:rPr>
        <w:t>–</w:t>
      </w:r>
      <w:r w:rsidRPr="00BB1D4E">
        <w:rPr>
          <w:lang w:val="en-US"/>
        </w:rPr>
        <w:tab/>
        <w:t>Busy hour ratio of 1.55</w:t>
      </w:r>
    </w:p>
    <w:p w:rsidR="00BB1D4E" w:rsidRPr="00BB1D4E" w:rsidRDefault="00BB1D4E" w:rsidP="00BB1D4E">
      <w:pPr>
        <w:pStyle w:val="enumlev1"/>
        <w:rPr>
          <w:lang w:val="en-US"/>
        </w:rPr>
      </w:pPr>
      <w:r w:rsidRPr="00BB1D4E">
        <w:rPr>
          <w:lang w:val="en-US"/>
        </w:rPr>
        <w:t>–</w:t>
      </w:r>
      <w:r w:rsidRPr="00BB1D4E">
        <w:rPr>
          <w:lang w:val="en-US"/>
        </w:rPr>
        <w:tab/>
        <w:t>Utilisation rate: 60%.</w:t>
      </w:r>
    </w:p>
    <w:p w:rsidR="00BB1D4E" w:rsidRPr="00BB1D4E" w:rsidRDefault="00BB1D4E" w:rsidP="003D504E">
      <w:pPr>
        <w:rPr>
          <w:lang w:val="en-US"/>
        </w:rPr>
      </w:pPr>
      <w:r w:rsidRPr="00BB1D4E">
        <w:rPr>
          <w:lang w:val="en-US"/>
        </w:rPr>
        <w:t>This first part of the assessment concluded that the maximum capacity of HAPS is 60 Gbit/s.</w:t>
      </w:r>
    </w:p>
    <w:p w:rsidR="00BB1D4E" w:rsidRPr="00BB1D4E" w:rsidRDefault="00BB1D4E" w:rsidP="00BB1D4E">
      <w:pPr>
        <w:rPr>
          <w:lang w:val="en-US"/>
        </w:rPr>
      </w:pPr>
      <w:r w:rsidRPr="00BB1D4E">
        <w:rPr>
          <w:lang w:val="en-US"/>
        </w:rPr>
        <w:t xml:space="preserve">Then a geospatial simulation-based approach has been run for a selection of 32 countries (with an emphasis on those countries where a large percentage of the population lacks connectivity). </w:t>
      </w:r>
    </w:p>
    <w:p w:rsidR="00BB1D4E" w:rsidRPr="00BB1D4E" w:rsidRDefault="00BB1D4E" w:rsidP="004620B6">
      <w:pPr>
        <w:spacing w:after="240"/>
        <w:rPr>
          <w:lang w:val="en-US"/>
        </w:rPr>
      </w:pPr>
      <w:r w:rsidRPr="00BB1D4E">
        <w:rPr>
          <w:lang w:val="en-US"/>
        </w:rPr>
        <w:t>Figure 2 shows the cumulative distribution function of throughput per HAPS. The conservative 90</w:t>
      </w:r>
      <w:r w:rsidRPr="004620B6">
        <w:rPr>
          <w:vertAlign w:val="superscript"/>
          <w:lang w:val="en-US"/>
        </w:rPr>
        <w:t>th</w:t>
      </w:r>
      <w:r w:rsidRPr="00BB1D4E">
        <w:rPr>
          <w:lang w:val="en-US"/>
        </w:rPr>
        <w:t xml:space="preserve"> percentile was used as a planning threshold for spectrum allocation (30 Gbit/s). Similarly, the 90</w:t>
      </w:r>
      <w:r w:rsidRPr="00BB1D4E">
        <w:rPr>
          <w:vertAlign w:val="superscript"/>
          <w:lang w:val="en-US"/>
        </w:rPr>
        <w:t>th</w:t>
      </w:r>
      <w:r w:rsidRPr="00BB1D4E">
        <w:rPr>
          <w:lang w:val="en-US"/>
        </w:rPr>
        <w:t xml:space="preserve"> percentile of HAPS will provide coverage for 130 000 users.</w:t>
      </w:r>
    </w:p>
    <w:tbl>
      <w:tblPr>
        <w:tblW w:w="0" w:type="auto"/>
        <w:tblLook w:val="04A0" w:firstRow="1" w:lastRow="0" w:firstColumn="1" w:lastColumn="0" w:noHBand="0" w:noVBand="1"/>
      </w:tblPr>
      <w:tblGrid>
        <w:gridCol w:w="4814"/>
        <w:gridCol w:w="4815"/>
      </w:tblGrid>
      <w:tr w:rsidR="00BB1D4E" w:rsidRPr="004E6817" w:rsidTr="003927B7">
        <w:tc>
          <w:tcPr>
            <w:tcW w:w="4814" w:type="dxa"/>
            <w:vAlign w:val="center"/>
          </w:tcPr>
          <w:p w:rsidR="00BB1D4E" w:rsidRPr="00BB1D4E" w:rsidRDefault="00BB1D4E" w:rsidP="00AA2CBE">
            <w:pPr>
              <w:pStyle w:val="FigureNo"/>
              <w:rPr>
                <w:lang w:val="en-US"/>
              </w:rPr>
            </w:pPr>
            <w:r w:rsidRPr="00824C36">
              <w:rPr>
                <w:lang w:val="en-US"/>
              </w:rPr>
              <w:t>Figure</w:t>
            </w:r>
            <w:r w:rsidRPr="00BB1D4E">
              <w:rPr>
                <w:lang w:val="en-US"/>
              </w:rPr>
              <w:t xml:space="preserve"> </w:t>
            </w:r>
            <w:r w:rsidR="0040270A">
              <w:rPr>
                <w:noProof/>
                <w:lang w:val="en-US"/>
              </w:rPr>
              <w:t>1</w:t>
            </w:r>
          </w:p>
          <w:p w:rsidR="00BB1D4E" w:rsidRPr="00BB1D4E" w:rsidRDefault="00BB1D4E" w:rsidP="003927B7">
            <w:pPr>
              <w:pStyle w:val="Figuretitle"/>
              <w:rPr>
                <w:lang w:val="en-US" w:eastAsia="ja-JP"/>
              </w:rPr>
            </w:pPr>
            <w:r w:rsidRPr="00BB1D4E">
              <w:rPr>
                <w:lang w:val="en-US"/>
              </w:rPr>
              <w:t>CDF of HAPS throughput (Gbit/s)</w:t>
            </w:r>
          </w:p>
          <w:p w:rsidR="00BB1D4E" w:rsidRPr="004E6817" w:rsidRDefault="00310FAC" w:rsidP="003927B7">
            <w:pPr>
              <w:pStyle w:val="Figure"/>
              <w:rPr>
                <w:szCs w:val="24"/>
              </w:rPr>
            </w:pPr>
            <w:r>
              <w:rPr>
                <w:noProof/>
                <w:szCs w:val="24"/>
                <w:lang w:val="en-GB" w:eastAsia="en-GB"/>
              </w:rPr>
              <w:drawing>
                <wp:inline distT="0" distB="0" distL="0" distR="0">
                  <wp:extent cx="2703582" cy="2795022"/>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438-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3582" cy="2795022"/>
                          </a:xfrm>
                          <a:prstGeom prst="rect">
                            <a:avLst/>
                          </a:prstGeom>
                        </pic:spPr>
                      </pic:pic>
                    </a:graphicData>
                  </a:graphic>
                </wp:inline>
              </w:drawing>
            </w:r>
          </w:p>
        </w:tc>
        <w:tc>
          <w:tcPr>
            <w:tcW w:w="4815" w:type="dxa"/>
            <w:vAlign w:val="center"/>
          </w:tcPr>
          <w:p w:rsidR="00BB1D4E" w:rsidRPr="00BB1D4E" w:rsidRDefault="00BB1D4E" w:rsidP="003927B7">
            <w:pPr>
              <w:pStyle w:val="FigureNo"/>
              <w:rPr>
                <w:lang w:val="en-US"/>
              </w:rPr>
            </w:pPr>
            <w:r w:rsidRPr="00BB1D4E">
              <w:rPr>
                <w:lang w:val="en-US"/>
              </w:rPr>
              <w:t xml:space="preserve">Figure </w:t>
            </w:r>
            <w:r w:rsidR="0040270A">
              <w:rPr>
                <w:noProof/>
                <w:lang w:val="en-US"/>
              </w:rPr>
              <w:t>2</w:t>
            </w:r>
          </w:p>
          <w:p w:rsidR="00BB1D4E" w:rsidRPr="00BB1D4E" w:rsidRDefault="00BB1D4E" w:rsidP="003927B7">
            <w:pPr>
              <w:pStyle w:val="Figuretitle"/>
              <w:rPr>
                <w:lang w:val="en-US" w:eastAsia="ja-JP"/>
              </w:rPr>
            </w:pPr>
            <w:r w:rsidRPr="00BB1D4E">
              <w:rPr>
                <w:lang w:val="en-US"/>
              </w:rPr>
              <w:t>CDF of number of users</w:t>
            </w:r>
          </w:p>
          <w:p w:rsidR="00BB1D4E" w:rsidRPr="004E6817" w:rsidRDefault="00310FAC" w:rsidP="003927B7">
            <w:pPr>
              <w:pStyle w:val="Figure"/>
              <w:rPr>
                <w:szCs w:val="24"/>
              </w:rPr>
            </w:pPr>
            <w:r>
              <w:rPr>
                <w:noProof/>
                <w:szCs w:val="24"/>
                <w:lang w:val="en-GB" w:eastAsia="en-GB"/>
              </w:rPr>
              <w:drawing>
                <wp:inline distT="0" distB="0" distL="0" distR="0">
                  <wp:extent cx="2795022" cy="279807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438-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5022" cy="2798070"/>
                          </a:xfrm>
                          <a:prstGeom prst="rect">
                            <a:avLst/>
                          </a:prstGeom>
                        </pic:spPr>
                      </pic:pic>
                    </a:graphicData>
                  </a:graphic>
                </wp:inline>
              </w:drawing>
            </w:r>
          </w:p>
        </w:tc>
      </w:tr>
      <w:bookmarkEnd w:id="3"/>
    </w:tbl>
    <w:p w:rsidR="00EA647E" w:rsidRDefault="00EA647E" w:rsidP="00EA647E"/>
    <w:p w:rsidR="00EA647E" w:rsidRDefault="00EA647E" w:rsidP="00EA647E">
      <w:bookmarkStart w:id="4" w:name="_GoBack"/>
      <w:bookmarkEnd w:id="4"/>
    </w:p>
    <w:p w:rsidR="00BB1D4E" w:rsidRPr="00EA647E" w:rsidRDefault="00EA647E" w:rsidP="00EA647E">
      <w:pPr>
        <w:pStyle w:val="AnnexNoTitle"/>
        <w:rPr>
          <w:lang w:val="en-US"/>
        </w:rPr>
      </w:pPr>
      <w:r w:rsidRPr="00EA647E">
        <w:rPr>
          <w:lang w:val="en-US"/>
        </w:rPr>
        <w:lastRenderedPageBreak/>
        <w:t xml:space="preserve">Annex </w:t>
      </w:r>
      <w:r w:rsidR="00BB1D4E" w:rsidRPr="00EA647E">
        <w:rPr>
          <w:lang w:val="en-US"/>
        </w:rPr>
        <w:t>2</w:t>
      </w:r>
      <w:r w:rsidRPr="00EA647E">
        <w:rPr>
          <w:lang w:val="en-US"/>
        </w:rPr>
        <w:br/>
      </w:r>
      <w:r>
        <w:rPr>
          <w:lang w:val="en-US"/>
        </w:rPr>
        <w:br/>
      </w:r>
      <w:r w:rsidR="00BB1D4E" w:rsidRPr="00EA647E">
        <w:rPr>
          <w:lang w:val="en-US"/>
        </w:rPr>
        <w:t xml:space="preserve">Broadband HAPS specific applications capacity demand </w:t>
      </w:r>
    </w:p>
    <w:p w:rsidR="00BB1D4E" w:rsidRPr="00BB1D4E" w:rsidRDefault="00BB1D4E" w:rsidP="00BB1D4E">
      <w:pPr>
        <w:pStyle w:val="Heading1"/>
        <w:rPr>
          <w:lang w:val="en-US"/>
        </w:rPr>
      </w:pPr>
      <w:r w:rsidRPr="00BB1D4E">
        <w:rPr>
          <w:lang w:val="en-US"/>
        </w:rPr>
        <w:t>1</w:t>
      </w:r>
      <w:r w:rsidRPr="00BB1D4E">
        <w:rPr>
          <w:lang w:val="en-US"/>
        </w:rPr>
        <w:tab/>
        <w:t xml:space="preserve">Introduction </w:t>
      </w:r>
    </w:p>
    <w:p w:rsidR="00BB1D4E" w:rsidRPr="004E6817" w:rsidRDefault="00BB1D4E" w:rsidP="00AA2CBE">
      <w:pPr>
        <w:rPr>
          <w:lang w:val="en-GB"/>
        </w:rPr>
      </w:pPr>
      <w:bookmarkStart w:id="5" w:name="_Hlk529684002"/>
      <w:r w:rsidRPr="004E6817">
        <w:rPr>
          <w:lang w:val="en-GB"/>
        </w:rPr>
        <w:t xml:space="preserve">This </w:t>
      </w:r>
      <w:r w:rsidR="00625BA5" w:rsidRPr="004E6817">
        <w:rPr>
          <w:lang w:val="en-GB"/>
        </w:rPr>
        <w:t xml:space="preserve">Annex </w:t>
      </w:r>
      <w:r w:rsidRPr="004E6817">
        <w:rPr>
          <w:lang w:val="en-GB"/>
        </w:rPr>
        <w:t>provides the capacity demand for gateway and fixe</w:t>
      </w:r>
      <w:r w:rsidR="00534E20">
        <w:rPr>
          <w:lang w:val="en-GB"/>
        </w:rPr>
        <w:t xml:space="preserve">d terminal links for system 1. </w:t>
      </w:r>
      <w:r w:rsidRPr="004E6817">
        <w:rPr>
          <w:lang w:val="en-GB"/>
        </w:rPr>
        <w:t>The demand of specific broadband applications is based on Report ITU-R M.2377, which provides elements on the capacity for PPDR applications.</w:t>
      </w:r>
    </w:p>
    <w:bookmarkEnd w:id="5"/>
    <w:p w:rsidR="00BB1D4E" w:rsidRPr="00BB1D4E" w:rsidRDefault="00BB1D4E" w:rsidP="00BB1D4E">
      <w:pPr>
        <w:pStyle w:val="Heading1"/>
        <w:rPr>
          <w:lang w:val="en-US"/>
        </w:rPr>
      </w:pPr>
      <w:r w:rsidRPr="00BB1D4E">
        <w:rPr>
          <w:lang w:val="en-US"/>
        </w:rPr>
        <w:t>2</w:t>
      </w:r>
      <w:r w:rsidRPr="00BB1D4E">
        <w:rPr>
          <w:lang w:val="en-US"/>
        </w:rPr>
        <w:tab/>
        <w:t xml:space="preserve">Broadband HAPS specific applications capacity </w:t>
      </w:r>
    </w:p>
    <w:p w:rsidR="00BB1D4E" w:rsidRPr="00BB1D4E" w:rsidRDefault="00BB1D4E" w:rsidP="00BB1D4E">
      <w:pPr>
        <w:rPr>
          <w:lang w:val="en-US"/>
        </w:rPr>
      </w:pPr>
      <w:r w:rsidRPr="00BB1D4E">
        <w:rPr>
          <w:lang w:val="en-US"/>
        </w:rPr>
        <w:t>It is estimated that the broadband HAPS specific applications total capacity demands are similar to the broadband Public Protection and Disaster Relief (PPDR) total capacity demand except the download of the HAPS sensors measurements data (high resolution video, optical and radar images) for which an additional capacity of 100 Mbps is assumed.</w:t>
      </w:r>
    </w:p>
    <w:p w:rsidR="00BB1D4E" w:rsidRPr="00BB1D4E" w:rsidRDefault="00BB1D4E" w:rsidP="00625BA5">
      <w:pPr>
        <w:rPr>
          <w:lang w:val="en-US"/>
        </w:rPr>
      </w:pPr>
      <w:r w:rsidRPr="00BB1D4E">
        <w:rPr>
          <w:lang w:val="en-US"/>
        </w:rPr>
        <w:t>The broadband PPDR capacity demand is addressed in the Report ITU-R M.2377-0 (Annex 7)</w:t>
      </w:r>
      <w:r w:rsidRPr="004E6817">
        <w:rPr>
          <w:rStyle w:val="FootnoteReference"/>
        </w:rPr>
        <w:footnoteReference w:id="1"/>
      </w:r>
      <w:r w:rsidRPr="00BB1D4E">
        <w:rPr>
          <w:lang w:val="en-US"/>
        </w:rPr>
        <w:t xml:space="preserve"> in which </w:t>
      </w:r>
      <w:r w:rsidR="00625BA5">
        <w:rPr>
          <w:lang w:val="en-US"/>
        </w:rPr>
        <w:t>three</w:t>
      </w:r>
      <w:r w:rsidRPr="00BB1D4E">
        <w:rPr>
          <w:lang w:val="en-US"/>
        </w:rPr>
        <w:t xml:space="preserve"> scenarios are considered:</w:t>
      </w:r>
    </w:p>
    <w:p w:rsidR="00BB1D4E" w:rsidRPr="00BB1D4E" w:rsidRDefault="00BB1D4E" w:rsidP="00BB1D4E">
      <w:pPr>
        <w:pStyle w:val="enumlev1"/>
        <w:spacing w:before="120"/>
        <w:rPr>
          <w:lang w:val="en-US"/>
        </w:rPr>
      </w:pPr>
      <w:r w:rsidRPr="00BB1D4E">
        <w:rPr>
          <w:lang w:val="en-US"/>
        </w:rPr>
        <w:t>–</w:t>
      </w:r>
      <w:r w:rsidRPr="00BB1D4E">
        <w:rPr>
          <w:lang w:val="en-US"/>
        </w:rPr>
        <w:tab/>
        <w:t>PP1: day-to-day operation;</w:t>
      </w:r>
    </w:p>
    <w:p w:rsidR="00BB1D4E" w:rsidRPr="00BB1D4E" w:rsidRDefault="00BB1D4E" w:rsidP="00BB1D4E">
      <w:pPr>
        <w:pStyle w:val="enumlev1"/>
        <w:spacing w:before="120"/>
        <w:rPr>
          <w:lang w:val="en-US"/>
        </w:rPr>
      </w:pPr>
      <w:r w:rsidRPr="00BB1D4E">
        <w:rPr>
          <w:lang w:val="en-US"/>
        </w:rPr>
        <w:t>–</w:t>
      </w:r>
      <w:r w:rsidRPr="00BB1D4E">
        <w:rPr>
          <w:lang w:val="en-US"/>
        </w:rPr>
        <w:tab/>
        <w:t>PP2: Large emergencies or public events;</w:t>
      </w:r>
    </w:p>
    <w:p w:rsidR="00BB1D4E" w:rsidRPr="00BB1D4E" w:rsidRDefault="00BB1D4E" w:rsidP="00BB1D4E">
      <w:pPr>
        <w:pStyle w:val="enumlev1"/>
        <w:spacing w:before="120"/>
        <w:rPr>
          <w:lang w:val="en-US"/>
        </w:rPr>
      </w:pPr>
      <w:r w:rsidRPr="00BB1D4E">
        <w:rPr>
          <w:lang w:val="en-US"/>
        </w:rPr>
        <w:t>–</w:t>
      </w:r>
      <w:r w:rsidRPr="00BB1D4E">
        <w:rPr>
          <w:lang w:val="en-US"/>
        </w:rPr>
        <w:tab/>
        <w:t>Disasters.</w:t>
      </w:r>
    </w:p>
    <w:p w:rsidR="00BB1D4E" w:rsidRPr="00BB1D4E" w:rsidRDefault="00BB1D4E" w:rsidP="00BB1D4E">
      <w:pPr>
        <w:rPr>
          <w:lang w:val="en-US"/>
        </w:rPr>
      </w:pPr>
      <w:r w:rsidRPr="00BB1D4E">
        <w:rPr>
          <w:lang w:val="en-US"/>
        </w:rPr>
        <w:t>The methodology used for determining the broadband HAPS applications capacity demand can be considered as an incident approach where traffic is summed over several separate incidents and background traffic is then added in order to define the total capacity demand and finally the spectrum needs.</w:t>
      </w:r>
    </w:p>
    <w:p w:rsidR="00BB1D4E" w:rsidRPr="00BB1D4E" w:rsidRDefault="00BB1D4E" w:rsidP="00BB1D4E">
      <w:pPr>
        <w:rPr>
          <w:lang w:val="en-US"/>
        </w:rPr>
      </w:pPr>
      <w:r w:rsidRPr="00BB1D4E">
        <w:rPr>
          <w:lang w:val="en-US"/>
        </w:rPr>
        <w:t>Methodology for Disasters: It is considered that the estimated spectrum needs for PP2 scenarios are sufficient to cover basic disaster relief capacity demands</w:t>
      </w:r>
      <w:r w:rsidR="00AA2CBE">
        <w:rPr>
          <w:lang w:val="en-US"/>
        </w:rPr>
        <w:t>.</w:t>
      </w:r>
    </w:p>
    <w:p w:rsidR="00BB1D4E" w:rsidRPr="00BB1D4E" w:rsidRDefault="00BB1D4E" w:rsidP="00BB1D4E">
      <w:pPr>
        <w:pStyle w:val="Heading2"/>
        <w:rPr>
          <w:lang w:val="en-US"/>
        </w:rPr>
      </w:pPr>
      <w:r w:rsidRPr="00BB1D4E">
        <w:rPr>
          <w:lang w:val="en-US"/>
        </w:rPr>
        <w:t>2.1</w:t>
      </w:r>
      <w:r w:rsidRPr="00BB1D4E">
        <w:rPr>
          <w:lang w:val="en-US"/>
        </w:rPr>
        <w:tab/>
        <w:t>PP1 capacity</w:t>
      </w:r>
    </w:p>
    <w:p w:rsidR="00BB1D4E" w:rsidRPr="00BB1D4E" w:rsidRDefault="00BB1D4E" w:rsidP="00BB1D4E">
      <w:pPr>
        <w:rPr>
          <w:lang w:val="en-US"/>
        </w:rPr>
      </w:pPr>
      <w:r w:rsidRPr="00BB1D4E">
        <w:rPr>
          <w:lang w:val="en-US"/>
        </w:rPr>
        <w:t xml:space="preserve">The following </w:t>
      </w:r>
      <w:r w:rsidR="00625BA5" w:rsidRPr="00BB1D4E">
        <w:rPr>
          <w:lang w:val="en-US"/>
        </w:rPr>
        <w:t xml:space="preserve">Table </w:t>
      </w:r>
      <w:r w:rsidRPr="00BB1D4E">
        <w:rPr>
          <w:lang w:val="en-US"/>
        </w:rPr>
        <w:t xml:space="preserve">is extracted from Report ITU-R M.2377-0 (Annex 7A) and provides the peak traffic per incident in kbps within Europe. </w:t>
      </w:r>
    </w:p>
    <w:p w:rsidR="00BB1D4E" w:rsidRPr="00BB1D4E" w:rsidRDefault="00EA647E" w:rsidP="00BB1D4E">
      <w:pPr>
        <w:pStyle w:val="TableNo"/>
        <w:rPr>
          <w:lang w:val="en-US"/>
        </w:rPr>
      </w:pPr>
      <w:r w:rsidRPr="00BB1D4E">
        <w:rPr>
          <w:lang w:val="en-US"/>
        </w:rPr>
        <w:t xml:space="preserve">TABLE </w:t>
      </w:r>
      <w:r w:rsidR="00BB1D4E" w:rsidRPr="00BB1D4E">
        <w:rPr>
          <w:lang w:val="en-US"/>
        </w:rPr>
        <w:t>10</w:t>
      </w:r>
    </w:p>
    <w:p w:rsidR="00BB1D4E" w:rsidRPr="00BB1D4E" w:rsidRDefault="00BB1D4E" w:rsidP="00BB1D4E">
      <w:pPr>
        <w:pStyle w:val="Tabletitle"/>
        <w:rPr>
          <w:lang w:val="en-US"/>
        </w:rPr>
      </w:pPr>
      <w:r w:rsidRPr="00BB1D4E">
        <w:rPr>
          <w:lang w:val="en-US"/>
        </w:rPr>
        <w:t>Traffic demand per incident within Europe</w:t>
      </w:r>
    </w:p>
    <w:tbl>
      <w:tblPr>
        <w:tblStyle w:val="TableGrid"/>
        <w:tblW w:w="6804" w:type="dxa"/>
        <w:jc w:val="center"/>
        <w:tblLayout w:type="fixed"/>
        <w:tblLook w:val="0420" w:firstRow="1" w:lastRow="0" w:firstColumn="0" w:lastColumn="0" w:noHBand="0" w:noVBand="1"/>
      </w:tblPr>
      <w:tblGrid>
        <w:gridCol w:w="2398"/>
        <w:gridCol w:w="856"/>
        <w:gridCol w:w="3550"/>
      </w:tblGrid>
      <w:tr w:rsidR="00BB1D4E" w:rsidRPr="00473271" w:rsidTr="00EA647E">
        <w:trPr>
          <w:jc w:val="center"/>
        </w:trPr>
        <w:tc>
          <w:tcPr>
            <w:tcW w:w="1987" w:type="dxa"/>
            <w:hideMark/>
          </w:tcPr>
          <w:p w:rsidR="00BB1D4E" w:rsidRPr="00BB1D4E" w:rsidRDefault="00BB1D4E" w:rsidP="003927B7">
            <w:pPr>
              <w:pStyle w:val="Tablehead"/>
              <w:rPr>
                <w:lang w:val="en-US" w:eastAsia="fr-FR"/>
              </w:rPr>
            </w:pPr>
          </w:p>
        </w:tc>
        <w:tc>
          <w:tcPr>
            <w:tcW w:w="709" w:type="dxa"/>
            <w:hideMark/>
          </w:tcPr>
          <w:p w:rsidR="00BB1D4E" w:rsidRPr="00BB1D4E" w:rsidRDefault="00BB1D4E" w:rsidP="003927B7">
            <w:pPr>
              <w:pStyle w:val="Tablehead"/>
              <w:rPr>
                <w:lang w:val="en-US" w:eastAsia="fr-FR"/>
              </w:rPr>
            </w:pPr>
          </w:p>
        </w:tc>
        <w:tc>
          <w:tcPr>
            <w:tcW w:w="2942" w:type="dxa"/>
            <w:hideMark/>
          </w:tcPr>
          <w:p w:rsidR="00BB1D4E" w:rsidRPr="00BB1D4E" w:rsidRDefault="00BB1D4E" w:rsidP="00EA647E">
            <w:pPr>
              <w:pStyle w:val="Tablehead"/>
              <w:rPr>
                <w:lang w:val="en-US" w:eastAsia="fr-FR"/>
              </w:rPr>
            </w:pPr>
            <w:r w:rsidRPr="00BB1D4E">
              <w:rPr>
                <w:bCs/>
                <w:kern w:val="24"/>
                <w:lang w:val="en-US" w:eastAsia="fr-FR"/>
              </w:rPr>
              <w:t>Peak traffic /incidents</w:t>
            </w:r>
            <w:r w:rsidR="00EA647E">
              <w:rPr>
                <w:bCs/>
                <w:kern w:val="24"/>
                <w:lang w:val="en-US" w:eastAsia="fr-FR"/>
              </w:rPr>
              <w:br/>
            </w:r>
            <w:r w:rsidRPr="00BB1D4E">
              <w:rPr>
                <w:bCs/>
                <w:kern w:val="24"/>
                <w:lang w:val="en-US" w:eastAsia="fr-FR"/>
              </w:rPr>
              <w:t>(kbit/s)</w:t>
            </w:r>
          </w:p>
        </w:tc>
      </w:tr>
      <w:tr w:rsidR="00BB1D4E" w:rsidRPr="004E6817" w:rsidTr="00824C36">
        <w:trPr>
          <w:jc w:val="center"/>
        </w:trPr>
        <w:tc>
          <w:tcPr>
            <w:tcW w:w="1987" w:type="dxa"/>
            <w:tcBorders>
              <w:bottom w:val="nil"/>
            </w:tcBorders>
            <w:hideMark/>
          </w:tcPr>
          <w:p w:rsidR="00BB1D4E" w:rsidRPr="004E6817" w:rsidRDefault="00BB1D4E" w:rsidP="003927B7">
            <w:pPr>
              <w:pStyle w:val="Tabletext"/>
              <w:spacing w:before="0" w:after="0"/>
              <w:rPr>
                <w:rFonts w:asciiTheme="majorBidi" w:hAnsiTheme="majorBidi" w:cstheme="majorBidi"/>
                <w:lang w:eastAsia="fr-FR"/>
              </w:rPr>
            </w:pPr>
            <w:r w:rsidRPr="004E6817">
              <w:rPr>
                <w:rFonts w:asciiTheme="majorBidi" w:hAnsiTheme="majorBidi" w:cstheme="majorBidi"/>
                <w:color w:val="000000" w:themeColor="dark1"/>
                <w:kern w:val="24"/>
                <w:lang w:eastAsia="fr-FR"/>
              </w:rPr>
              <w:t>Road accident</w:t>
            </w: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UL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1 300</w:t>
            </w:r>
          </w:p>
        </w:tc>
      </w:tr>
      <w:tr w:rsidR="00BB1D4E" w:rsidRPr="004E6817" w:rsidTr="00824C36">
        <w:trPr>
          <w:jc w:val="center"/>
        </w:trPr>
        <w:tc>
          <w:tcPr>
            <w:tcW w:w="1987" w:type="dxa"/>
            <w:tcBorders>
              <w:top w:val="nil"/>
            </w:tcBorders>
            <w:hideMark/>
          </w:tcPr>
          <w:p w:rsidR="00BB1D4E" w:rsidRPr="004E6817" w:rsidRDefault="00BB1D4E" w:rsidP="003927B7">
            <w:pPr>
              <w:pStyle w:val="Tabletext"/>
              <w:spacing w:before="0" w:after="0"/>
              <w:rPr>
                <w:rFonts w:asciiTheme="majorBidi" w:hAnsiTheme="majorBidi" w:cstheme="majorBidi"/>
                <w:lang w:eastAsia="fr-FR"/>
              </w:rPr>
            </w:pP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DL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1 300</w:t>
            </w:r>
          </w:p>
        </w:tc>
      </w:tr>
      <w:tr w:rsidR="00BB1D4E" w:rsidRPr="004E6817" w:rsidTr="00824C36">
        <w:trPr>
          <w:jc w:val="center"/>
        </w:trPr>
        <w:tc>
          <w:tcPr>
            <w:tcW w:w="1987" w:type="dxa"/>
            <w:tcBorders>
              <w:bottom w:val="nil"/>
            </w:tcBorders>
            <w:hideMark/>
          </w:tcPr>
          <w:p w:rsidR="00BB1D4E" w:rsidRPr="004E6817" w:rsidRDefault="00BB1D4E" w:rsidP="003927B7">
            <w:pPr>
              <w:pStyle w:val="Tabletext"/>
              <w:spacing w:before="0" w:after="0"/>
              <w:rPr>
                <w:rFonts w:asciiTheme="majorBidi" w:hAnsiTheme="majorBidi" w:cstheme="majorBidi"/>
                <w:lang w:eastAsia="fr-FR"/>
              </w:rPr>
            </w:pPr>
            <w:r w:rsidRPr="004E6817">
              <w:rPr>
                <w:rFonts w:asciiTheme="majorBidi" w:hAnsiTheme="majorBidi" w:cstheme="majorBidi"/>
                <w:color w:val="000000" w:themeColor="dark1"/>
                <w:kern w:val="24"/>
                <w:lang w:eastAsia="fr-FR"/>
              </w:rPr>
              <w:t>Traffic stop</w:t>
            </w: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UL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1 300</w:t>
            </w:r>
          </w:p>
        </w:tc>
      </w:tr>
      <w:tr w:rsidR="00BB1D4E" w:rsidRPr="004E6817" w:rsidTr="00824C36">
        <w:trPr>
          <w:jc w:val="center"/>
        </w:trPr>
        <w:tc>
          <w:tcPr>
            <w:tcW w:w="1987" w:type="dxa"/>
            <w:tcBorders>
              <w:top w:val="nil"/>
            </w:tcBorders>
            <w:hideMark/>
          </w:tcPr>
          <w:p w:rsidR="00BB1D4E" w:rsidRPr="004E6817" w:rsidRDefault="00BB1D4E" w:rsidP="003927B7">
            <w:pPr>
              <w:pStyle w:val="Tabletext"/>
              <w:spacing w:before="0" w:after="0"/>
              <w:rPr>
                <w:rFonts w:asciiTheme="majorBidi" w:hAnsiTheme="majorBidi" w:cstheme="majorBidi"/>
                <w:lang w:eastAsia="fr-FR"/>
              </w:rPr>
            </w:pP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DL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1 300</w:t>
            </w:r>
          </w:p>
        </w:tc>
      </w:tr>
      <w:tr w:rsidR="00BB1D4E" w:rsidRPr="004E6817" w:rsidTr="00824C36">
        <w:trPr>
          <w:jc w:val="center"/>
        </w:trPr>
        <w:tc>
          <w:tcPr>
            <w:tcW w:w="1987" w:type="dxa"/>
            <w:tcBorders>
              <w:bottom w:val="nil"/>
            </w:tcBorders>
            <w:hideMark/>
          </w:tcPr>
          <w:p w:rsidR="00BB1D4E" w:rsidRPr="004E6817" w:rsidRDefault="00BB1D4E" w:rsidP="003927B7">
            <w:pPr>
              <w:pStyle w:val="Tabletext"/>
              <w:spacing w:before="0" w:after="0"/>
              <w:rPr>
                <w:rFonts w:asciiTheme="majorBidi" w:hAnsiTheme="majorBidi" w:cstheme="majorBidi"/>
                <w:lang w:eastAsia="fr-FR"/>
              </w:rPr>
            </w:pPr>
            <w:r w:rsidRPr="004E6817">
              <w:rPr>
                <w:rFonts w:asciiTheme="majorBidi" w:hAnsiTheme="majorBidi" w:cstheme="majorBidi"/>
                <w:color w:val="000000" w:themeColor="dark1"/>
                <w:kern w:val="24"/>
                <w:lang w:eastAsia="fr-FR"/>
              </w:rPr>
              <w:t>Background</w:t>
            </w: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UL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1 380</w:t>
            </w:r>
          </w:p>
        </w:tc>
      </w:tr>
      <w:tr w:rsidR="00BB1D4E" w:rsidRPr="004E6817" w:rsidTr="00824C36">
        <w:trPr>
          <w:jc w:val="center"/>
        </w:trPr>
        <w:tc>
          <w:tcPr>
            <w:tcW w:w="1987" w:type="dxa"/>
            <w:tcBorders>
              <w:top w:val="nil"/>
            </w:tcBorders>
            <w:hideMark/>
          </w:tcPr>
          <w:p w:rsidR="00BB1D4E" w:rsidRPr="004E6817" w:rsidRDefault="00BB1D4E" w:rsidP="003927B7">
            <w:pPr>
              <w:pStyle w:val="Tabletext"/>
              <w:spacing w:before="0" w:after="0"/>
              <w:rPr>
                <w:rFonts w:asciiTheme="majorBidi" w:hAnsiTheme="majorBidi" w:cstheme="majorBidi"/>
                <w:lang w:eastAsia="fr-FR"/>
              </w:rPr>
            </w:pPr>
          </w:p>
        </w:tc>
        <w:tc>
          <w:tcPr>
            <w:tcW w:w="709"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DL</w:t>
            </w:r>
          </w:p>
        </w:tc>
        <w:tc>
          <w:tcPr>
            <w:tcW w:w="2942" w:type="dxa"/>
            <w:hideMark/>
          </w:tcPr>
          <w:p w:rsidR="00BB1D4E" w:rsidRPr="004E6817" w:rsidRDefault="00BB1D4E" w:rsidP="003927B7">
            <w:pPr>
              <w:pStyle w:val="Tabletext"/>
              <w:spacing w:before="0" w:after="0"/>
              <w:jc w:val="center"/>
              <w:rPr>
                <w:rFonts w:asciiTheme="majorBidi" w:hAnsiTheme="majorBidi" w:cstheme="majorBidi"/>
                <w:lang w:eastAsia="fr-FR"/>
              </w:rPr>
            </w:pPr>
            <w:r w:rsidRPr="004E6817">
              <w:rPr>
                <w:rFonts w:asciiTheme="majorBidi" w:hAnsiTheme="majorBidi" w:cstheme="majorBidi"/>
                <w:color w:val="000000" w:themeColor="dark1"/>
                <w:kern w:val="24"/>
                <w:lang w:eastAsia="fr-FR"/>
              </w:rPr>
              <w:t>876</w:t>
            </w:r>
          </w:p>
        </w:tc>
      </w:tr>
    </w:tbl>
    <w:p w:rsidR="00BB1D4E" w:rsidRPr="004E6817" w:rsidRDefault="00BB1D4E" w:rsidP="00BB1D4E">
      <w:pPr>
        <w:pStyle w:val="Tablefin"/>
      </w:pPr>
    </w:p>
    <w:p w:rsidR="00BB1D4E" w:rsidRPr="00BB1D4E" w:rsidRDefault="00BB1D4E" w:rsidP="00BB1D4E">
      <w:pPr>
        <w:rPr>
          <w:lang w:val="en-US"/>
        </w:rPr>
      </w:pPr>
      <w:r w:rsidRPr="00BB1D4E">
        <w:rPr>
          <w:lang w:val="en-US"/>
        </w:rPr>
        <w:lastRenderedPageBreak/>
        <w:t>The total estimated total required traffic/capacity can also be d</w:t>
      </w:r>
      <w:r w:rsidR="00AA2CBE">
        <w:rPr>
          <w:lang w:val="en-US"/>
        </w:rPr>
        <w:t>erived from Report ITU-R M.2377</w:t>
      </w:r>
      <w:r w:rsidR="00AA2CBE">
        <w:rPr>
          <w:lang w:val="en-US"/>
        </w:rPr>
        <w:noBreakHyphen/>
      </w:r>
      <w:r w:rsidRPr="00BB1D4E">
        <w:rPr>
          <w:lang w:val="en-US"/>
        </w:rPr>
        <w:t>0 (Annex 7A) and is presented in Table 11.</w:t>
      </w:r>
    </w:p>
    <w:p w:rsidR="00BB1D4E" w:rsidRPr="00BB1D4E" w:rsidRDefault="00EA647E" w:rsidP="00BB1D4E">
      <w:pPr>
        <w:pStyle w:val="TableNo"/>
        <w:rPr>
          <w:i/>
          <w:iCs/>
          <w:lang w:val="en-US"/>
        </w:rPr>
      </w:pPr>
      <w:r w:rsidRPr="00BB1D4E">
        <w:rPr>
          <w:lang w:val="en-US"/>
        </w:rPr>
        <w:t xml:space="preserve">TABLE </w:t>
      </w:r>
      <w:r w:rsidR="00BB1D4E" w:rsidRPr="00BB1D4E">
        <w:rPr>
          <w:lang w:val="en-US"/>
        </w:rPr>
        <w:t>11</w:t>
      </w:r>
    </w:p>
    <w:p w:rsidR="00BB1D4E" w:rsidRPr="00BB1D4E" w:rsidRDefault="00BB1D4E" w:rsidP="00BB1D4E">
      <w:pPr>
        <w:pStyle w:val="Tabletitle"/>
        <w:rPr>
          <w:lang w:val="en-US"/>
        </w:rPr>
      </w:pPr>
      <w:r w:rsidRPr="00BB1D4E">
        <w:rPr>
          <w:lang w:val="en-US"/>
        </w:rPr>
        <w:t>PP1 traffic demand per HAPS within Europe</w:t>
      </w:r>
    </w:p>
    <w:tbl>
      <w:tblPr>
        <w:tblStyle w:val="TableGrid"/>
        <w:tblW w:w="9639" w:type="dxa"/>
        <w:jc w:val="center"/>
        <w:tblLook w:val="0420" w:firstRow="1" w:lastRow="0" w:firstColumn="0" w:lastColumn="0" w:noHBand="0" w:noVBand="1"/>
      </w:tblPr>
      <w:tblGrid>
        <w:gridCol w:w="2625"/>
        <w:gridCol w:w="1554"/>
        <w:gridCol w:w="1260"/>
        <w:gridCol w:w="2352"/>
        <w:gridCol w:w="1848"/>
      </w:tblGrid>
      <w:tr w:rsidR="00BB1D4E" w:rsidRPr="004E6817" w:rsidTr="00EA647E">
        <w:trPr>
          <w:trHeight w:val="20"/>
          <w:jc w:val="center"/>
        </w:trPr>
        <w:tc>
          <w:tcPr>
            <w:tcW w:w="2505" w:type="dxa"/>
            <w:hideMark/>
          </w:tcPr>
          <w:p w:rsidR="00BB1D4E" w:rsidRPr="00BB1D4E" w:rsidRDefault="00BB1D4E" w:rsidP="003927B7">
            <w:pPr>
              <w:pStyle w:val="Tablehead"/>
              <w:rPr>
                <w:lang w:val="en-US"/>
              </w:rPr>
            </w:pPr>
          </w:p>
        </w:tc>
        <w:tc>
          <w:tcPr>
            <w:tcW w:w="1483" w:type="dxa"/>
            <w:hideMark/>
          </w:tcPr>
          <w:p w:rsidR="00BB1D4E" w:rsidRPr="00BB1D4E" w:rsidRDefault="00BB1D4E" w:rsidP="003927B7">
            <w:pPr>
              <w:pStyle w:val="Tablehead"/>
              <w:rPr>
                <w:lang w:val="en-US"/>
              </w:rPr>
            </w:pPr>
          </w:p>
        </w:tc>
        <w:tc>
          <w:tcPr>
            <w:tcW w:w="1203" w:type="dxa"/>
            <w:hideMark/>
          </w:tcPr>
          <w:p w:rsidR="00BB1D4E" w:rsidRPr="004E6817" w:rsidRDefault="00BB1D4E" w:rsidP="003927B7">
            <w:pPr>
              <w:pStyle w:val="Tablehead"/>
            </w:pPr>
            <w:r w:rsidRPr="004E6817">
              <w:t>Urban</w:t>
            </w:r>
          </w:p>
        </w:tc>
        <w:tc>
          <w:tcPr>
            <w:tcW w:w="2245" w:type="dxa"/>
            <w:hideMark/>
          </w:tcPr>
          <w:p w:rsidR="00BB1D4E" w:rsidRPr="004E6817" w:rsidRDefault="00BB1D4E" w:rsidP="003927B7">
            <w:pPr>
              <w:pStyle w:val="Tablehead"/>
            </w:pPr>
            <w:r w:rsidRPr="004E6817">
              <w:t>Suburban</w:t>
            </w:r>
          </w:p>
        </w:tc>
        <w:tc>
          <w:tcPr>
            <w:tcW w:w="1764" w:type="dxa"/>
            <w:hideMark/>
          </w:tcPr>
          <w:p w:rsidR="00BB1D4E" w:rsidRPr="004E6817" w:rsidRDefault="00BB1D4E" w:rsidP="003927B7">
            <w:pPr>
              <w:pStyle w:val="Tablehead"/>
            </w:pPr>
            <w:r w:rsidRPr="004E6817">
              <w:t>Rural</w:t>
            </w:r>
          </w:p>
        </w:tc>
      </w:tr>
      <w:tr w:rsidR="00BB1D4E" w:rsidRPr="004E6817" w:rsidTr="00EA647E">
        <w:trPr>
          <w:trHeight w:val="20"/>
          <w:jc w:val="center"/>
        </w:trPr>
        <w:tc>
          <w:tcPr>
            <w:tcW w:w="2505" w:type="dxa"/>
            <w:hideMark/>
          </w:tcPr>
          <w:p w:rsidR="00BB1D4E" w:rsidRPr="004E6817" w:rsidRDefault="00BB1D4E" w:rsidP="00AA2CBE">
            <w:pPr>
              <w:pStyle w:val="Tabletext"/>
              <w:jc w:val="left"/>
            </w:pPr>
            <w:r w:rsidRPr="004E6817">
              <w:t>Population</w:t>
            </w:r>
          </w:p>
        </w:tc>
        <w:tc>
          <w:tcPr>
            <w:tcW w:w="1483" w:type="dxa"/>
            <w:hideMark/>
          </w:tcPr>
          <w:p w:rsidR="00BB1D4E" w:rsidRPr="004E6817" w:rsidRDefault="00BB1D4E" w:rsidP="003927B7">
            <w:pPr>
              <w:pStyle w:val="Tabletext"/>
              <w:jc w:val="center"/>
            </w:pPr>
            <w:r w:rsidRPr="004E6817">
              <w:t>pop/km</w:t>
            </w:r>
            <w:r w:rsidRPr="004E6817">
              <w:rPr>
                <w:vertAlign w:val="superscript"/>
              </w:rPr>
              <w:t>2</w:t>
            </w:r>
          </w:p>
        </w:tc>
        <w:tc>
          <w:tcPr>
            <w:tcW w:w="1203" w:type="dxa"/>
            <w:hideMark/>
          </w:tcPr>
          <w:p w:rsidR="00BB1D4E" w:rsidRPr="004E6817" w:rsidRDefault="00BB1D4E" w:rsidP="003927B7">
            <w:pPr>
              <w:pStyle w:val="Tabletext"/>
              <w:jc w:val="center"/>
            </w:pPr>
            <w:r w:rsidRPr="004E6817">
              <w:t>&gt;</w:t>
            </w:r>
            <w:r w:rsidR="00AA2CBE">
              <w:t xml:space="preserve"> </w:t>
            </w:r>
            <w:r w:rsidRPr="004E6817">
              <w:t>3000</w:t>
            </w:r>
          </w:p>
        </w:tc>
        <w:tc>
          <w:tcPr>
            <w:tcW w:w="2245" w:type="dxa"/>
            <w:hideMark/>
          </w:tcPr>
          <w:p w:rsidR="00BB1D4E" w:rsidRPr="004E6817" w:rsidRDefault="00BB1D4E" w:rsidP="003927B7">
            <w:pPr>
              <w:pStyle w:val="Tabletext"/>
              <w:jc w:val="center"/>
            </w:pPr>
            <w:r w:rsidRPr="004E6817">
              <w:t>&gt;</w:t>
            </w:r>
            <w:r w:rsidR="00AA2CBE">
              <w:t xml:space="preserve"> </w:t>
            </w:r>
            <w:r w:rsidRPr="004E6817">
              <w:t>300 and &lt;</w:t>
            </w:r>
            <w:r w:rsidR="00AA2CBE">
              <w:t xml:space="preserve"> </w:t>
            </w:r>
            <w:r w:rsidRPr="004E6817">
              <w:t>3000</w:t>
            </w:r>
          </w:p>
        </w:tc>
        <w:tc>
          <w:tcPr>
            <w:tcW w:w="1764" w:type="dxa"/>
            <w:hideMark/>
          </w:tcPr>
          <w:p w:rsidR="00BB1D4E" w:rsidRPr="004E6817" w:rsidRDefault="00BB1D4E" w:rsidP="003927B7">
            <w:pPr>
              <w:pStyle w:val="Tabletext"/>
              <w:jc w:val="center"/>
            </w:pPr>
            <w:r w:rsidRPr="004E6817">
              <w:t>&lt; 300</w:t>
            </w:r>
          </w:p>
        </w:tc>
      </w:tr>
      <w:tr w:rsidR="00BB1D4E" w:rsidRPr="004E6817" w:rsidTr="00EA647E">
        <w:trPr>
          <w:trHeight w:val="20"/>
          <w:jc w:val="center"/>
        </w:trPr>
        <w:tc>
          <w:tcPr>
            <w:tcW w:w="2505" w:type="dxa"/>
            <w:hideMark/>
          </w:tcPr>
          <w:p w:rsidR="00BB1D4E" w:rsidRPr="004E6817" w:rsidRDefault="00BB1D4E" w:rsidP="00AA2CBE">
            <w:pPr>
              <w:pStyle w:val="Tabletext"/>
              <w:jc w:val="left"/>
            </w:pPr>
            <w:r w:rsidRPr="004E6817">
              <w:t>Incident density</w:t>
            </w:r>
          </w:p>
        </w:tc>
        <w:tc>
          <w:tcPr>
            <w:tcW w:w="1483" w:type="dxa"/>
            <w:hideMark/>
          </w:tcPr>
          <w:p w:rsidR="00BB1D4E" w:rsidRPr="004E6817" w:rsidRDefault="00BB1D4E" w:rsidP="003927B7">
            <w:pPr>
              <w:pStyle w:val="Tabletext"/>
              <w:jc w:val="center"/>
            </w:pPr>
            <w:r w:rsidRPr="004E6817">
              <w:t>/km</w:t>
            </w:r>
            <w:r w:rsidRPr="004E6817">
              <w:rPr>
                <w:vertAlign w:val="superscript"/>
              </w:rPr>
              <w:t>2</w:t>
            </w:r>
          </w:p>
        </w:tc>
        <w:tc>
          <w:tcPr>
            <w:tcW w:w="1203" w:type="dxa"/>
            <w:hideMark/>
          </w:tcPr>
          <w:p w:rsidR="00BB1D4E" w:rsidRPr="004E6817" w:rsidRDefault="00BB1D4E" w:rsidP="003927B7">
            <w:pPr>
              <w:pStyle w:val="Tabletext"/>
              <w:jc w:val="center"/>
              <w:rPr>
                <w:rFonts w:eastAsia="Times New Roman"/>
                <w:caps/>
                <w:szCs w:val="20"/>
              </w:rPr>
            </w:pPr>
            <w:r w:rsidRPr="004E6817">
              <w:t>0.0233</w:t>
            </w:r>
          </w:p>
        </w:tc>
        <w:tc>
          <w:tcPr>
            <w:tcW w:w="2245" w:type="dxa"/>
            <w:hideMark/>
          </w:tcPr>
          <w:p w:rsidR="00BB1D4E" w:rsidRPr="004E6817" w:rsidRDefault="00BB1D4E" w:rsidP="003927B7">
            <w:pPr>
              <w:pStyle w:val="Tabletext"/>
              <w:jc w:val="center"/>
              <w:rPr>
                <w:rFonts w:eastAsia="Times New Roman"/>
                <w:caps/>
                <w:szCs w:val="20"/>
              </w:rPr>
            </w:pPr>
            <w:r w:rsidRPr="004E6817">
              <w:t>0.002</w:t>
            </w:r>
          </w:p>
        </w:tc>
        <w:tc>
          <w:tcPr>
            <w:tcW w:w="1764" w:type="dxa"/>
            <w:hideMark/>
          </w:tcPr>
          <w:p w:rsidR="00BB1D4E" w:rsidRPr="004E6817" w:rsidRDefault="00AA2CBE" w:rsidP="003927B7">
            <w:pPr>
              <w:pStyle w:val="Tabletext"/>
              <w:jc w:val="center"/>
            </w:pPr>
            <w:r>
              <w:t>0.</w:t>
            </w:r>
            <w:r w:rsidR="00BB1D4E" w:rsidRPr="004E6817">
              <w:t>00001644</w:t>
            </w:r>
          </w:p>
        </w:tc>
      </w:tr>
      <w:tr w:rsidR="00BB1D4E" w:rsidRPr="004E6817" w:rsidTr="00EA647E">
        <w:trPr>
          <w:trHeight w:val="20"/>
          <w:jc w:val="center"/>
        </w:trPr>
        <w:tc>
          <w:tcPr>
            <w:tcW w:w="2505" w:type="dxa"/>
            <w:hideMark/>
          </w:tcPr>
          <w:p w:rsidR="00BB1D4E" w:rsidRPr="004E6817" w:rsidRDefault="00BB1D4E" w:rsidP="00AA2CBE">
            <w:pPr>
              <w:pStyle w:val="Tabletext"/>
              <w:jc w:val="left"/>
            </w:pPr>
            <w:r w:rsidRPr="004E6817">
              <w:t>Incident traffic</w:t>
            </w:r>
          </w:p>
        </w:tc>
        <w:tc>
          <w:tcPr>
            <w:tcW w:w="1483" w:type="dxa"/>
            <w:hideMark/>
          </w:tcPr>
          <w:p w:rsidR="00BB1D4E" w:rsidRPr="004E6817" w:rsidRDefault="00BB1D4E" w:rsidP="003927B7">
            <w:pPr>
              <w:pStyle w:val="Tabletext"/>
              <w:jc w:val="center"/>
            </w:pPr>
            <w:r w:rsidRPr="004E6817">
              <w:t>kb</w:t>
            </w:r>
            <w:r>
              <w:t>it/</w:t>
            </w:r>
            <w:r w:rsidRPr="004E6817">
              <w:t>s/km</w:t>
            </w:r>
            <w:r w:rsidRPr="004E6817">
              <w:rPr>
                <w:vertAlign w:val="superscript"/>
              </w:rPr>
              <w:t>2</w:t>
            </w:r>
          </w:p>
        </w:tc>
        <w:tc>
          <w:tcPr>
            <w:tcW w:w="1203" w:type="dxa"/>
            <w:hideMark/>
          </w:tcPr>
          <w:p w:rsidR="00BB1D4E" w:rsidRPr="004E6817" w:rsidRDefault="00BB1D4E" w:rsidP="003927B7">
            <w:pPr>
              <w:pStyle w:val="Tabletext"/>
              <w:jc w:val="center"/>
            </w:pPr>
            <w:r w:rsidRPr="004E6817">
              <w:t>30.3 UL</w:t>
            </w:r>
          </w:p>
          <w:p w:rsidR="00BB1D4E" w:rsidRPr="004E6817" w:rsidRDefault="00BB1D4E" w:rsidP="003927B7">
            <w:pPr>
              <w:pStyle w:val="Tabletext"/>
              <w:jc w:val="center"/>
            </w:pPr>
            <w:r w:rsidRPr="004E6817">
              <w:t>30.3 DL</w:t>
            </w:r>
          </w:p>
        </w:tc>
        <w:tc>
          <w:tcPr>
            <w:tcW w:w="2245" w:type="dxa"/>
            <w:hideMark/>
          </w:tcPr>
          <w:p w:rsidR="00BB1D4E" w:rsidRPr="004E6817" w:rsidRDefault="00BB1D4E" w:rsidP="003927B7">
            <w:pPr>
              <w:pStyle w:val="Tabletext"/>
              <w:jc w:val="center"/>
            </w:pPr>
            <w:r w:rsidRPr="004E6817">
              <w:t>2.6 UL</w:t>
            </w:r>
          </w:p>
          <w:p w:rsidR="00BB1D4E" w:rsidRPr="004E6817" w:rsidRDefault="00BB1D4E" w:rsidP="003927B7">
            <w:pPr>
              <w:pStyle w:val="Tabletext"/>
              <w:jc w:val="center"/>
              <w:rPr>
                <w:rFonts w:eastAsia="Times New Roman"/>
                <w:caps/>
                <w:szCs w:val="20"/>
              </w:rPr>
            </w:pPr>
            <w:r w:rsidRPr="004E6817">
              <w:t>2.6 DL</w:t>
            </w:r>
          </w:p>
        </w:tc>
        <w:tc>
          <w:tcPr>
            <w:tcW w:w="1764" w:type="dxa"/>
            <w:hideMark/>
          </w:tcPr>
          <w:p w:rsidR="00BB1D4E" w:rsidRPr="004E6817" w:rsidRDefault="00AA2CBE" w:rsidP="003927B7">
            <w:pPr>
              <w:pStyle w:val="Tabletext"/>
              <w:jc w:val="center"/>
            </w:pPr>
            <w:r>
              <w:t>0.</w:t>
            </w:r>
            <w:r w:rsidR="00BB1D4E" w:rsidRPr="004E6817">
              <w:t>0214 UL</w:t>
            </w:r>
          </w:p>
          <w:p w:rsidR="00BB1D4E" w:rsidRPr="004E6817" w:rsidRDefault="00AA2CBE" w:rsidP="003927B7">
            <w:pPr>
              <w:pStyle w:val="Tabletext"/>
              <w:jc w:val="center"/>
            </w:pPr>
            <w:r>
              <w:t>0.</w:t>
            </w:r>
            <w:r w:rsidR="00BB1D4E" w:rsidRPr="004E6817">
              <w:t>0214 DL</w:t>
            </w:r>
          </w:p>
        </w:tc>
      </w:tr>
      <w:tr w:rsidR="00BB1D4E" w:rsidRPr="004E6817" w:rsidTr="00EA647E">
        <w:trPr>
          <w:trHeight w:val="20"/>
          <w:jc w:val="center"/>
        </w:trPr>
        <w:tc>
          <w:tcPr>
            <w:tcW w:w="2505" w:type="dxa"/>
            <w:hideMark/>
          </w:tcPr>
          <w:p w:rsidR="00BB1D4E" w:rsidRPr="004E6817" w:rsidRDefault="00BB1D4E" w:rsidP="00AA2CBE">
            <w:pPr>
              <w:pStyle w:val="Tabletext"/>
              <w:jc w:val="left"/>
            </w:pPr>
            <w:r w:rsidRPr="004E6817">
              <w:t>Background traffic</w:t>
            </w:r>
          </w:p>
        </w:tc>
        <w:tc>
          <w:tcPr>
            <w:tcW w:w="1483" w:type="dxa"/>
            <w:hideMark/>
          </w:tcPr>
          <w:p w:rsidR="00BB1D4E" w:rsidRPr="004E6817" w:rsidRDefault="00BB1D4E" w:rsidP="003927B7">
            <w:pPr>
              <w:pStyle w:val="Tabletext"/>
              <w:jc w:val="center"/>
            </w:pPr>
            <w:r w:rsidRPr="004E6817">
              <w:t>kb</w:t>
            </w:r>
            <w:r>
              <w:t>it/</w:t>
            </w:r>
            <w:r w:rsidRPr="004E6817">
              <w:t>s/km</w:t>
            </w:r>
            <w:r w:rsidRPr="004E6817">
              <w:rPr>
                <w:vertAlign w:val="superscript"/>
              </w:rPr>
              <w:t>2</w:t>
            </w:r>
          </w:p>
        </w:tc>
        <w:tc>
          <w:tcPr>
            <w:tcW w:w="1203" w:type="dxa"/>
            <w:hideMark/>
          </w:tcPr>
          <w:p w:rsidR="00BB1D4E" w:rsidRPr="004E6817" w:rsidRDefault="00BB1D4E" w:rsidP="003927B7">
            <w:pPr>
              <w:pStyle w:val="Tabletext"/>
              <w:jc w:val="center"/>
            </w:pPr>
            <w:r w:rsidRPr="004E6817">
              <w:t>10.7 UL</w:t>
            </w:r>
          </w:p>
          <w:p w:rsidR="00BB1D4E" w:rsidRPr="004E6817" w:rsidRDefault="00BB1D4E" w:rsidP="003927B7">
            <w:pPr>
              <w:pStyle w:val="Tabletext"/>
              <w:jc w:val="center"/>
            </w:pPr>
            <w:r w:rsidRPr="004E6817">
              <w:t>6.8 DL</w:t>
            </w:r>
          </w:p>
        </w:tc>
        <w:tc>
          <w:tcPr>
            <w:tcW w:w="2245" w:type="dxa"/>
            <w:hideMark/>
          </w:tcPr>
          <w:p w:rsidR="00BB1D4E" w:rsidRPr="004E6817" w:rsidRDefault="00BB1D4E" w:rsidP="003927B7">
            <w:pPr>
              <w:pStyle w:val="Tabletext"/>
              <w:jc w:val="center"/>
            </w:pPr>
            <w:r w:rsidRPr="004E6817">
              <w:t>0.9 UL</w:t>
            </w:r>
          </w:p>
          <w:p w:rsidR="00BB1D4E" w:rsidRPr="004E6817" w:rsidRDefault="00BB1D4E" w:rsidP="003927B7">
            <w:pPr>
              <w:pStyle w:val="Tabletext"/>
              <w:jc w:val="center"/>
            </w:pPr>
            <w:r w:rsidRPr="004E6817">
              <w:t>0.57 DL</w:t>
            </w:r>
          </w:p>
        </w:tc>
        <w:tc>
          <w:tcPr>
            <w:tcW w:w="1764" w:type="dxa"/>
            <w:hideMark/>
          </w:tcPr>
          <w:p w:rsidR="00BB1D4E" w:rsidRPr="004E6817" w:rsidRDefault="00AA2CBE" w:rsidP="003927B7">
            <w:pPr>
              <w:pStyle w:val="Tabletext"/>
              <w:jc w:val="center"/>
            </w:pPr>
            <w:r>
              <w:t>0.</w:t>
            </w:r>
            <w:r w:rsidR="00BB1D4E" w:rsidRPr="004E6817">
              <w:t>0076 UL</w:t>
            </w:r>
          </w:p>
          <w:p w:rsidR="00BB1D4E" w:rsidRPr="004E6817" w:rsidRDefault="00AA2CBE" w:rsidP="003927B7">
            <w:pPr>
              <w:pStyle w:val="Tabletext"/>
              <w:jc w:val="center"/>
            </w:pPr>
            <w:r>
              <w:t>0.</w:t>
            </w:r>
            <w:r w:rsidR="00BB1D4E" w:rsidRPr="004E6817">
              <w:t>0048 DL</w:t>
            </w:r>
          </w:p>
        </w:tc>
      </w:tr>
      <w:tr w:rsidR="00BB1D4E" w:rsidRPr="004E6817" w:rsidTr="00EA647E">
        <w:trPr>
          <w:trHeight w:val="20"/>
          <w:jc w:val="center"/>
        </w:trPr>
        <w:tc>
          <w:tcPr>
            <w:tcW w:w="2505" w:type="dxa"/>
            <w:hideMark/>
          </w:tcPr>
          <w:p w:rsidR="00BB1D4E" w:rsidRPr="004E6817" w:rsidRDefault="00BB1D4E" w:rsidP="00AA2CBE">
            <w:pPr>
              <w:pStyle w:val="Tabletext"/>
              <w:jc w:val="left"/>
            </w:pPr>
            <w:r w:rsidRPr="004E6817">
              <w:t>Total traffic per km</w:t>
            </w:r>
            <w:r w:rsidRPr="004E6817">
              <w:rPr>
                <w:vertAlign w:val="superscript"/>
              </w:rPr>
              <w:t>2</w:t>
            </w:r>
          </w:p>
        </w:tc>
        <w:tc>
          <w:tcPr>
            <w:tcW w:w="1483" w:type="dxa"/>
            <w:hideMark/>
          </w:tcPr>
          <w:p w:rsidR="00BB1D4E" w:rsidRPr="004E6817" w:rsidRDefault="00BB1D4E" w:rsidP="003927B7">
            <w:pPr>
              <w:pStyle w:val="Tabletext"/>
              <w:jc w:val="center"/>
            </w:pPr>
            <w:r w:rsidRPr="004E6817">
              <w:t>kb</w:t>
            </w:r>
            <w:r>
              <w:t>it/</w:t>
            </w:r>
            <w:r w:rsidRPr="004E6817">
              <w:t>s/km</w:t>
            </w:r>
            <w:r w:rsidRPr="004E6817">
              <w:rPr>
                <w:vertAlign w:val="superscript"/>
              </w:rPr>
              <w:t>2</w:t>
            </w:r>
          </w:p>
        </w:tc>
        <w:tc>
          <w:tcPr>
            <w:tcW w:w="1203" w:type="dxa"/>
            <w:hideMark/>
          </w:tcPr>
          <w:p w:rsidR="00BB1D4E" w:rsidRPr="004E6817" w:rsidRDefault="00BB1D4E" w:rsidP="003927B7">
            <w:pPr>
              <w:pStyle w:val="Tabletext"/>
              <w:jc w:val="center"/>
            </w:pPr>
            <w:r w:rsidRPr="004E6817">
              <w:rPr>
                <w:bCs/>
              </w:rPr>
              <w:t>41 UL</w:t>
            </w:r>
          </w:p>
          <w:p w:rsidR="00BB1D4E" w:rsidRPr="004E6817" w:rsidRDefault="00BB1D4E" w:rsidP="003927B7">
            <w:pPr>
              <w:pStyle w:val="Tabletext"/>
              <w:jc w:val="center"/>
            </w:pPr>
            <w:r w:rsidRPr="004E6817">
              <w:rPr>
                <w:bCs/>
              </w:rPr>
              <w:t>37.1 DL</w:t>
            </w:r>
          </w:p>
        </w:tc>
        <w:tc>
          <w:tcPr>
            <w:tcW w:w="2245" w:type="dxa"/>
            <w:hideMark/>
          </w:tcPr>
          <w:p w:rsidR="00BB1D4E" w:rsidRPr="004E6817" w:rsidRDefault="00BB1D4E" w:rsidP="003927B7">
            <w:pPr>
              <w:pStyle w:val="Tabletext"/>
              <w:jc w:val="center"/>
            </w:pPr>
            <w:r w:rsidRPr="004E6817">
              <w:rPr>
                <w:bCs/>
              </w:rPr>
              <w:t>3.5 UL</w:t>
            </w:r>
          </w:p>
          <w:p w:rsidR="00BB1D4E" w:rsidRPr="004E6817" w:rsidRDefault="00BB1D4E" w:rsidP="003927B7">
            <w:pPr>
              <w:pStyle w:val="Tabletext"/>
              <w:jc w:val="center"/>
            </w:pPr>
            <w:r w:rsidRPr="004E6817">
              <w:rPr>
                <w:bCs/>
              </w:rPr>
              <w:t>3.17 DL</w:t>
            </w:r>
          </w:p>
        </w:tc>
        <w:tc>
          <w:tcPr>
            <w:tcW w:w="1764" w:type="dxa"/>
            <w:hideMark/>
          </w:tcPr>
          <w:p w:rsidR="00BB1D4E" w:rsidRPr="004E6817" w:rsidRDefault="00AA2CBE" w:rsidP="003927B7">
            <w:pPr>
              <w:pStyle w:val="Tabletext"/>
              <w:jc w:val="center"/>
            </w:pPr>
            <w:r>
              <w:rPr>
                <w:bCs/>
              </w:rPr>
              <w:t>0.</w:t>
            </w:r>
            <w:r w:rsidR="00BB1D4E" w:rsidRPr="004E6817">
              <w:rPr>
                <w:bCs/>
              </w:rPr>
              <w:t>029 UL</w:t>
            </w:r>
          </w:p>
          <w:p w:rsidR="00BB1D4E" w:rsidRPr="004E6817" w:rsidRDefault="00AA2CBE" w:rsidP="003927B7">
            <w:pPr>
              <w:pStyle w:val="Tabletext"/>
              <w:jc w:val="center"/>
            </w:pPr>
            <w:r>
              <w:rPr>
                <w:bCs/>
              </w:rPr>
              <w:t>0.</w:t>
            </w:r>
            <w:r w:rsidR="00BB1D4E" w:rsidRPr="004E6817">
              <w:rPr>
                <w:bCs/>
              </w:rPr>
              <w:t>0262 DL</w:t>
            </w:r>
          </w:p>
        </w:tc>
      </w:tr>
      <w:tr w:rsidR="00BB1D4E" w:rsidRPr="004E6817" w:rsidTr="00EA647E">
        <w:trPr>
          <w:trHeight w:val="20"/>
          <w:jc w:val="center"/>
        </w:trPr>
        <w:tc>
          <w:tcPr>
            <w:tcW w:w="2505" w:type="dxa"/>
          </w:tcPr>
          <w:p w:rsidR="00BB1D4E" w:rsidRPr="004E6817" w:rsidRDefault="00BB1D4E" w:rsidP="00AA2CBE">
            <w:pPr>
              <w:pStyle w:val="Tabletext"/>
              <w:jc w:val="left"/>
            </w:pPr>
            <w:r w:rsidRPr="004E6817">
              <w:t>HAPS coverage radius</w:t>
            </w:r>
          </w:p>
        </w:tc>
        <w:tc>
          <w:tcPr>
            <w:tcW w:w="1483" w:type="dxa"/>
          </w:tcPr>
          <w:p w:rsidR="00BB1D4E" w:rsidRPr="004E6817" w:rsidRDefault="00BB1D4E" w:rsidP="003927B7">
            <w:pPr>
              <w:pStyle w:val="Tabletext"/>
              <w:jc w:val="center"/>
            </w:pPr>
            <w:r w:rsidRPr="004E6817">
              <w:t>km</w:t>
            </w:r>
          </w:p>
        </w:tc>
        <w:tc>
          <w:tcPr>
            <w:tcW w:w="1203" w:type="dxa"/>
          </w:tcPr>
          <w:p w:rsidR="00BB1D4E" w:rsidRPr="004E6817" w:rsidRDefault="00BB1D4E" w:rsidP="003927B7">
            <w:pPr>
              <w:pStyle w:val="Tabletext"/>
              <w:jc w:val="center"/>
              <w:rPr>
                <w:bCs/>
              </w:rPr>
            </w:pPr>
            <w:r w:rsidRPr="004E6817">
              <w:rPr>
                <w:bCs/>
              </w:rPr>
              <w:t>30</w:t>
            </w:r>
          </w:p>
        </w:tc>
        <w:tc>
          <w:tcPr>
            <w:tcW w:w="2245" w:type="dxa"/>
          </w:tcPr>
          <w:p w:rsidR="00BB1D4E" w:rsidRPr="004E6817" w:rsidRDefault="00BB1D4E" w:rsidP="003927B7">
            <w:pPr>
              <w:pStyle w:val="Tabletext"/>
              <w:jc w:val="center"/>
              <w:rPr>
                <w:bCs/>
              </w:rPr>
            </w:pPr>
            <w:r w:rsidRPr="004E6817">
              <w:rPr>
                <w:bCs/>
              </w:rPr>
              <w:t>40</w:t>
            </w:r>
          </w:p>
        </w:tc>
        <w:tc>
          <w:tcPr>
            <w:tcW w:w="1764" w:type="dxa"/>
          </w:tcPr>
          <w:p w:rsidR="00BB1D4E" w:rsidRPr="004E6817" w:rsidRDefault="00BB1D4E" w:rsidP="003927B7">
            <w:pPr>
              <w:pStyle w:val="Tabletext"/>
              <w:jc w:val="center"/>
              <w:rPr>
                <w:bCs/>
              </w:rPr>
            </w:pPr>
            <w:r w:rsidRPr="004E6817">
              <w:rPr>
                <w:bCs/>
              </w:rPr>
              <w:t>56</w:t>
            </w:r>
          </w:p>
        </w:tc>
      </w:tr>
      <w:tr w:rsidR="00BB1D4E" w:rsidRPr="004E6817" w:rsidTr="00EA647E">
        <w:trPr>
          <w:trHeight w:val="20"/>
          <w:jc w:val="center"/>
        </w:trPr>
        <w:tc>
          <w:tcPr>
            <w:tcW w:w="2505" w:type="dxa"/>
          </w:tcPr>
          <w:p w:rsidR="00BB1D4E" w:rsidRPr="004E6817" w:rsidRDefault="00BB1D4E" w:rsidP="00AA2CBE">
            <w:pPr>
              <w:pStyle w:val="Tabletext"/>
              <w:jc w:val="left"/>
            </w:pPr>
            <w:r w:rsidRPr="004E6817">
              <w:t>HAPS coverage area</w:t>
            </w:r>
          </w:p>
        </w:tc>
        <w:tc>
          <w:tcPr>
            <w:tcW w:w="1483" w:type="dxa"/>
          </w:tcPr>
          <w:p w:rsidR="00BB1D4E" w:rsidRPr="004E6817" w:rsidRDefault="00BB1D4E" w:rsidP="003927B7">
            <w:pPr>
              <w:pStyle w:val="Tabletext"/>
              <w:jc w:val="center"/>
            </w:pPr>
            <w:r w:rsidRPr="004E6817">
              <w:t>km</w:t>
            </w:r>
            <w:r w:rsidRPr="004E6817">
              <w:rPr>
                <w:vertAlign w:val="superscript"/>
              </w:rPr>
              <w:t>2</w:t>
            </w:r>
          </w:p>
        </w:tc>
        <w:tc>
          <w:tcPr>
            <w:tcW w:w="1203" w:type="dxa"/>
          </w:tcPr>
          <w:p w:rsidR="00BB1D4E" w:rsidRPr="004E6817" w:rsidRDefault="00BB1D4E" w:rsidP="003927B7">
            <w:pPr>
              <w:pStyle w:val="Tabletext"/>
              <w:jc w:val="center"/>
              <w:rPr>
                <w:bCs/>
              </w:rPr>
            </w:pPr>
            <w:r w:rsidRPr="004E6817">
              <w:rPr>
                <w:bCs/>
              </w:rPr>
              <w:t>2 800</w:t>
            </w:r>
          </w:p>
        </w:tc>
        <w:tc>
          <w:tcPr>
            <w:tcW w:w="2245" w:type="dxa"/>
          </w:tcPr>
          <w:p w:rsidR="00BB1D4E" w:rsidRPr="004E6817" w:rsidRDefault="00BB1D4E" w:rsidP="003927B7">
            <w:pPr>
              <w:pStyle w:val="Tabletext"/>
              <w:jc w:val="center"/>
              <w:rPr>
                <w:bCs/>
              </w:rPr>
            </w:pPr>
            <w:r w:rsidRPr="004E6817">
              <w:rPr>
                <w:bCs/>
              </w:rPr>
              <w:t>5 000</w:t>
            </w:r>
          </w:p>
        </w:tc>
        <w:tc>
          <w:tcPr>
            <w:tcW w:w="1764" w:type="dxa"/>
          </w:tcPr>
          <w:p w:rsidR="00BB1D4E" w:rsidRPr="004E6817" w:rsidRDefault="00BB1D4E" w:rsidP="003927B7">
            <w:pPr>
              <w:pStyle w:val="Tabletext"/>
              <w:jc w:val="center"/>
              <w:rPr>
                <w:bCs/>
              </w:rPr>
            </w:pPr>
            <w:r w:rsidRPr="004E6817">
              <w:rPr>
                <w:bCs/>
              </w:rPr>
              <w:t>10 000</w:t>
            </w:r>
          </w:p>
        </w:tc>
      </w:tr>
      <w:tr w:rsidR="00BB1D4E" w:rsidRPr="004E6817" w:rsidTr="00EA647E">
        <w:trPr>
          <w:trHeight w:val="20"/>
          <w:jc w:val="center"/>
        </w:trPr>
        <w:tc>
          <w:tcPr>
            <w:tcW w:w="2505" w:type="dxa"/>
          </w:tcPr>
          <w:p w:rsidR="00BB1D4E" w:rsidRPr="00BB1D4E" w:rsidRDefault="00BB1D4E" w:rsidP="00AA2CBE">
            <w:pPr>
              <w:pStyle w:val="Tabletext"/>
              <w:jc w:val="left"/>
              <w:rPr>
                <w:lang w:val="en-US"/>
              </w:rPr>
            </w:pPr>
            <w:r w:rsidRPr="00BB1D4E">
              <w:rPr>
                <w:lang w:val="en-US"/>
              </w:rPr>
              <w:t>Total capacity per HAPS (forward link)</w:t>
            </w:r>
          </w:p>
        </w:tc>
        <w:tc>
          <w:tcPr>
            <w:tcW w:w="1483" w:type="dxa"/>
          </w:tcPr>
          <w:p w:rsidR="00BB1D4E" w:rsidRPr="004E6817" w:rsidRDefault="00BB1D4E" w:rsidP="003927B7">
            <w:pPr>
              <w:pStyle w:val="Tabletext"/>
              <w:jc w:val="center"/>
            </w:pPr>
            <w:r w:rsidRPr="004E6817">
              <w:t>Mb</w:t>
            </w:r>
            <w:r>
              <w:t>it/</w:t>
            </w:r>
            <w:r w:rsidRPr="004E6817">
              <w:t>s</w:t>
            </w:r>
          </w:p>
        </w:tc>
        <w:tc>
          <w:tcPr>
            <w:tcW w:w="1203" w:type="dxa"/>
          </w:tcPr>
          <w:p w:rsidR="00BB1D4E" w:rsidRPr="004E6817" w:rsidRDefault="00BB1D4E" w:rsidP="003927B7">
            <w:pPr>
              <w:pStyle w:val="Tabletext"/>
              <w:jc w:val="center"/>
              <w:rPr>
                <w:b/>
                <w:bCs/>
              </w:rPr>
            </w:pPr>
            <w:r w:rsidRPr="004E6817">
              <w:rPr>
                <w:b/>
                <w:bCs/>
              </w:rPr>
              <w:t>104</w:t>
            </w:r>
          </w:p>
        </w:tc>
        <w:tc>
          <w:tcPr>
            <w:tcW w:w="2245" w:type="dxa"/>
          </w:tcPr>
          <w:p w:rsidR="00BB1D4E" w:rsidRPr="004E6817" w:rsidRDefault="00BB1D4E" w:rsidP="003927B7">
            <w:pPr>
              <w:pStyle w:val="Tabletext"/>
              <w:jc w:val="center"/>
              <w:rPr>
                <w:b/>
                <w:bCs/>
              </w:rPr>
            </w:pPr>
            <w:r w:rsidRPr="004E6817">
              <w:rPr>
                <w:b/>
                <w:bCs/>
              </w:rPr>
              <w:t>15.9</w:t>
            </w:r>
          </w:p>
        </w:tc>
        <w:tc>
          <w:tcPr>
            <w:tcW w:w="1764" w:type="dxa"/>
          </w:tcPr>
          <w:p w:rsidR="00BB1D4E" w:rsidRPr="004E6817" w:rsidRDefault="00BB1D4E" w:rsidP="003927B7">
            <w:pPr>
              <w:pStyle w:val="Tabletext"/>
              <w:jc w:val="center"/>
              <w:rPr>
                <w:b/>
                <w:bCs/>
              </w:rPr>
            </w:pPr>
            <w:r w:rsidRPr="004E6817">
              <w:rPr>
                <w:b/>
                <w:bCs/>
              </w:rPr>
              <w:t>0.262</w:t>
            </w:r>
          </w:p>
        </w:tc>
      </w:tr>
      <w:tr w:rsidR="00BB1D4E" w:rsidRPr="004E6817" w:rsidTr="00EA647E">
        <w:trPr>
          <w:trHeight w:val="20"/>
          <w:jc w:val="center"/>
        </w:trPr>
        <w:tc>
          <w:tcPr>
            <w:tcW w:w="2505" w:type="dxa"/>
          </w:tcPr>
          <w:p w:rsidR="00BB1D4E" w:rsidRPr="00BB1D4E" w:rsidRDefault="00BB1D4E" w:rsidP="00AA2CBE">
            <w:pPr>
              <w:pStyle w:val="Tabletext"/>
              <w:jc w:val="left"/>
              <w:rPr>
                <w:lang w:val="en-US"/>
              </w:rPr>
            </w:pPr>
            <w:r w:rsidRPr="00BB1D4E">
              <w:rPr>
                <w:lang w:val="en-US"/>
              </w:rPr>
              <w:t>Total capacity per HAPS (return link)</w:t>
            </w:r>
          </w:p>
        </w:tc>
        <w:tc>
          <w:tcPr>
            <w:tcW w:w="1483" w:type="dxa"/>
          </w:tcPr>
          <w:p w:rsidR="00BB1D4E" w:rsidRPr="004E6817" w:rsidRDefault="00BB1D4E" w:rsidP="003927B7">
            <w:pPr>
              <w:pStyle w:val="Tabletext"/>
              <w:jc w:val="center"/>
            </w:pPr>
            <w:r w:rsidRPr="004E6817">
              <w:t>Mb</w:t>
            </w:r>
            <w:r>
              <w:t>it/</w:t>
            </w:r>
            <w:r w:rsidRPr="004E6817">
              <w:t>s</w:t>
            </w:r>
          </w:p>
        </w:tc>
        <w:tc>
          <w:tcPr>
            <w:tcW w:w="1203" w:type="dxa"/>
          </w:tcPr>
          <w:p w:rsidR="00BB1D4E" w:rsidRPr="004E6817" w:rsidRDefault="00BB1D4E" w:rsidP="003927B7">
            <w:pPr>
              <w:pStyle w:val="Tabletext"/>
              <w:jc w:val="center"/>
              <w:rPr>
                <w:b/>
                <w:bCs/>
              </w:rPr>
            </w:pPr>
            <w:r w:rsidRPr="004E6817">
              <w:rPr>
                <w:b/>
                <w:bCs/>
              </w:rPr>
              <w:t>115</w:t>
            </w:r>
          </w:p>
        </w:tc>
        <w:tc>
          <w:tcPr>
            <w:tcW w:w="2245" w:type="dxa"/>
          </w:tcPr>
          <w:p w:rsidR="00BB1D4E" w:rsidRPr="004E6817" w:rsidRDefault="00BB1D4E" w:rsidP="003927B7">
            <w:pPr>
              <w:pStyle w:val="Tabletext"/>
              <w:jc w:val="center"/>
              <w:rPr>
                <w:b/>
                <w:bCs/>
              </w:rPr>
            </w:pPr>
            <w:r w:rsidRPr="004E6817">
              <w:rPr>
                <w:b/>
                <w:bCs/>
              </w:rPr>
              <w:t>17.5</w:t>
            </w:r>
          </w:p>
        </w:tc>
        <w:tc>
          <w:tcPr>
            <w:tcW w:w="1764" w:type="dxa"/>
          </w:tcPr>
          <w:p w:rsidR="00BB1D4E" w:rsidRPr="004E6817" w:rsidRDefault="00BB1D4E" w:rsidP="003927B7">
            <w:pPr>
              <w:pStyle w:val="Tabletext"/>
              <w:jc w:val="center"/>
              <w:rPr>
                <w:b/>
                <w:bCs/>
              </w:rPr>
            </w:pPr>
            <w:r w:rsidRPr="004E6817">
              <w:rPr>
                <w:b/>
                <w:bCs/>
              </w:rPr>
              <w:t>0.29</w:t>
            </w:r>
          </w:p>
        </w:tc>
      </w:tr>
    </w:tbl>
    <w:p w:rsidR="00BB1D4E" w:rsidRPr="004E6817" w:rsidRDefault="00BB1D4E" w:rsidP="00BB1D4E">
      <w:pPr>
        <w:pStyle w:val="Tablefin"/>
      </w:pPr>
    </w:p>
    <w:p w:rsidR="00BB1D4E" w:rsidRPr="004E6817" w:rsidRDefault="00BB1D4E" w:rsidP="00BB1D4E">
      <w:pPr>
        <w:pStyle w:val="Heading2"/>
      </w:pPr>
      <w:r w:rsidRPr="004E6817">
        <w:t>2.2</w:t>
      </w:r>
      <w:r w:rsidRPr="004E6817">
        <w:tab/>
        <w:t xml:space="preserve">PP2 and disasters capacity </w:t>
      </w:r>
    </w:p>
    <w:p w:rsidR="00BB1D4E" w:rsidRPr="00BB1D4E" w:rsidRDefault="00BB1D4E" w:rsidP="00625BA5">
      <w:pPr>
        <w:rPr>
          <w:lang w:val="en-US"/>
        </w:rPr>
      </w:pPr>
      <w:r w:rsidRPr="00BB1D4E">
        <w:rPr>
          <w:lang w:val="en-US"/>
        </w:rPr>
        <w:t xml:space="preserve">The estimated total PP2 required traffic/capacity can also be derived from Report ITU-R M.2377-0 (Annex 7A) and is presented in </w:t>
      </w:r>
      <w:r w:rsidR="00625BA5" w:rsidRPr="00BB1D4E">
        <w:rPr>
          <w:lang w:val="en-US"/>
        </w:rPr>
        <w:t>Table</w:t>
      </w:r>
      <w:r w:rsidR="00625BA5">
        <w:rPr>
          <w:lang w:val="en-US"/>
        </w:rPr>
        <w:t xml:space="preserve"> 12</w:t>
      </w:r>
      <w:r w:rsidRPr="00BB1D4E">
        <w:rPr>
          <w:lang w:val="en-US"/>
        </w:rPr>
        <w:t>.</w:t>
      </w:r>
    </w:p>
    <w:p w:rsidR="00BB1D4E" w:rsidRPr="00BB1D4E" w:rsidRDefault="00EA647E" w:rsidP="00BB1D4E">
      <w:pPr>
        <w:pStyle w:val="TableNo"/>
        <w:rPr>
          <w:i/>
          <w:iCs/>
          <w:lang w:val="en-US"/>
        </w:rPr>
      </w:pPr>
      <w:r w:rsidRPr="00BB1D4E">
        <w:rPr>
          <w:lang w:val="en-US"/>
        </w:rPr>
        <w:t xml:space="preserve">TABLE </w:t>
      </w:r>
      <w:r w:rsidR="00BB1D4E" w:rsidRPr="00BB1D4E">
        <w:rPr>
          <w:lang w:val="en-US"/>
        </w:rPr>
        <w:t>12</w:t>
      </w:r>
    </w:p>
    <w:p w:rsidR="00BB1D4E" w:rsidRPr="00BB1D4E" w:rsidRDefault="00BB1D4E" w:rsidP="00BB1D4E">
      <w:pPr>
        <w:pStyle w:val="Tabletitle"/>
        <w:rPr>
          <w:lang w:val="en-US"/>
        </w:rPr>
      </w:pPr>
      <w:r w:rsidRPr="00BB1D4E">
        <w:rPr>
          <w:lang w:val="en-US"/>
        </w:rPr>
        <w:t>PP2/disasters traffic demand per HAPS within Europe</w:t>
      </w:r>
    </w:p>
    <w:tbl>
      <w:tblPr>
        <w:tblStyle w:val="TableGrid"/>
        <w:tblW w:w="9639" w:type="dxa"/>
        <w:jc w:val="center"/>
        <w:tblLook w:val="0420" w:firstRow="1" w:lastRow="0" w:firstColumn="0" w:lastColumn="0" w:noHBand="0" w:noVBand="1"/>
      </w:tblPr>
      <w:tblGrid>
        <w:gridCol w:w="2547"/>
        <w:gridCol w:w="1276"/>
        <w:gridCol w:w="3076"/>
        <w:gridCol w:w="2740"/>
      </w:tblGrid>
      <w:tr w:rsidR="00BB1D4E" w:rsidRPr="004E6817" w:rsidTr="00D810EB">
        <w:trPr>
          <w:jc w:val="center"/>
        </w:trPr>
        <w:tc>
          <w:tcPr>
            <w:tcW w:w="2547" w:type="dxa"/>
            <w:hideMark/>
          </w:tcPr>
          <w:p w:rsidR="00BB1D4E" w:rsidRPr="00BB1D4E" w:rsidRDefault="00BB1D4E" w:rsidP="003927B7">
            <w:pPr>
              <w:pStyle w:val="Tablehead"/>
              <w:rPr>
                <w:lang w:val="en-US"/>
              </w:rPr>
            </w:pPr>
          </w:p>
        </w:tc>
        <w:tc>
          <w:tcPr>
            <w:tcW w:w="1276" w:type="dxa"/>
            <w:hideMark/>
          </w:tcPr>
          <w:p w:rsidR="00BB1D4E" w:rsidRPr="00BB1D4E" w:rsidRDefault="00BB1D4E" w:rsidP="003927B7">
            <w:pPr>
              <w:pStyle w:val="Tablehead"/>
              <w:rPr>
                <w:lang w:val="en-US"/>
              </w:rPr>
            </w:pPr>
          </w:p>
        </w:tc>
        <w:tc>
          <w:tcPr>
            <w:tcW w:w="0" w:type="auto"/>
            <w:hideMark/>
          </w:tcPr>
          <w:p w:rsidR="00BB1D4E" w:rsidRPr="004E6817" w:rsidRDefault="00BB1D4E" w:rsidP="003927B7">
            <w:pPr>
              <w:pStyle w:val="Tablehead"/>
            </w:pPr>
            <w:r w:rsidRPr="004E6817">
              <w:rPr>
                <w:bCs/>
              </w:rPr>
              <w:t xml:space="preserve">Royal Wedding </w:t>
            </w:r>
          </w:p>
        </w:tc>
        <w:tc>
          <w:tcPr>
            <w:tcW w:w="0" w:type="auto"/>
            <w:hideMark/>
          </w:tcPr>
          <w:p w:rsidR="00BB1D4E" w:rsidRPr="004E6817" w:rsidRDefault="00BB1D4E" w:rsidP="003927B7">
            <w:pPr>
              <w:pStyle w:val="Tablehead"/>
            </w:pPr>
            <w:r w:rsidRPr="004E6817">
              <w:rPr>
                <w:bCs/>
              </w:rPr>
              <w:t>London Riots</w:t>
            </w:r>
          </w:p>
        </w:tc>
      </w:tr>
      <w:tr w:rsidR="00BB1D4E" w:rsidRPr="004E6817" w:rsidTr="00D810EB">
        <w:trPr>
          <w:jc w:val="center"/>
        </w:trPr>
        <w:tc>
          <w:tcPr>
            <w:tcW w:w="2547" w:type="dxa"/>
            <w:hideMark/>
          </w:tcPr>
          <w:p w:rsidR="00BB1D4E" w:rsidRPr="004E6817" w:rsidRDefault="00BB1D4E" w:rsidP="003927B7">
            <w:pPr>
              <w:pStyle w:val="Tabletext"/>
            </w:pPr>
            <w:r w:rsidRPr="004E6817">
              <w:t>Video cameras</w:t>
            </w:r>
          </w:p>
        </w:tc>
        <w:tc>
          <w:tcPr>
            <w:tcW w:w="1276" w:type="dxa"/>
            <w:hideMark/>
          </w:tcPr>
          <w:p w:rsidR="00BB1D4E" w:rsidRPr="004E6817" w:rsidRDefault="00BB1D4E" w:rsidP="003927B7">
            <w:pPr>
              <w:pStyle w:val="Tabletext"/>
              <w:jc w:val="center"/>
            </w:pPr>
            <w:r w:rsidRPr="004E6817">
              <w:t>kb</w:t>
            </w:r>
            <w:r>
              <w:t>it/</w:t>
            </w:r>
            <w:r w:rsidRPr="004E6817">
              <w:t>s</w:t>
            </w:r>
          </w:p>
        </w:tc>
        <w:tc>
          <w:tcPr>
            <w:tcW w:w="0" w:type="auto"/>
            <w:hideMark/>
          </w:tcPr>
          <w:p w:rsidR="00BB1D4E" w:rsidRPr="004E6817" w:rsidRDefault="00BB1D4E" w:rsidP="003927B7">
            <w:pPr>
              <w:pStyle w:val="Tabletext"/>
              <w:jc w:val="center"/>
            </w:pPr>
            <w:r w:rsidRPr="004E6817">
              <w:t>5*768</w:t>
            </w:r>
          </w:p>
        </w:tc>
        <w:tc>
          <w:tcPr>
            <w:tcW w:w="0" w:type="auto"/>
            <w:hideMark/>
          </w:tcPr>
          <w:p w:rsidR="00BB1D4E" w:rsidRPr="004E6817" w:rsidRDefault="00BB1D4E" w:rsidP="003927B7">
            <w:pPr>
              <w:pStyle w:val="Tabletext"/>
              <w:jc w:val="center"/>
            </w:pPr>
            <w:r w:rsidRPr="004E6817">
              <w:t>4*768</w:t>
            </w:r>
          </w:p>
        </w:tc>
      </w:tr>
      <w:tr w:rsidR="00BB1D4E" w:rsidRPr="004E6817" w:rsidTr="00D810EB">
        <w:trPr>
          <w:jc w:val="center"/>
        </w:trPr>
        <w:tc>
          <w:tcPr>
            <w:tcW w:w="2547" w:type="dxa"/>
            <w:hideMark/>
          </w:tcPr>
          <w:p w:rsidR="00BB1D4E" w:rsidRPr="004E6817" w:rsidRDefault="00BB1D4E" w:rsidP="003927B7">
            <w:pPr>
              <w:pStyle w:val="Tabletext"/>
            </w:pPr>
            <w:r w:rsidRPr="004E6817">
              <w:t>Pictures</w:t>
            </w:r>
          </w:p>
        </w:tc>
        <w:tc>
          <w:tcPr>
            <w:tcW w:w="1276" w:type="dxa"/>
            <w:hideMark/>
          </w:tcPr>
          <w:p w:rsidR="00BB1D4E" w:rsidRPr="004E6817" w:rsidRDefault="00BB1D4E" w:rsidP="003927B7">
            <w:pPr>
              <w:pStyle w:val="Tabletext"/>
              <w:jc w:val="center"/>
            </w:pPr>
            <w:r w:rsidRPr="004E6817">
              <w:t>kb</w:t>
            </w:r>
            <w:r>
              <w:t>it/</w:t>
            </w:r>
            <w:r w:rsidRPr="004E6817">
              <w:t>s</w:t>
            </w:r>
          </w:p>
        </w:tc>
        <w:tc>
          <w:tcPr>
            <w:tcW w:w="0" w:type="auto"/>
            <w:hideMark/>
          </w:tcPr>
          <w:p w:rsidR="00BB1D4E" w:rsidRPr="004E6817" w:rsidRDefault="00BB1D4E" w:rsidP="003927B7">
            <w:pPr>
              <w:pStyle w:val="Tabletext"/>
              <w:jc w:val="center"/>
            </w:pPr>
            <w:r w:rsidRPr="004E6817">
              <w:t>1</w:t>
            </w:r>
            <w:r w:rsidRPr="004E6817">
              <w:rPr>
                <w:rFonts w:eastAsiaTheme="minorEastAsia"/>
                <w:lang w:eastAsia="zh-CN"/>
              </w:rPr>
              <w:t> </w:t>
            </w:r>
            <w:r w:rsidRPr="004E6817">
              <w:t>000</w:t>
            </w:r>
          </w:p>
        </w:tc>
        <w:tc>
          <w:tcPr>
            <w:tcW w:w="0" w:type="auto"/>
            <w:hideMark/>
          </w:tcPr>
          <w:p w:rsidR="00BB1D4E" w:rsidRPr="004E6817" w:rsidRDefault="00BB1D4E" w:rsidP="003927B7">
            <w:pPr>
              <w:pStyle w:val="Tabletext"/>
              <w:jc w:val="center"/>
            </w:pPr>
            <w:r w:rsidRPr="004E6817">
              <w:t>1</w:t>
            </w:r>
            <w:r w:rsidRPr="004E6817">
              <w:rPr>
                <w:rFonts w:eastAsiaTheme="minorEastAsia"/>
                <w:lang w:eastAsia="zh-CN"/>
              </w:rPr>
              <w:t> </w:t>
            </w:r>
            <w:r w:rsidRPr="004E6817">
              <w:t>000</w:t>
            </w:r>
          </w:p>
        </w:tc>
      </w:tr>
      <w:tr w:rsidR="00BB1D4E" w:rsidRPr="004E6817" w:rsidTr="00D810EB">
        <w:trPr>
          <w:jc w:val="center"/>
        </w:trPr>
        <w:tc>
          <w:tcPr>
            <w:tcW w:w="2547" w:type="dxa"/>
            <w:hideMark/>
          </w:tcPr>
          <w:p w:rsidR="00BB1D4E" w:rsidRPr="004E6817" w:rsidRDefault="00BB1D4E" w:rsidP="003927B7">
            <w:pPr>
              <w:pStyle w:val="Tabletext"/>
            </w:pPr>
            <w:r w:rsidRPr="004E6817">
              <w:t xml:space="preserve">Background traffic </w:t>
            </w:r>
          </w:p>
        </w:tc>
        <w:tc>
          <w:tcPr>
            <w:tcW w:w="1276" w:type="dxa"/>
            <w:hideMark/>
          </w:tcPr>
          <w:p w:rsidR="00BB1D4E" w:rsidRPr="004E6817" w:rsidRDefault="00BB1D4E" w:rsidP="003927B7">
            <w:pPr>
              <w:pStyle w:val="Tabletext"/>
              <w:jc w:val="center"/>
            </w:pPr>
            <w:r w:rsidRPr="004E6817">
              <w:t>kb</w:t>
            </w:r>
            <w:r>
              <w:t>it/</w:t>
            </w:r>
            <w:r w:rsidRPr="004E6817">
              <w:t>s</w:t>
            </w:r>
          </w:p>
        </w:tc>
        <w:tc>
          <w:tcPr>
            <w:tcW w:w="0" w:type="auto"/>
            <w:hideMark/>
          </w:tcPr>
          <w:p w:rsidR="00BB1D4E" w:rsidRPr="004E6817" w:rsidRDefault="00BB1D4E" w:rsidP="003927B7">
            <w:pPr>
              <w:pStyle w:val="Tabletext"/>
              <w:jc w:val="center"/>
            </w:pPr>
            <w:r w:rsidRPr="004E6817">
              <w:t>1</w:t>
            </w:r>
            <w:r w:rsidRPr="004E6817">
              <w:rPr>
                <w:rFonts w:eastAsiaTheme="minorEastAsia"/>
                <w:lang w:eastAsia="zh-CN"/>
              </w:rPr>
              <w:t> </w:t>
            </w:r>
            <w:r w:rsidRPr="004E6817">
              <w:t>380</w:t>
            </w:r>
          </w:p>
        </w:tc>
        <w:tc>
          <w:tcPr>
            <w:tcW w:w="0" w:type="auto"/>
            <w:hideMark/>
          </w:tcPr>
          <w:p w:rsidR="00BB1D4E" w:rsidRPr="004E6817" w:rsidRDefault="00BB1D4E" w:rsidP="003927B7">
            <w:pPr>
              <w:pStyle w:val="Tabletext"/>
              <w:jc w:val="center"/>
            </w:pPr>
            <w:r w:rsidRPr="004E6817">
              <w:t>1</w:t>
            </w:r>
            <w:r w:rsidRPr="004E6817">
              <w:rPr>
                <w:rFonts w:eastAsiaTheme="minorEastAsia"/>
                <w:lang w:eastAsia="zh-CN"/>
              </w:rPr>
              <w:t> </w:t>
            </w:r>
            <w:r w:rsidRPr="004E6817">
              <w:t>380</w:t>
            </w:r>
          </w:p>
        </w:tc>
      </w:tr>
      <w:tr w:rsidR="00BB1D4E" w:rsidRPr="004E6817" w:rsidTr="00D810EB">
        <w:trPr>
          <w:jc w:val="center"/>
        </w:trPr>
        <w:tc>
          <w:tcPr>
            <w:tcW w:w="2547" w:type="dxa"/>
            <w:hideMark/>
          </w:tcPr>
          <w:p w:rsidR="00BB1D4E" w:rsidRPr="00EE482D" w:rsidRDefault="00BB1D4E" w:rsidP="003927B7">
            <w:pPr>
              <w:pStyle w:val="Tabletext"/>
              <w:rPr>
                <w:b/>
                <w:bCs/>
              </w:rPr>
            </w:pPr>
            <w:r w:rsidRPr="00EE482D">
              <w:rPr>
                <w:b/>
                <w:bCs/>
              </w:rPr>
              <w:t>Total traffic</w:t>
            </w:r>
          </w:p>
        </w:tc>
        <w:tc>
          <w:tcPr>
            <w:tcW w:w="1276" w:type="dxa"/>
            <w:hideMark/>
          </w:tcPr>
          <w:p w:rsidR="00BB1D4E" w:rsidRPr="00EE482D" w:rsidRDefault="00BB1D4E" w:rsidP="003927B7">
            <w:pPr>
              <w:pStyle w:val="Tabletext"/>
              <w:jc w:val="center"/>
              <w:rPr>
                <w:b/>
                <w:bCs/>
              </w:rPr>
            </w:pPr>
            <w:r w:rsidRPr="00EE482D">
              <w:rPr>
                <w:b/>
                <w:bCs/>
              </w:rPr>
              <w:t>kbit/s</w:t>
            </w:r>
          </w:p>
        </w:tc>
        <w:tc>
          <w:tcPr>
            <w:tcW w:w="0" w:type="auto"/>
            <w:hideMark/>
          </w:tcPr>
          <w:p w:rsidR="00BB1D4E" w:rsidRPr="004E6817" w:rsidRDefault="00BB1D4E" w:rsidP="003927B7">
            <w:pPr>
              <w:pStyle w:val="Tabletext"/>
              <w:jc w:val="center"/>
            </w:pPr>
            <w:r w:rsidRPr="004E6817">
              <w:rPr>
                <w:b/>
                <w:bCs/>
              </w:rPr>
              <w:t>6</w:t>
            </w:r>
            <w:r w:rsidRPr="004E6817">
              <w:rPr>
                <w:rFonts w:eastAsiaTheme="minorEastAsia"/>
                <w:lang w:eastAsia="zh-CN"/>
              </w:rPr>
              <w:t> </w:t>
            </w:r>
            <w:r w:rsidRPr="004E6817">
              <w:rPr>
                <w:b/>
                <w:bCs/>
              </w:rPr>
              <w:t>220</w:t>
            </w:r>
          </w:p>
        </w:tc>
        <w:tc>
          <w:tcPr>
            <w:tcW w:w="0" w:type="auto"/>
            <w:hideMark/>
          </w:tcPr>
          <w:p w:rsidR="00BB1D4E" w:rsidRPr="004E6817" w:rsidRDefault="00BB1D4E" w:rsidP="003927B7">
            <w:pPr>
              <w:pStyle w:val="Tabletext"/>
              <w:jc w:val="center"/>
            </w:pPr>
            <w:r w:rsidRPr="004E6817">
              <w:rPr>
                <w:b/>
                <w:bCs/>
              </w:rPr>
              <w:t>5</w:t>
            </w:r>
            <w:r w:rsidRPr="004E6817">
              <w:rPr>
                <w:rFonts w:eastAsiaTheme="minorEastAsia"/>
                <w:lang w:eastAsia="zh-CN"/>
              </w:rPr>
              <w:t> </w:t>
            </w:r>
            <w:r w:rsidRPr="004E6817">
              <w:rPr>
                <w:b/>
                <w:bCs/>
              </w:rPr>
              <w:t>452</w:t>
            </w:r>
          </w:p>
        </w:tc>
      </w:tr>
    </w:tbl>
    <w:p w:rsidR="00BB1D4E" w:rsidRPr="004E6817" w:rsidRDefault="00BB1D4E" w:rsidP="00BB1D4E">
      <w:pPr>
        <w:pStyle w:val="Tablefin"/>
      </w:pPr>
    </w:p>
    <w:p w:rsidR="00BB1D4E" w:rsidRPr="00BB1D4E" w:rsidRDefault="00BB1D4E" w:rsidP="00BB1D4E">
      <w:pPr>
        <w:pStyle w:val="Heading2"/>
        <w:rPr>
          <w:lang w:val="en-US"/>
        </w:rPr>
      </w:pPr>
      <w:r w:rsidRPr="00BB1D4E">
        <w:rPr>
          <w:lang w:val="en-US"/>
        </w:rPr>
        <w:t>2.3</w:t>
      </w:r>
      <w:r w:rsidRPr="00BB1D4E">
        <w:rPr>
          <w:lang w:val="en-US"/>
        </w:rPr>
        <w:tab/>
        <w:t xml:space="preserve">Overall capacity demand for broadband HAPS specific applications </w:t>
      </w:r>
    </w:p>
    <w:p w:rsidR="00BB1D4E" w:rsidRPr="00BB1D4E" w:rsidRDefault="00BB1D4E" w:rsidP="00BB1D4E">
      <w:pPr>
        <w:rPr>
          <w:lang w:val="en-US"/>
        </w:rPr>
      </w:pPr>
      <w:r w:rsidRPr="00BB1D4E">
        <w:rPr>
          <w:lang w:val="en-US"/>
        </w:rPr>
        <w:t xml:space="preserve">The PP1 urban case is the driving factor for determining the capacity demand. From the above Tables it can then be concluded that </w:t>
      </w:r>
      <w:r w:rsidRPr="00BB1D4E">
        <w:rPr>
          <w:bCs/>
          <w:lang w:val="en-US"/>
        </w:rPr>
        <w:t>120 Mbit/s</w:t>
      </w:r>
      <w:r w:rsidRPr="00BB1D4E">
        <w:rPr>
          <w:lang w:val="en-US"/>
        </w:rPr>
        <w:t xml:space="preserve"> for the forward link as well as for the return link will be sufficient to cover the broadband HAPS specific applications requirement except the requirement for PPDR applications (e.g. high resolution video, images, etc.), for which an additional capacity of </w:t>
      </w:r>
      <w:r w:rsidR="00D810EB">
        <w:rPr>
          <w:bCs/>
          <w:lang w:val="en-US"/>
        </w:rPr>
        <w:t>100 </w:t>
      </w:r>
      <w:r w:rsidRPr="00BB1D4E">
        <w:rPr>
          <w:bCs/>
          <w:lang w:val="en-US"/>
        </w:rPr>
        <w:t>Mbit/s</w:t>
      </w:r>
      <w:r w:rsidRPr="00BB1D4E">
        <w:rPr>
          <w:lang w:val="en-US"/>
        </w:rPr>
        <w:t xml:space="preserve"> is needed for the HAPS forward link and return link.</w:t>
      </w:r>
    </w:p>
    <w:p w:rsidR="00EA647E" w:rsidRPr="00D810EB" w:rsidRDefault="00EA647E" w:rsidP="00EA647E">
      <w:pPr>
        <w:rPr>
          <w:rFonts w:eastAsia="MS Mincho"/>
          <w:lang w:val="en-US"/>
        </w:rPr>
      </w:pPr>
    </w:p>
    <w:p w:rsidR="00EA647E" w:rsidRPr="00D810EB" w:rsidRDefault="00EA647E" w:rsidP="00EA647E">
      <w:pPr>
        <w:rPr>
          <w:rFonts w:eastAsia="MS Mincho"/>
          <w:lang w:val="en-US"/>
        </w:rPr>
      </w:pPr>
    </w:p>
    <w:p w:rsidR="00BB1D4E" w:rsidRPr="00EA647E" w:rsidRDefault="00BB1D4E" w:rsidP="00EA647E">
      <w:pPr>
        <w:pStyle w:val="AnnexNoTitle"/>
        <w:rPr>
          <w:rFonts w:eastAsia="MS Mincho"/>
          <w:lang w:val="en-US"/>
        </w:rPr>
      </w:pPr>
      <w:r w:rsidRPr="00EA647E">
        <w:rPr>
          <w:rFonts w:eastAsia="MS Mincho"/>
          <w:lang w:val="en-US"/>
        </w:rPr>
        <w:lastRenderedPageBreak/>
        <w:t>Annex 3</w:t>
      </w:r>
      <w:r w:rsidR="00EA647E" w:rsidRPr="00EA647E">
        <w:rPr>
          <w:rFonts w:eastAsia="MS Mincho"/>
          <w:lang w:val="en-US"/>
        </w:rPr>
        <w:br/>
      </w:r>
      <w:r w:rsidR="00EA647E" w:rsidRPr="00EA647E">
        <w:rPr>
          <w:rFonts w:eastAsia="MS Mincho"/>
          <w:lang w:val="en-US"/>
        </w:rPr>
        <w:br/>
      </w:r>
      <w:r w:rsidRPr="00EA647E">
        <w:rPr>
          <w:rFonts w:eastAsia="MS Mincho"/>
          <w:lang w:val="en-US"/>
        </w:rPr>
        <w:t>Existing HAPS identifications in FS bands</w:t>
      </w:r>
    </w:p>
    <w:p w:rsidR="00BB1D4E" w:rsidRPr="00BB1D4E" w:rsidRDefault="00BB1D4E" w:rsidP="00BB1D4E">
      <w:pPr>
        <w:pStyle w:val="Normalaftertitle"/>
        <w:rPr>
          <w:szCs w:val="24"/>
          <w:lang w:val="en-US"/>
        </w:rPr>
      </w:pPr>
      <w:r w:rsidRPr="00BB1D4E">
        <w:rPr>
          <w:lang w:val="en-US"/>
        </w:rPr>
        <w:t>HAPS is defined in No. </w:t>
      </w:r>
      <w:r w:rsidRPr="00BB1D4E">
        <w:rPr>
          <w:rStyle w:val="Artref"/>
          <w:b/>
          <w:bCs/>
          <w:lang w:val="en-US"/>
        </w:rPr>
        <w:t xml:space="preserve">1.66A </w:t>
      </w:r>
      <w:r w:rsidRPr="00BB1D4E">
        <w:rPr>
          <w:lang w:val="en-US"/>
        </w:rPr>
        <w:t>of the Radio Regulations as “[a] station located on an object at an altitude of 20 to 50 km and at a specified, nominal, fixed point relative to the Earth.” It should be noted that HAPS are a type of radiocommunication station within the scope of this Report, operating under the FS attribution.</w:t>
      </w:r>
      <w:r w:rsidRPr="00BB1D4E">
        <w:rPr>
          <w:szCs w:val="24"/>
          <w:lang w:val="en-US"/>
        </w:rPr>
        <w:t xml:space="preserve"> The ITU-R adopted three identifications in fixed service allocations for HAPS over a number of World Radiocommunication Conferences.</w:t>
      </w:r>
      <w:r w:rsidRPr="004E6817">
        <w:rPr>
          <w:rStyle w:val="FootnoteReference"/>
        </w:rPr>
        <w:footnoteReference w:id="2"/>
      </w:r>
      <w:r w:rsidRPr="00BB1D4E">
        <w:rPr>
          <w:szCs w:val="24"/>
          <w:lang w:val="en-US"/>
        </w:rPr>
        <w:t xml:space="preserve"> In addition, No. </w:t>
      </w:r>
      <w:r w:rsidRPr="00BB1D4E">
        <w:rPr>
          <w:rStyle w:val="Artref"/>
          <w:b/>
          <w:bCs/>
          <w:lang w:val="en-US"/>
        </w:rPr>
        <w:t xml:space="preserve">4.23 </w:t>
      </w:r>
      <w:r w:rsidRPr="00BB1D4E">
        <w:rPr>
          <w:szCs w:val="24"/>
          <w:lang w:val="en-US"/>
        </w:rPr>
        <w:t xml:space="preserve">of the Radio Regulations states “Transmissions to or from high altitude platform stations shall be limited to bands specifically identified in Article </w:t>
      </w:r>
      <w:r w:rsidRPr="00BB1D4E">
        <w:rPr>
          <w:rStyle w:val="Artref"/>
          <w:b/>
          <w:bCs/>
          <w:lang w:val="en-US"/>
        </w:rPr>
        <w:t>5</w:t>
      </w:r>
      <w:r w:rsidRPr="00BB1D4E">
        <w:rPr>
          <w:szCs w:val="24"/>
          <w:lang w:val="en-US"/>
        </w:rPr>
        <w:t>.”</w:t>
      </w:r>
    </w:p>
    <w:p w:rsidR="00BB1D4E" w:rsidRPr="00BB1D4E" w:rsidRDefault="008B46B1" w:rsidP="00BB1D4E">
      <w:pPr>
        <w:pStyle w:val="Heading1"/>
        <w:rPr>
          <w:lang w:val="en-US"/>
        </w:rPr>
      </w:pPr>
      <w:r>
        <w:rPr>
          <w:lang w:val="en-US"/>
        </w:rPr>
        <w:t>1</w:t>
      </w:r>
      <w:r>
        <w:rPr>
          <w:lang w:val="en-US"/>
        </w:rPr>
        <w:tab/>
        <w:t>47.2-</w:t>
      </w:r>
      <w:r w:rsidR="00BB1D4E" w:rsidRPr="00BB1D4E">
        <w:rPr>
          <w:lang w:val="en-US"/>
        </w:rPr>
        <w:t>47.5 GHz and 47.9</w:t>
      </w:r>
      <w:r w:rsidR="00BB1D4E" w:rsidRPr="00BB1D4E">
        <w:rPr>
          <w:lang w:val="en-US"/>
        </w:rPr>
        <w:noBreakHyphen/>
        <w:t>48.2 GHz bands</w:t>
      </w:r>
    </w:p>
    <w:p w:rsidR="00BB1D4E" w:rsidRPr="00BB1D4E" w:rsidRDefault="00BB1D4E" w:rsidP="00BB1D4E">
      <w:pPr>
        <w:rPr>
          <w:lang w:val="en-US"/>
        </w:rPr>
      </w:pPr>
      <w:r w:rsidRPr="00BB1D4E">
        <w:rPr>
          <w:lang w:val="en-US"/>
        </w:rPr>
        <w:t>There is only one globally harmonized fixed service identification for HAPS. The 47.2</w:t>
      </w:r>
      <w:r w:rsidRPr="00BB1D4E">
        <w:rPr>
          <w:lang w:val="en-US"/>
        </w:rPr>
        <w:noBreakHyphen/>
        <w:t xml:space="preserve">47.5 GHz and 47.9-48.2 GHz bands are allocated to the fixed, fixed satellite (Earth-to-space) and mobile services on a co-primary basis. Radio Regulations </w:t>
      </w:r>
      <w:r w:rsidRPr="00BB1D4E">
        <w:rPr>
          <w:bCs/>
          <w:lang w:val="en-US"/>
        </w:rPr>
        <w:t>No.</w:t>
      </w:r>
      <w:r w:rsidRPr="00BB1D4E">
        <w:rPr>
          <w:b/>
          <w:lang w:val="en-US"/>
        </w:rPr>
        <w:t xml:space="preserve"> </w:t>
      </w:r>
      <w:r w:rsidRPr="00BB1D4E">
        <w:rPr>
          <w:rStyle w:val="Artref"/>
          <w:b/>
          <w:bCs/>
          <w:lang w:val="en-US"/>
        </w:rPr>
        <w:t>5.552A</w:t>
      </w:r>
      <w:r w:rsidRPr="00BB1D4E">
        <w:rPr>
          <w:lang w:val="en-US"/>
        </w:rPr>
        <w:t xml:space="preserve"> states that the allocation to the fixed service in the bands 47.2-47.5 GHz and 47.9-48.2 GHz is designated for use by high altitude platform stations. The use of the bands 47.2-47.5 GHz and 47.9</w:t>
      </w:r>
      <w:r w:rsidRPr="00BB1D4E">
        <w:rPr>
          <w:lang w:val="en-US"/>
        </w:rPr>
        <w:noBreakHyphen/>
        <w:t xml:space="preserve">48.2 GHz is subject </w:t>
      </w:r>
      <w:r w:rsidR="008B46B1">
        <w:rPr>
          <w:lang w:val="en-US"/>
        </w:rPr>
        <w:t>to the provisions of Resolution </w:t>
      </w:r>
      <w:r w:rsidRPr="00BB1D4E">
        <w:rPr>
          <w:b/>
          <w:lang w:val="en-US"/>
        </w:rPr>
        <w:t>122</w:t>
      </w:r>
      <w:r w:rsidRPr="00BB1D4E">
        <w:rPr>
          <w:lang w:val="en-US"/>
        </w:rPr>
        <w:t xml:space="preserve"> </w:t>
      </w:r>
      <w:r w:rsidRPr="00BB1D4E">
        <w:rPr>
          <w:b/>
          <w:bCs/>
          <w:lang w:val="en-US"/>
        </w:rPr>
        <w:t>(Rev.WRC-07)</w:t>
      </w:r>
      <w:r w:rsidRPr="00BB1D4E">
        <w:rPr>
          <w:lang w:val="en-US"/>
        </w:rPr>
        <w:t>, which establishes maximum transmit e.i.r.p. levels, antenna beam patterns and pfd levels for HAPS operations.</w:t>
      </w:r>
    </w:p>
    <w:p w:rsidR="00BB1D4E" w:rsidRPr="00BB1D4E" w:rsidRDefault="00BB1D4E" w:rsidP="00EA647E">
      <w:pPr>
        <w:rPr>
          <w:lang w:val="en-US"/>
        </w:rPr>
      </w:pPr>
      <w:r w:rsidRPr="00BB1D4E">
        <w:rPr>
          <w:lang w:val="en-US"/>
        </w:rPr>
        <w:t>The ITU has published the following Recommendations on HAPS</w:t>
      </w:r>
      <w:r w:rsidR="00EA647E">
        <w:rPr>
          <w:lang w:val="en-US"/>
        </w:rPr>
        <w:t xml:space="preserve"> usage in these bands: ITU</w:t>
      </w:r>
      <w:r w:rsidR="00EA647E">
        <w:rPr>
          <w:lang w:val="en-US"/>
        </w:rPr>
        <w:noBreakHyphen/>
        <w:t>R </w:t>
      </w:r>
      <w:r w:rsidRPr="00BB1D4E">
        <w:rPr>
          <w:lang w:val="en-US"/>
        </w:rPr>
        <w:t>F.1500, ITU-R F.1501, ITU-R F.1608, ITU-R F.1764, ITU-R F.1819, ITU-R F.1820, ITU</w:t>
      </w:r>
      <w:r w:rsidR="00EA647E">
        <w:rPr>
          <w:lang w:val="en-US"/>
        </w:rPr>
        <w:noBreakHyphen/>
      </w:r>
      <w:r w:rsidRPr="00BB1D4E">
        <w:rPr>
          <w:lang w:val="en-US"/>
        </w:rPr>
        <w:t>R</w:t>
      </w:r>
      <w:r w:rsidR="00EA647E">
        <w:rPr>
          <w:lang w:val="en-US"/>
        </w:rPr>
        <w:t> </w:t>
      </w:r>
      <w:r w:rsidRPr="00BB1D4E">
        <w:rPr>
          <w:lang w:val="en-US"/>
        </w:rPr>
        <w:t>P.1409, ITU-R SF.1481, ITU-R SF.1843.</w:t>
      </w:r>
    </w:p>
    <w:p w:rsidR="00BB1D4E" w:rsidRPr="00BB1D4E" w:rsidRDefault="00BB1D4E" w:rsidP="00BB1D4E">
      <w:pPr>
        <w:pStyle w:val="Heading1"/>
        <w:rPr>
          <w:lang w:val="en-US"/>
        </w:rPr>
      </w:pPr>
      <w:r w:rsidRPr="00BB1D4E">
        <w:rPr>
          <w:lang w:val="en-US"/>
        </w:rPr>
        <w:t>2</w:t>
      </w:r>
      <w:r w:rsidRPr="00BB1D4E">
        <w:rPr>
          <w:lang w:val="en-US"/>
        </w:rPr>
        <w:tab/>
        <w:t>27.9-28.2 GHz and 31.0-31.3 GHz bands</w:t>
      </w:r>
    </w:p>
    <w:p w:rsidR="00BB1D4E" w:rsidRPr="00BB1D4E" w:rsidRDefault="00BB1D4E" w:rsidP="008B46B1">
      <w:pPr>
        <w:rPr>
          <w:lang w:val="en-US"/>
        </w:rPr>
      </w:pPr>
      <w:r w:rsidRPr="00BB1D4E">
        <w:rPr>
          <w:lang w:val="en-US"/>
        </w:rPr>
        <w:t>HAPS has an identification at 27.9-28.2 GHz, which is allocated to the fixed, fixed satellite (Earth</w:t>
      </w:r>
      <w:r w:rsidR="008B46B1">
        <w:rPr>
          <w:lang w:val="en-US"/>
        </w:rPr>
        <w:noBreakHyphen/>
      </w:r>
      <w:r w:rsidRPr="00BB1D4E">
        <w:rPr>
          <w:lang w:val="en-US"/>
        </w:rPr>
        <w:t>to</w:t>
      </w:r>
      <w:r w:rsidR="008B46B1">
        <w:rPr>
          <w:lang w:val="en-US"/>
        </w:rPr>
        <w:noBreakHyphen/>
      </w:r>
      <w:r w:rsidRPr="00BB1D4E">
        <w:rPr>
          <w:lang w:val="en-US"/>
        </w:rPr>
        <w:t xml:space="preserve">space) and mobile service on a primary basis. Additionally, RR </w:t>
      </w:r>
      <w:r w:rsidRPr="00BB1D4E">
        <w:rPr>
          <w:bCs/>
          <w:lang w:val="en-US"/>
        </w:rPr>
        <w:t>No.</w:t>
      </w:r>
      <w:r w:rsidRPr="00BB1D4E">
        <w:rPr>
          <w:b/>
          <w:lang w:val="en-US"/>
        </w:rPr>
        <w:t xml:space="preserve"> </w:t>
      </w:r>
      <w:r w:rsidRPr="00BB1D4E">
        <w:rPr>
          <w:rStyle w:val="Artref"/>
          <w:b/>
          <w:bCs/>
          <w:lang w:val="en-US"/>
        </w:rPr>
        <w:t>5.540</w:t>
      </w:r>
      <w:r w:rsidRPr="00BB1D4E">
        <w:rPr>
          <w:lang w:val="en-US"/>
        </w:rPr>
        <w:t xml:space="preserve"> makes a secondary allocation to the fixed satellite service (space-to-Earth) for beacon transmissions intended for up-link power control at 27.501-29.999 GHz. The HAPS identification in RR </w:t>
      </w:r>
      <w:r w:rsidRPr="00BB1D4E">
        <w:rPr>
          <w:bCs/>
          <w:lang w:val="en-US"/>
        </w:rPr>
        <w:t>No.</w:t>
      </w:r>
      <w:r w:rsidRPr="00BB1D4E">
        <w:rPr>
          <w:b/>
          <w:lang w:val="en-US"/>
        </w:rPr>
        <w:t xml:space="preserve"> </w:t>
      </w:r>
      <w:r w:rsidRPr="00BB1D4E">
        <w:rPr>
          <w:rStyle w:val="Artref"/>
          <w:b/>
          <w:bCs/>
          <w:lang w:val="en-US"/>
        </w:rPr>
        <w:t>5.537A</w:t>
      </w:r>
      <w:r w:rsidRPr="00BB1D4E">
        <w:rPr>
          <w:lang w:val="en-US"/>
        </w:rPr>
        <w:t xml:space="preserve"> permits use within the territory of a number of countries.</w:t>
      </w:r>
      <w:r w:rsidRPr="004E6817">
        <w:rPr>
          <w:rStyle w:val="FootnoteReference"/>
        </w:rPr>
        <w:footnoteReference w:id="3"/>
      </w:r>
      <w:r w:rsidRPr="00BB1D4E">
        <w:rPr>
          <w:lang w:val="en-US"/>
        </w:rPr>
        <w:t xml:space="preserve"> Such use is l</w:t>
      </w:r>
      <w:r w:rsidR="008B46B1">
        <w:rPr>
          <w:lang w:val="en-US"/>
        </w:rPr>
        <w:t>imited to operation in the HAPS</w:t>
      </w:r>
      <w:r w:rsidR="008B46B1">
        <w:rPr>
          <w:lang w:val="en-US"/>
        </w:rPr>
        <w:noBreakHyphen/>
      </w:r>
      <w:r w:rsidRPr="00BB1D4E">
        <w:rPr>
          <w:lang w:val="en-US"/>
        </w:rPr>
        <w:t>to</w:t>
      </w:r>
      <w:r w:rsidR="008B46B1">
        <w:rPr>
          <w:lang w:val="en-US"/>
        </w:rPr>
        <w:noBreakHyphen/>
      </w:r>
      <w:r w:rsidRPr="00BB1D4E">
        <w:rPr>
          <w:lang w:val="en-US"/>
        </w:rPr>
        <w:t>ground direction and requires HAPS systems to avoid causing harmful interference to, and precludes HAPS systems from claiming protection from, other fixed service systems or co</w:t>
      </w:r>
      <w:r w:rsidRPr="00BB1D4E">
        <w:rPr>
          <w:lang w:val="en-US"/>
        </w:rPr>
        <w:noBreakHyphen/>
        <w:t>primary services.</w:t>
      </w:r>
    </w:p>
    <w:p w:rsidR="00BB1D4E" w:rsidRPr="00BB1D4E" w:rsidRDefault="00BB1D4E" w:rsidP="00BB1D4E">
      <w:pPr>
        <w:rPr>
          <w:lang w:val="en-US"/>
        </w:rPr>
      </w:pPr>
      <w:r w:rsidRPr="00BB1D4E">
        <w:rPr>
          <w:lang w:val="en-US"/>
        </w:rPr>
        <w:t xml:space="preserve">The 31.0-31.3 GHz band is allocated to the fixed and mobile service on a primary basis, and the standard frequency and time signal satellite service and space research service on a secondary basis. Pursuant to RR </w:t>
      </w:r>
      <w:r w:rsidRPr="00BB1D4E">
        <w:rPr>
          <w:bCs/>
          <w:lang w:val="en-US"/>
        </w:rPr>
        <w:t>No.</w:t>
      </w:r>
      <w:r w:rsidRPr="00BB1D4E">
        <w:rPr>
          <w:b/>
          <w:lang w:val="en-US"/>
        </w:rPr>
        <w:t xml:space="preserve"> </w:t>
      </w:r>
      <w:r w:rsidRPr="00BB1D4E">
        <w:rPr>
          <w:rStyle w:val="Artref"/>
          <w:b/>
          <w:bCs/>
          <w:lang w:val="en-US"/>
        </w:rPr>
        <w:t>5.543A</w:t>
      </w:r>
      <w:r w:rsidRPr="00BB1D4E">
        <w:rPr>
          <w:lang w:val="en-US"/>
        </w:rPr>
        <w:t xml:space="preserve">, the same countries mentioned above are permitted to use this band for HAPS in the ground-to-HAPS direction. Such use may not cause harmful interference to, nor claim </w:t>
      </w:r>
      <w:r w:rsidRPr="00BB1D4E">
        <w:rPr>
          <w:lang w:val="en-US"/>
        </w:rPr>
        <w:lastRenderedPageBreak/>
        <w:t>protection from, other types of fixed service systems or mobile service systems.</w:t>
      </w:r>
      <w:r w:rsidRPr="004E6817">
        <w:rPr>
          <w:rStyle w:val="FootnoteReference"/>
        </w:rPr>
        <w:footnoteReference w:id="4"/>
      </w:r>
      <w:r w:rsidRPr="00BB1D4E">
        <w:rPr>
          <w:lang w:val="en-US"/>
        </w:rPr>
        <w:t xml:space="preserve"> HAPS must also avoid harmful interference to the radio astronomy service, which has a</w:t>
      </w:r>
      <w:r w:rsidR="00EA647E">
        <w:rPr>
          <w:lang w:val="en-US"/>
        </w:rPr>
        <w:t xml:space="preserve"> primary allocation in the 31.3</w:t>
      </w:r>
      <w:r w:rsidR="00EA647E">
        <w:rPr>
          <w:lang w:val="en-US"/>
        </w:rPr>
        <w:noBreakHyphen/>
      </w:r>
      <w:r w:rsidRPr="00BB1D4E">
        <w:rPr>
          <w:lang w:val="en-US"/>
        </w:rPr>
        <w:t xml:space="preserve">31.8 GHz band. Resolution </w:t>
      </w:r>
      <w:r w:rsidRPr="00BB1D4E">
        <w:rPr>
          <w:b/>
          <w:lang w:val="en-US"/>
        </w:rPr>
        <w:t>145 (Rev.WRC-12)</w:t>
      </w:r>
      <w:r w:rsidRPr="00BB1D4E">
        <w:rPr>
          <w:lang w:val="en-US"/>
        </w:rPr>
        <w:t xml:space="preserve"> ensures protection of the adjacent radio astronomy service by placing a pfd limit on the HAPS ground station antenna, while adding mandatory coordination and agreement with considered neighbouring administrations. </w:t>
      </w:r>
    </w:p>
    <w:p w:rsidR="00BB1D4E" w:rsidRPr="00BB1D4E" w:rsidRDefault="00BB1D4E" w:rsidP="00BB1D4E">
      <w:pPr>
        <w:spacing w:after="120"/>
        <w:rPr>
          <w:lang w:val="en-US"/>
        </w:rPr>
      </w:pPr>
      <w:r w:rsidRPr="00BB1D4E">
        <w:rPr>
          <w:lang w:val="en-US"/>
        </w:rPr>
        <w:t>The ITU has published the following Recommendations on HAPS usage in the 27.9-28.2 GHz and 31.0-31.3 GHz band</w:t>
      </w:r>
      <w:r w:rsidRPr="004E6817">
        <w:rPr>
          <w:rStyle w:val="FootnoteReference"/>
        </w:rPr>
        <w:footnoteReference w:id="5"/>
      </w:r>
      <w:r w:rsidRPr="00BB1D4E">
        <w:rPr>
          <w:lang w:val="en-US"/>
        </w:rPr>
        <w:t xml:space="preserve">: </w:t>
      </w:r>
      <w:hyperlink r:id="rId15">
        <w:r w:rsidRPr="00CE001C">
          <w:rPr>
            <w:rStyle w:val="Hyperlink"/>
            <w:rFonts w:eastAsia="MS Mincho"/>
            <w:color w:val="auto"/>
            <w:u w:val="none"/>
            <w:lang w:val="en-US"/>
          </w:rPr>
          <w:t>ITU-R F.1569</w:t>
        </w:r>
      </w:hyperlink>
      <w:r w:rsidRPr="00CE001C">
        <w:rPr>
          <w:rFonts w:eastAsia="MS Mincho"/>
          <w:lang w:val="en-US"/>
        </w:rPr>
        <w:t xml:space="preserve">, </w:t>
      </w:r>
      <w:hyperlink r:id="rId16">
        <w:r w:rsidRPr="00CE001C">
          <w:rPr>
            <w:rStyle w:val="Hyperlink"/>
            <w:rFonts w:eastAsia="MS Mincho"/>
            <w:color w:val="auto"/>
            <w:u w:val="none"/>
            <w:lang w:val="en-US"/>
          </w:rPr>
          <w:t>ITU-R F.1570</w:t>
        </w:r>
      </w:hyperlink>
      <w:r w:rsidRPr="00CE001C">
        <w:rPr>
          <w:rFonts w:eastAsia="MS Mincho"/>
          <w:lang w:val="en-US"/>
        </w:rPr>
        <w:t xml:space="preserve">, </w:t>
      </w:r>
      <w:hyperlink r:id="rId17">
        <w:r w:rsidRPr="00CE001C">
          <w:rPr>
            <w:rStyle w:val="Hyperlink"/>
            <w:rFonts w:eastAsia="MS Mincho"/>
            <w:color w:val="auto"/>
            <w:u w:val="none"/>
            <w:lang w:val="en-US"/>
          </w:rPr>
          <w:t>ITU-R F.1607</w:t>
        </w:r>
      </w:hyperlink>
      <w:r w:rsidRPr="00CE001C">
        <w:rPr>
          <w:rFonts w:eastAsia="MS Mincho"/>
          <w:lang w:val="en-US"/>
        </w:rPr>
        <w:t xml:space="preserve">, </w:t>
      </w:r>
      <w:hyperlink r:id="rId18">
        <w:r w:rsidRPr="00CE001C">
          <w:rPr>
            <w:rStyle w:val="Hyperlink"/>
            <w:rFonts w:eastAsia="MS Mincho"/>
            <w:color w:val="auto"/>
            <w:u w:val="none"/>
            <w:lang w:val="en-US"/>
          </w:rPr>
          <w:t>ITU-R F.1609</w:t>
        </w:r>
      </w:hyperlink>
      <w:r w:rsidRPr="00CE001C">
        <w:rPr>
          <w:rFonts w:eastAsia="MS Mincho"/>
          <w:lang w:val="en-US"/>
        </w:rPr>
        <w:t xml:space="preserve">, </w:t>
      </w:r>
      <w:hyperlink r:id="rId19">
        <w:r w:rsidRPr="00CE001C">
          <w:rPr>
            <w:rStyle w:val="Hyperlink"/>
            <w:rFonts w:eastAsia="MS Mincho"/>
            <w:color w:val="auto"/>
            <w:u w:val="none"/>
            <w:lang w:val="en-US"/>
          </w:rPr>
          <w:t>ITU-R F.1612</w:t>
        </w:r>
      </w:hyperlink>
      <w:r w:rsidRPr="00CE001C">
        <w:rPr>
          <w:rFonts w:eastAsia="MS Mincho"/>
          <w:lang w:val="en-US"/>
        </w:rPr>
        <w:t xml:space="preserve">, </w:t>
      </w:r>
      <w:hyperlink r:id="rId20">
        <w:r w:rsidRPr="00CE001C">
          <w:rPr>
            <w:rStyle w:val="Hyperlink"/>
            <w:rFonts w:eastAsia="MS Mincho"/>
            <w:color w:val="auto"/>
            <w:u w:val="none"/>
            <w:lang w:val="en-US"/>
          </w:rPr>
          <w:t>ITU-R F.1764</w:t>
        </w:r>
      </w:hyperlink>
      <w:r w:rsidRPr="00CE001C">
        <w:rPr>
          <w:rFonts w:eastAsia="MS Mincho"/>
          <w:lang w:val="en-US"/>
        </w:rPr>
        <w:t xml:space="preserve">, </w:t>
      </w:r>
      <w:hyperlink r:id="rId21">
        <w:r w:rsidRPr="00CE001C">
          <w:rPr>
            <w:rStyle w:val="Hyperlink"/>
            <w:rFonts w:eastAsia="MS Mincho"/>
            <w:color w:val="auto"/>
            <w:u w:val="none"/>
            <w:lang w:val="en-US"/>
          </w:rPr>
          <w:t>ITU-R P.1409</w:t>
        </w:r>
      </w:hyperlink>
      <w:r w:rsidRPr="00CE001C">
        <w:rPr>
          <w:rFonts w:eastAsia="MS Mincho"/>
          <w:lang w:val="en-US"/>
        </w:rPr>
        <w:t xml:space="preserve">, </w:t>
      </w:r>
      <w:hyperlink r:id="rId22">
        <w:r w:rsidRPr="00CE001C">
          <w:rPr>
            <w:rStyle w:val="Hyperlink"/>
            <w:rFonts w:eastAsia="MS Mincho"/>
            <w:color w:val="auto"/>
            <w:u w:val="none"/>
            <w:lang w:val="en-US"/>
          </w:rPr>
          <w:t>ITU-R SF.1601</w:t>
        </w:r>
      </w:hyperlink>
      <w:r w:rsidRPr="00BB1D4E">
        <w:rPr>
          <w:rFonts w:eastAsia="MS Mincho"/>
          <w:lang w:val="en-US"/>
        </w:rPr>
        <w:t>.</w:t>
      </w:r>
    </w:p>
    <w:p w:rsidR="00BB1D4E" w:rsidRPr="00BB1D4E" w:rsidRDefault="008B46B1" w:rsidP="00BB1D4E">
      <w:pPr>
        <w:pStyle w:val="Heading1"/>
        <w:rPr>
          <w:spacing w:val="-2"/>
          <w:lang w:val="en-US"/>
        </w:rPr>
      </w:pPr>
      <w:r>
        <w:rPr>
          <w:spacing w:val="-2"/>
          <w:lang w:val="en-US"/>
        </w:rPr>
        <w:t>3</w:t>
      </w:r>
      <w:r>
        <w:rPr>
          <w:spacing w:val="-2"/>
          <w:lang w:val="en-US"/>
        </w:rPr>
        <w:tab/>
        <w:t>6 440-</w:t>
      </w:r>
      <w:r w:rsidR="00BB1D4E" w:rsidRPr="00BB1D4E">
        <w:rPr>
          <w:spacing w:val="-2"/>
          <w:lang w:val="en-US"/>
        </w:rPr>
        <w:t>6 520 MHz (HAPS-ground) and 6 560-6 640 MHz (ground</w:t>
      </w:r>
      <w:r w:rsidR="00BB1D4E" w:rsidRPr="00BB1D4E">
        <w:rPr>
          <w:spacing w:val="-2"/>
          <w:lang w:val="en-US"/>
        </w:rPr>
        <w:noBreakHyphen/>
        <w:t>HAPS)</w:t>
      </w:r>
    </w:p>
    <w:p w:rsidR="00BB1D4E" w:rsidRPr="00BB1D4E" w:rsidRDefault="00BB1D4E" w:rsidP="00EA647E">
      <w:pPr>
        <w:rPr>
          <w:lang w:val="en-US"/>
        </w:rPr>
      </w:pPr>
      <w:r w:rsidRPr="00BB1D4E">
        <w:rPr>
          <w:lang w:val="en-US"/>
        </w:rPr>
        <w:t>The 6 440-6 520 MHz and 6 560-6 640 MHz bands are allocated to th</w:t>
      </w:r>
      <w:r w:rsidR="008B46B1">
        <w:rPr>
          <w:lang w:val="en-US"/>
        </w:rPr>
        <w:t>e fixed, fixed satellite (Earth</w:t>
      </w:r>
      <w:r w:rsidR="008B46B1">
        <w:rPr>
          <w:lang w:val="en-US"/>
        </w:rPr>
        <w:noBreakHyphen/>
        <w:t>to</w:t>
      </w:r>
      <w:r w:rsidR="008B46B1">
        <w:rPr>
          <w:lang w:val="en-US"/>
        </w:rPr>
        <w:noBreakHyphen/>
      </w:r>
      <w:r w:rsidRPr="00BB1D4E">
        <w:rPr>
          <w:lang w:val="en-US"/>
        </w:rPr>
        <w:t xml:space="preserve">space) and mobile services on a primary basis. RR </w:t>
      </w:r>
      <w:r w:rsidRPr="00BB1D4E">
        <w:rPr>
          <w:bCs/>
          <w:lang w:val="en-US"/>
        </w:rPr>
        <w:t>No.</w:t>
      </w:r>
      <w:r w:rsidRPr="00BB1D4E">
        <w:rPr>
          <w:b/>
          <w:lang w:val="en-US"/>
        </w:rPr>
        <w:t xml:space="preserve"> </w:t>
      </w:r>
      <w:r w:rsidRPr="00BB1D4E">
        <w:rPr>
          <w:rStyle w:val="Artref"/>
          <w:b/>
          <w:bCs/>
          <w:lang w:val="en-US"/>
        </w:rPr>
        <w:t>5.457</w:t>
      </w:r>
      <w:r w:rsidRPr="00BB1D4E">
        <w:rPr>
          <w:lang w:val="en-US"/>
        </w:rPr>
        <w:t xml:space="preserve"> identifies these bands in Australia, Burkina Faso, Cote d’Ivoire, Mali and Nigeria for HAPS use within each countries’ territory. Such use is limited to operation in HAPS gateway links and may not cause harmful interference to, and may not claim protection from, existing services. HAPS use must comply with Resolution</w:t>
      </w:r>
      <w:r w:rsidR="00EA647E">
        <w:rPr>
          <w:lang w:val="en-US"/>
        </w:rPr>
        <w:t> </w:t>
      </w:r>
      <w:r w:rsidRPr="00BB1D4E">
        <w:rPr>
          <w:b/>
          <w:lang w:val="en-US"/>
        </w:rPr>
        <w:t>150</w:t>
      </w:r>
      <w:r w:rsidRPr="00BB1D4E">
        <w:rPr>
          <w:lang w:val="en-US"/>
        </w:rPr>
        <w:t xml:space="preserve"> (</w:t>
      </w:r>
      <w:r w:rsidR="00EA647E">
        <w:rPr>
          <w:b/>
          <w:lang w:val="en-US"/>
        </w:rPr>
        <w:t>WRC</w:t>
      </w:r>
      <w:r w:rsidR="00EA647E">
        <w:rPr>
          <w:b/>
          <w:lang w:val="en-US"/>
        </w:rPr>
        <w:noBreakHyphen/>
      </w:r>
      <w:r w:rsidRPr="00BB1D4E">
        <w:rPr>
          <w:b/>
          <w:lang w:val="en-US"/>
        </w:rPr>
        <w:t>12</w:t>
      </w:r>
      <w:r w:rsidRPr="00BB1D4E">
        <w:rPr>
          <w:lang w:val="en-US"/>
        </w:rPr>
        <w:t>). Additionally, existing services may not be constrained in future development by HAPS gateway links. The use of HAPS gateway links in these bands requires explicit agreement with other administrations whose territories are located within 1 000 km from the border of an administration intending to use the HAPS gateway links.</w:t>
      </w:r>
    </w:p>
    <w:p w:rsidR="00BB1D4E" w:rsidRPr="00BB1D4E" w:rsidRDefault="00BB1D4E" w:rsidP="00BB1D4E">
      <w:pPr>
        <w:rPr>
          <w:lang w:val="en-US"/>
        </w:rPr>
      </w:pPr>
      <w:r w:rsidRPr="00BB1D4E">
        <w:rPr>
          <w:lang w:val="en-US"/>
        </w:rPr>
        <w:t xml:space="preserve">Resolution </w:t>
      </w:r>
      <w:r w:rsidRPr="00BB1D4E">
        <w:rPr>
          <w:b/>
          <w:lang w:val="en-US"/>
        </w:rPr>
        <w:t>150</w:t>
      </w:r>
      <w:r w:rsidRPr="00BB1D4E">
        <w:rPr>
          <w:lang w:val="en-US"/>
        </w:rPr>
        <w:t xml:space="preserve"> (</w:t>
      </w:r>
      <w:r w:rsidRPr="00BB1D4E">
        <w:rPr>
          <w:b/>
          <w:lang w:val="en-US"/>
        </w:rPr>
        <w:t>WRC-12</w:t>
      </w:r>
      <w:r w:rsidRPr="00BB1D4E">
        <w:rPr>
          <w:lang w:val="en-US"/>
        </w:rPr>
        <w:t>) provides a number of regulatory provisions that govern the use of HAPS in the 6 440-6 520 MHz and 6 560-6 640 MHz bands, including antenna beam patterns, aggregate pfd criterion and a maximum e.i.r.p. value.</w:t>
      </w:r>
    </w:p>
    <w:p w:rsidR="00BB1D4E" w:rsidRPr="00CE001C" w:rsidRDefault="00BB1D4E" w:rsidP="00BB1D4E">
      <w:pPr>
        <w:rPr>
          <w:rStyle w:val="Hyperlink"/>
          <w:color w:val="auto"/>
          <w:u w:val="none"/>
          <w:lang w:val="en-US"/>
        </w:rPr>
      </w:pPr>
      <w:r w:rsidRPr="00BB1D4E">
        <w:rPr>
          <w:lang w:val="en-US"/>
        </w:rPr>
        <w:t>The ITU has published the following Reports and Recommendations on HAPS usage in the 6 440</w:t>
      </w:r>
      <w:r w:rsidRPr="00BB1D4E">
        <w:rPr>
          <w:lang w:val="en-US"/>
        </w:rPr>
        <w:noBreakHyphen/>
        <w:t xml:space="preserve">6 520 MHz (HAPS-ground) and 6 560-6 640 MHz (ground-HAPS) band: </w:t>
      </w:r>
      <w:hyperlink r:id="rId23">
        <w:r w:rsidRPr="00CE001C">
          <w:rPr>
            <w:rStyle w:val="Hyperlink"/>
            <w:rFonts w:eastAsia="MS Mincho"/>
            <w:color w:val="auto"/>
            <w:u w:val="none"/>
            <w:lang w:val="en-US"/>
          </w:rPr>
          <w:t>ITU-R F.2240</w:t>
        </w:r>
      </w:hyperlink>
      <w:r w:rsidRPr="00CE001C">
        <w:rPr>
          <w:rFonts w:eastAsia="MS Mincho"/>
          <w:lang w:val="en-US"/>
        </w:rPr>
        <w:t xml:space="preserve">, </w:t>
      </w:r>
      <w:hyperlink r:id="rId24">
        <w:r w:rsidR="00EA647E" w:rsidRPr="00CE001C">
          <w:rPr>
            <w:rStyle w:val="Hyperlink"/>
            <w:rFonts w:eastAsia="MS Mincho"/>
            <w:color w:val="auto"/>
            <w:u w:val="none"/>
            <w:lang w:val="en-US"/>
          </w:rPr>
          <w:t>ITU</w:t>
        </w:r>
        <w:r w:rsidR="00EA647E" w:rsidRPr="00CE001C">
          <w:rPr>
            <w:rStyle w:val="Hyperlink"/>
            <w:rFonts w:eastAsia="MS Mincho"/>
            <w:color w:val="auto"/>
            <w:u w:val="none"/>
            <w:lang w:val="en-US"/>
          </w:rPr>
          <w:noBreakHyphen/>
        </w:r>
        <w:r w:rsidRPr="00CE001C">
          <w:rPr>
            <w:rStyle w:val="Hyperlink"/>
            <w:rFonts w:eastAsia="MS Mincho"/>
            <w:color w:val="auto"/>
            <w:u w:val="none"/>
            <w:lang w:val="en-US"/>
          </w:rPr>
          <w:t>R F.1764</w:t>
        </w:r>
      </w:hyperlink>
      <w:r w:rsidRPr="00CE001C">
        <w:rPr>
          <w:rFonts w:eastAsia="MS Mincho"/>
          <w:lang w:val="en-US"/>
        </w:rPr>
        <w:t xml:space="preserve">, </w:t>
      </w:r>
      <w:hyperlink r:id="rId25">
        <w:r w:rsidRPr="00CE001C">
          <w:rPr>
            <w:rStyle w:val="Hyperlink"/>
            <w:rFonts w:eastAsia="MS Mincho"/>
            <w:color w:val="auto"/>
            <w:u w:val="none"/>
            <w:lang w:val="en-US"/>
          </w:rPr>
          <w:t>ITU-R F.1891</w:t>
        </w:r>
      </w:hyperlink>
      <w:r w:rsidRPr="00CE001C">
        <w:rPr>
          <w:rFonts w:eastAsia="MS Mincho"/>
          <w:lang w:val="en-US"/>
        </w:rPr>
        <w:t xml:space="preserve">, </w:t>
      </w:r>
      <w:hyperlink r:id="rId26">
        <w:r w:rsidRPr="00CE001C">
          <w:rPr>
            <w:rStyle w:val="Hyperlink"/>
            <w:color w:val="auto"/>
            <w:u w:val="none"/>
            <w:lang w:val="en-US"/>
          </w:rPr>
          <w:t>ITU-R F.2011</w:t>
        </w:r>
      </w:hyperlink>
      <w:r w:rsidRPr="00CE001C">
        <w:rPr>
          <w:rFonts w:eastAsia="MS Mincho"/>
          <w:lang w:val="en-US"/>
        </w:rPr>
        <w:t xml:space="preserve">, </w:t>
      </w:r>
      <w:hyperlink r:id="rId27">
        <w:r w:rsidRPr="00CE001C">
          <w:rPr>
            <w:rStyle w:val="Hyperlink"/>
            <w:color w:val="auto"/>
            <w:u w:val="none"/>
            <w:lang w:val="en-US"/>
          </w:rPr>
          <w:t>ITU-R P.1409</w:t>
        </w:r>
      </w:hyperlink>
      <w:r w:rsidRPr="00CE001C">
        <w:rPr>
          <w:rFonts w:eastAsia="MS Mincho"/>
          <w:lang w:val="en-US"/>
        </w:rPr>
        <w:t>.</w:t>
      </w:r>
    </w:p>
    <w:p w:rsidR="00BB1D4E" w:rsidRDefault="00BB1D4E" w:rsidP="00EA647E">
      <w:pPr>
        <w:rPr>
          <w:lang w:val="en-US" w:eastAsia="zh-CN"/>
        </w:rPr>
      </w:pPr>
    </w:p>
    <w:p w:rsidR="00CE001C" w:rsidRPr="00BB1D4E" w:rsidRDefault="00CE001C" w:rsidP="00EA647E">
      <w:pPr>
        <w:rPr>
          <w:lang w:val="en-US" w:eastAsia="zh-CN"/>
        </w:rPr>
      </w:pPr>
    </w:p>
    <w:p w:rsidR="00BB1D4E" w:rsidRPr="00824C36" w:rsidRDefault="00BB1D4E" w:rsidP="00FA0367">
      <w:pPr>
        <w:pStyle w:val="Line"/>
      </w:pPr>
    </w:p>
    <w:sectPr w:rsidR="00BB1D4E" w:rsidRPr="00824C36" w:rsidSect="00C60A15">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B6C" w:rsidRDefault="00B24B6C">
      <w:r>
        <w:separator/>
      </w:r>
    </w:p>
  </w:endnote>
  <w:endnote w:type="continuationSeparator" w:id="0">
    <w:p w:rsidR="00B24B6C" w:rsidRDefault="00B2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B6C" w:rsidRDefault="00B24B6C">
      <w:r>
        <w:separator/>
      </w:r>
    </w:p>
  </w:footnote>
  <w:footnote w:type="continuationSeparator" w:id="0">
    <w:p w:rsidR="00B24B6C" w:rsidRDefault="00B24B6C">
      <w:r>
        <w:continuationSeparator/>
      </w:r>
    </w:p>
  </w:footnote>
  <w:footnote w:id="1">
    <w:p w:rsidR="00B24B6C" w:rsidRPr="000642DE" w:rsidRDefault="00B24B6C" w:rsidP="00BB1D4E">
      <w:pPr>
        <w:pStyle w:val="FootnoteText"/>
        <w:rPr>
          <w:lang w:val="en-US"/>
        </w:rPr>
      </w:pPr>
      <w:r w:rsidRPr="00192CDE">
        <w:rPr>
          <w:rStyle w:val="FootnoteReference"/>
        </w:rPr>
        <w:footnoteRef/>
      </w:r>
      <w:r w:rsidRPr="00192CDE">
        <w:rPr>
          <w:lang w:val="en-US"/>
        </w:rPr>
        <w:t xml:space="preserve"> </w:t>
      </w:r>
      <w:r>
        <w:rPr>
          <w:lang w:val="en-US"/>
        </w:rPr>
        <w:tab/>
      </w:r>
      <w:r w:rsidRPr="00192CDE">
        <w:rPr>
          <w:lang w:val="en-US"/>
        </w:rPr>
        <w:t xml:space="preserve">See </w:t>
      </w:r>
      <w:hyperlink r:id="rId1" w:history="1">
        <w:r w:rsidRPr="00926DDD">
          <w:rPr>
            <w:rStyle w:val="Hyperlink"/>
            <w:lang w:val="en-US"/>
          </w:rPr>
          <w:t>ECC Report 199</w:t>
        </w:r>
      </w:hyperlink>
      <w:r w:rsidRPr="00192CDE">
        <w:rPr>
          <w:lang w:val="en-US"/>
        </w:rPr>
        <w:t xml:space="preserve"> for more details on broadband PPDR spectrum requirements within CEPT.</w:t>
      </w:r>
    </w:p>
  </w:footnote>
  <w:footnote w:id="2">
    <w:p w:rsidR="00B24B6C" w:rsidRPr="00BB1D4E" w:rsidRDefault="00B24B6C" w:rsidP="00BB1D4E">
      <w:pPr>
        <w:pStyle w:val="FootnoteText"/>
        <w:rPr>
          <w:lang w:val="en-US"/>
        </w:rPr>
      </w:pPr>
      <w:r w:rsidRPr="00217D1B">
        <w:rPr>
          <w:rStyle w:val="FootnoteReference"/>
        </w:rPr>
        <w:footnoteRef/>
      </w:r>
      <w:r w:rsidRPr="00BB1D4E">
        <w:rPr>
          <w:rStyle w:val="FootnoteReference"/>
          <w:szCs w:val="22"/>
          <w:lang w:val="en-US"/>
        </w:rPr>
        <w:tab/>
      </w:r>
      <w:r w:rsidRPr="00BB1D4E">
        <w:rPr>
          <w:lang w:val="en-US"/>
        </w:rPr>
        <w:t>In addition to the fixed service identifications, the bands 1 885</w:t>
      </w:r>
      <w:r w:rsidRPr="00BB1D4E">
        <w:rPr>
          <w:lang w:val="en-US"/>
        </w:rPr>
        <w:noBreakHyphen/>
        <w:t>1 980 MHz, 2 010</w:t>
      </w:r>
      <w:r w:rsidRPr="00BB1D4E">
        <w:rPr>
          <w:lang w:val="en-US"/>
        </w:rPr>
        <w:noBreakHyphen/>
        <w:t>2 025 MHz and 2 110</w:t>
      </w:r>
      <w:r w:rsidRPr="00BB1D4E">
        <w:rPr>
          <w:lang w:val="en-US"/>
        </w:rPr>
        <w:noBreakHyphen/>
        <w:t>2 170 MHz were identified for HAPS operating in the mobile serv</w:t>
      </w:r>
      <w:r>
        <w:rPr>
          <w:lang w:val="en-US"/>
        </w:rPr>
        <w:t>ice as IMT base stations at WRC</w:t>
      </w:r>
      <w:r>
        <w:rPr>
          <w:lang w:val="en-US"/>
        </w:rPr>
        <w:noBreakHyphen/>
      </w:r>
      <w:r w:rsidRPr="00BB1D4E">
        <w:rPr>
          <w:lang w:val="en-US"/>
        </w:rPr>
        <w:t>2000.</w:t>
      </w:r>
    </w:p>
  </w:footnote>
  <w:footnote w:id="3">
    <w:p w:rsidR="00B24B6C" w:rsidRPr="00BB1D4E" w:rsidRDefault="00B24B6C" w:rsidP="00BB1D4E">
      <w:pPr>
        <w:pStyle w:val="FootnoteText"/>
        <w:rPr>
          <w:lang w:val="en-US"/>
        </w:rPr>
      </w:pPr>
      <w:r w:rsidRPr="00217D1B">
        <w:rPr>
          <w:rStyle w:val="FootnoteReference"/>
        </w:rPr>
        <w:footnoteRef/>
      </w:r>
      <w:r w:rsidRPr="00BB1D4E">
        <w:rPr>
          <w:rStyle w:val="FootnoteReference"/>
          <w:szCs w:val="22"/>
          <w:lang w:val="en-US"/>
        </w:rPr>
        <w:tab/>
      </w:r>
      <w:r w:rsidRPr="006B3DF3">
        <w:rPr>
          <w:lang w:val="en-US"/>
        </w:rPr>
        <w:t xml:space="preserve">Bhutan, Cameroon, Korea (Rep. of), the Russian Federation, India, Indonesia, Iran (Islamic Republic of), Iraq, Japan, </w:t>
      </w:r>
      <w:r w:rsidRPr="00BB1D4E">
        <w:rPr>
          <w:lang w:val="en-US"/>
        </w:rPr>
        <w:t>Kazakhstan</w:t>
      </w:r>
      <w:r w:rsidRPr="006B3DF3">
        <w:rPr>
          <w:lang w:val="en-US"/>
        </w:rPr>
        <w:t xml:space="preserve">, Malaysia, Maldives, Mongolia, Myanmar, Uzbekistan, Pakistan, the Philippines, Kyrgyzstan, the Dem. People’s Rep. of Korea, Sudan, Sri Lanka, Thailand and Viet Nam. </w:t>
      </w:r>
    </w:p>
  </w:footnote>
  <w:footnote w:id="4">
    <w:p w:rsidR="00B24B6C" w:rsidRPr="00BB1D4E" w:rsidRDefault="00B24B6C" w:rsidP="00BB1D4E">
      <w:pPr>
        <w:pStyle w:val="FootnoteText"/>
        <w:rPr>
          <w:lang w:val="en-US"/>
        </w:rPr>
      </w:pPr>
      <w:r w:rsidRPr="00217D1B">
        <w:rPr>
          <w:rStyle w:val="FootnoteReference"/>
        </w:rPr>
        <w:footnoteRef/>
      </w:r>
      <w:r w:rsidRPr="00BB1D4E">
        <w:rPr>
          <w:rStyle w:val="FootnoteReference"/>
          <w:szCs w:val="22"/>
          <w:lang w:val="en-US"/>
        </w:rPr>
        <w:tab/>
      </w:r>
      <w:r w:rsidRPr="006B3DF3">
        <w:rPr>
          <w:lang w:val="en-US"/>
        </w:rPr>
        <w:t>The space research service is also subject to these protections in the following countries: Armenia, Georgia, Kyrgyzstan, Tajikistan and Turkmenistan.</w:t>
      </w:r>
    </w:p>
  </w:footnote>
  <w:footnote w:id="5">
    <w:p w:rsidR="00B24B6C" w:rsidRPr="00485814" w:rsidRDefault="00B24B6C" w:rsidP="00BB1D4E">
      <w:pPr>
        <w:pStyle w:val="FootnoteText"/>
        <w:rPr>
          <w:lang w:val="en-US"/>
        </w:rPr>
      </w:pPr>
      <w:r w:rsidRPr="003C6599">
        <w:rPr>
          <w:rStyle w:val="FootnoteReference"/>
        </w:rPr>
        <w:footnoteRef/>
      </w:r>
      <w:r w:rsidRPr="00BB1D4E">
        <w:rPr>
          <w:lang w:val="en-US"/>
        </w:rPr>
        <w:tab/>
        <w:t xml:space="preserve">Several of the referenced documents provide information on the 27.5-28.35 GHz fixed service band for potential HAPS use. Despite the broader range of the fixed service allocation studied in the ITU-R, the identification in </w:t>
      </w:r>
      <w:r w:rsidRPr="00BB1D4E">
        <w:rPr>
          <w:bCs/>
          <w:lang w:val="en-US"/>
        </w:rPr>
        <w:t xml:space="preserve">RR No. </w:t>
      </w:r>
      <w:r w:rsidRPr="00BB1D4E">
        <w:rPr>
          <w:rStyle w:val="Artref"/>
          <w:b/>
          <w:bCs/>
          <w:lang w:val="en-US"/>
        </w:rPr>
        <w:t>5.537A</w:t>
      </w:r>
      <w:r w:rsidRPr="00BB1D4E">
        <w:rPr>
          <w:lang w:val="en-US"/>
        </w:rPr>
        <w:t xml:space="preserve"> is limited to the band 27.9-28.2 GHz.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6C" w:rsidRPr="005A7013" w:rsidRDefault="00B24B6C" w:rsidP="003927B7">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473271">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473271" w:rsidRPr="00473271">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473271">
      <w:rPr>
        <w:b/>
        <w:bCs/>
        <w:noProof/>
        <w:lang w:val="en-US"/>
      </w:rPr>
      <w:t>ITU-R  F.2438-0</w:t>
    </w:r>
    <w:r w:rsidRPr="00D95923">
      <w:fldChar w:fldCharType="end"/>
    </w:r>
  </w:p>
  <w:p w:rsidR="00B24B6C" w:rsidRPr="00BB1D4E" w:rsidRDefault="00B24B6C">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6C" w:rsidRDefault="00B24B6C" w:rsidP="003927B7">
    <w:pPr>
      <w:pStyle w:val="Header"/>
      <w:ind w:right="360" w:firstLine="360"/>
    </w:pPr>
    <w:r>
      <w:rPr>
        <w:noProof/>
        <w:lang w:val="en-GB" w:eastAsia="en-GB"/>
      </w:rPr>
      <w:drawing>
        <wp:anchor distT="0" distB="0" distL="114300" distR="114300" simplePos="0" relativeHeight="251659264" behindDoc="1" locked="0" layoutInCell="1" allowOverlap="1" wp14:anchorId="50037539" wp14:editId="2FB4F18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p w:rsidR="00B24B6C" w:rsidRDefault="00B24B6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6C" w:rsidRDefault="00B24B6C" w:rsidP="00164E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3271">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73271" w:rsidRPr="004732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3271">
      <w:rPr>
        <w:b/>
        <w:bCs/>
        <w:noProof/>
        <w:lang w:val="en-US"/>
      </w:rPr>
      <w:t>ITU-R  F.2438-0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6C" w:rsidRDefault="00B24B6C" w:rsidP="004620B6">
    <w:pPr>
      <w:pStyle w:val="Header"/>
    </w:pPr>
    <w:r>
      <w:tab/>
    </w:r>
    <w:r w:rsidR="002B12F7">
      <w:rPr>
        <w:b/>
        <w:bCs/>
      </w:rPr>
      <w:fldChar w:fldCharType="begin"/>
    </w:r>
    <w:r w:rsidR="002B12F7">
      <w:rPr>
        <w:b/>
        <w:bCs/>
      </w:rPr>
      <w:instrText xml:space="preserve"> DOCPROPERTY "Header" \* MERGEFORMAT </w:instrText>
    </w:r>
    <w:r w:rsidR="002B12F7">
      <w:rPr>
        <w:b/>
        <w:bCs/>
      </w:rPr>
      <w:fldChar w:fldCharType="separate"/>
    </w:r>
    <w:r w:rsidR="00473271">
      <w:rPr>
        <w:b/>
        <w:bCs/>
      </w:rPr>
      <w:t xml:space="preserve">Rec. </w:t>
    </w:r>
    <w:r w:rsidR="002B12F7">
      <w:rPr>
        <w:b/>
        <w:bCs/>
      </w:rPr>
      <w:fldChar w:fldCharType="end"/>
    </w:r>
    <w:r>
      <w:rPr>
        <w:b/>
        <w:bCs/>
      </w:rPr>
      <w:t xml:space="preserve"> </w:t>
    </w:r>
    <w:r>
      <w:rPr>
        <w:b/>
        <w:bCs/>
      </w:rPr>
      <w:fldChar w:fldCharType="begin"/>
    </w:r>
    <w:r>
      <w:rPr>
        <w:b/>
        <w:bCs/>
      </w:rPr>
      <w:instrText>styleref href</w:instrText>
    </w:r>
    <w:r>
      <w:rPr>
        <w:b/>
        <w:bCs/>
      </w:rPr>
      <w:fldChar w:fldCharType="separate"/>
    </w:r>
    <w:r w:rsidR="00473271">
      <w:rPr>
        <w:b/>
        <w:bCs/>
        <w:noProof/>
      </w:rPr>
      <w:t>ITU-R  F.2438-0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327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BC1B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DCA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FC2D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0842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44AE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225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0277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84A1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6667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36BC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21C3C"/>
    <w:multiLevelType w:val="hybridMultilevel"/>
    <w:tmpl w:val="EDEC11FC"/>
    <w:lvl w:ilvl="0" w:tplc="86F857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825F3"/>
    <w:multiLevelType w:val="hybridMultilevel"/>
    <w:tmpl w:val="571AED3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0FEB4A7C"/>
    <w:multiLevelType w:val="hybridMultilevel"/>
    <w:tmpl w:val="8C88A176"/>
    <w:lvl w:ilvl="0" w:tplc="B53E7FC4">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FA3EAD"/>
    <w:multiLevelType w:val="hybridMultilevel"/>
    <w:tmpl w:val="AA1222F0"/>
    <w:lvl w:ilvl="0" w:tplc="6D524DCA">
      <w:start w:val="60"/>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705624"/>
    <w:multiLevelType w:val="hybridMultilevel"/>
    <w:tmpl w:val="C30AE05E"/>
    <w:lvl w:ilvl="0" w:tplc="724EACD0">
      <w:start w:val="2"/>
      <w:numFmt w:val="bullet"/>
      <w:lvlText w:val="–"/>
      <w:lvlJc w:val="left"/>
      <w:pPr>
        <w:tabs>
          <w:tab w:val="num" w:pos="648"/>
        </w:tabs>
        <w:ind w:left="648" w:hanging="57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E2669E"/>
    <w:multiLevelType w:val="hybridMultilevel"/>
    <w:tmpl w:val="6D26C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384050"/>
    <w:multiLevelType w:val="hybridMultilevel"/>
    <w:tmpl w:val="C51A218A"/>
    <w:lvl w:ilvl="0" w:tplc="FBD49A72">
      <w:start w:val="1"/>
      <w:numFmt w:val="decimal"/>
      <w:lvlText w:val="%1"/>
      <w:lvlJc w:val="left"/>
      <w:pPr>
        <w:ind w:left="1140" w:hanging="114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1C075CFB"/>
    <w:multiLevelType w:val="hybridMultilevel"/>
    <w:tmpl w:val="F6B052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27C3"/>
    <w:multiLevelType w:val="hybridMultilevel"/>
    <w:tmpl w:val="0978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E725A"/>
    <w:multiLevelType w:val="hybridMultilevel"/>
    <w:tmpl w:val="6A720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069672E"/>
    <w:multiLevelType w:val="hybridMultilevel"/>
    <w:tmpl w:val="4914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F21A1"/>
    <w:multiLevelType w:val="multilevel"/>
    <w:tmpl w:val="A3FA4068"/>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B9469D"/>
    <w:multiLevelType w:val="hybridMultilevel"/>
    <w:tmpl w:val="D614645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39357534"/>
    <w:multiLevelType w:val="hybridMultilevel"/>
    <w:tmpl w:val="1678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75F0E"/>
    <w:multiLevelType w:val="hybridMultilevel"/>
    <w:tmpl w:val="1F5459DE"/>
    <w:lvl w:ilvl="0" w:tplc="018E1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43D09D3"/>
    <w:multiLevelType w:val="multilevel"/>
    <w:tmpl w:val="4060FB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B82DBD"/>
    <w:multiLevelType w:val="hybridMultilevel"/>
    <w:tmpl w:val="B9742436"/>
    <w:lvl w:ilvl="0" w:tplc="5D0C2A58">
      <w:numFmt w:val="bullet"/>
      <w:lvlText w:val="•"/>
      <w:lvlJc w:val="left"/>
      <w:pPr>
        <w:ind w:left="1488" w:hanging="1128"/>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A006AB"/>
    <w:multiLevelType w:val="hybridMultilevel"/>
    <w:tmpl w:val="82D6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4825FD"/>
    <w:multiLevelType w:val="hybridMultilevel"/>
    <w:tmpl w:val="18722A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D9B67A5"/>
    <w:multiLevelType w:val="hybridMultilevel"/>
    <w:tmpl w:val="E38A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635ED"/>
    <w:multiLevelType w:val="hybridMultilevel"/>
    <w:tmpl w:val="08668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1E082A"/>
    <w:multiLevelType w:val="hybridMultilevel"/>
    <w:tmpl w:val="59E66708"/>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166F49"/>
    <w:multiLevelType w:val="hybridMultilevel"/>
    <w:tmpl w:val="5AC46B8E"/>
    <w:lvl w:ilvl="0" w:tplc="BA98F73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C64B50"/>
    <w:multiLevelType w:val="hybridMultilevel"/>
    <w:tmpl w:val="F47A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E0EB6"/>
    <w:multiLevelType w:val="hybridMultilevel"/>
    <w:tmpl w:val="492EC276"/>
    <w:lvl w:ilvl="0" w:tplc="40DC902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2AA5115"/>
    <w:multiLevelType w:val="hybridMultilevel"/>
    <w:tmpl w:val="D158AF30"/>
    <w:lvl w:ilvl="0" w:tplc="5D0C2A58">
      <w:numFmt w:val="bullet"/>
      <w:lvlText w:val="•"/>
      <w:lvlJc w:val="left"/>
      <w:pPr>
        <w:ind w:left="1848" w:hanging="1128"/>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5042A8"/>
    <w:multiLevelType w:val="hybridMultilevel"/>
    <w:tmpl w:val="CCF6A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514DDA"/>
    <w:multiLevelType w:val="multilevel"/>
    <w:tmpl w:val="B0A2E2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65A2139"/>
    <w:multiLevelType w:val="hybridMultilevel"/>
    <w:tmpl w:val="5FF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21"/>
  </w:num>
  <w:num w:numId="4">
    <w:abstractNumId w:val="16"/>
  </w:num>
  <w:num w:numId="5">
    <w:abstractNumId w:val="12"/>
  </w:num>
  <w:num w:numId="6">
    <w:abstractNumId w:val="18"/>
  </w:num>
  <w:num w:numId="7">
    <w:abstractNumId w:val="38"/>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num>
  <w:num w:numId="12">
    <w:abstractNumId w:val="19"/>
  </w:num>
  <w:num w:numId="13">
    <w:abstractNumId w:val="33"/>
  </w:num>
  <w:num w:numId="14">
    <w:abstractNumId w:val="25"/>
  </w:num>
  <w:num w:numId="15">
    <w:abstractNumId w:val="35"/>
  </w:num>
  <w:num w:numId="16">
    <w:abstractNumId w:val="37"/>
  </w:num>
  <w:num w:numId="17">
    <w:abstractNumId w:val="31"/>
  </w:num>
  <w:num w:numId="18">
    <w:abstractNumId w:val="11"/>
  </w:num>
  <w:num w:numId="19">
    <w:abstractNumId w:val="13"/>
  </w:num>
  <w:num w:numId="20">
    <w:abstractNumId w:val="17"/>
  </w:num>
  <w:num w:numId="21">
    <w:abstractNumId w:val="24"/>
  </w:num>
  <w:num w:numId="22">
    <w:abstractNumId w:val="14"/>
  </w:num>
  <w:num w:numId="23">
    <w:abstractNumId w:val="16"/>
    <w:lvlOverride w:ilvl="0">
      <w:startOverride w:val="1"/>
    </w:lvlOverride>
  </w:num>
  <w:num w:numId="24">
    <w:abstractNumId w:val="20"/>
  </w:num>
  <w:num w:numId="25">
    <w:abstractNumId w:val="23"/>
  </w:num>
  <w:num w:numId="26">
    <w:abstractNumId w:val="29"/>
  </w:num>
  <w:num w:numId="27">
    <w:abstractNumId w:val="32"/>
  </w:num>
  <w:num w:numId="28">
    <w:abstractNumId w:val="22"/>
  </w:num>
  <w:num w:numId="29">
    <w:abstractNumId w:val="39"/>
  </w:num>
  <w:num w:numId="30">
    <w:abstractNumId w:val="34"/>
  </w:num>
  <w:num w:numId="31">
    <w:abstractNumId w:val="26"/>
  </w:num>
  <w:num w:numId="32">
    <w:abstractNumId w:val="16"/>
    <w:lvlOverride w:ilvl="0">
      <w:startOverride w:val="4"/>
    </w:lvlOverride>
  </w:num>
  <w:num w:numId="33">
    <w:abstractNumId w:val="16"/>
    <w:lvlOverride w:ilvl="0">
      <w:startOverride w:val="9"/>
    </w:lvlOverride>
  </w:num>
  <w:num w:numId="34">
    <w:abstractNumId w:val="16"/>
    <w:lvlOverride w:ilvl="0">
      <w:startOverride w:val="9"/>
    </w:lvlOverride>
  </w:num>
  <w:num w:numId="35">
    <w:abstractNumId w:val="16"/>
    <w:lvlOverride w:ilvl="0">
      <w:startOverride w:val="9"/>
    </w:lvlOverride>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30"/>
  </w:num>
  <w:num w:numId="47">
    <w:abstractNumId w:val="27"/>
  </w:num>
  <w:num w:numId="48">
    <w:abstractNumId w:val="36"/>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4E"/>
    <w:rsid w:val="0015062D"/>
    <w:rsid w:val="00164E57"/>
    <w:rsid w:val="00217EBF"/>
    <w:rsid w:val="00242AEE"/>
    <w:rsid w:val="00270BBC"/>
    <w:rsid w:val="002B12F7"/>
    <w:rsid w:val="002D16AF"/>
    <w:rsid w:val="002D76C4"/>
    <w:rsid w:val="00310FAC"/>
    <w:rsid w:val="003331F5"/>
    <w:rsid w:val="003927B7"/>
    <w:rsid w:val="003D504E"/>
    <w:rsid w:val="0040270A"/>
    <w:rsid w:val="004620B6"/>
    <w:rsid w:val="00473271"/>
    <w:rsid w:val="00490350"/>
    <w:rsid w:val="0052529D"/>
    <w:rsid w:val="00534E20"/>
    <w:rsid w:val="005671D4"/>
    <w:rsid w:val="005F61EA"/>
    <w:rsid w:val="00607D68"/>
    <w:rsid w:val="00625BA5"/>
    <w:rsid w:val="006F383D"/>
    <w:rsid w:val="007041B9"/>
    <w:rsid w:val="00731D95"/>
    <w:rsid w:val="007468DA"/>
    <w:rsid w:val="0078540C"/>
    <w:rsid w:val="00824C36"/>
    <w:rsid w:val="008A7908"/>
    <w:rsid w:val="008B46B1"/>
    <w:rsid w:val="009E00A8"/>
    <w:rsid w:val="00A6617B"/>
    <w:rsid w:val="00AA2CBE"/>
    <w:rsid w:val="00AB0DC8"/>
    <w:rsid w:val="00AE07CA"/>
    <w:rsid w:val="00B24B6C"/>
    <w:rsid w:val="00B44E24"/>
    <w:rsid w:val="00BB1D4E"/>
    <w:rsid w:val="00C546FC"/>
    <w:rsid w:val="00C60A15"/>
    <w:rsid w:val="00CE001C"/>
    <w:rsid w:val="00D810EB"/>
    <w:rsid w:val="00DF4176"/>
    <w:rsid w:val="00E56324"/>
    <w:rsid w:val="00E619BD"/>
    <w:rsid w:val="00EA647E"/>
    <w:rsid w:val="00EE482D"/>
    <w:rsid w:val="00F13636"/>
    <w:rsid w:val="00F24420"/>
    <w:rsid w:val="00F74D2E"/>
    <w:rsid w:val="00FA03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2781852D-6829-4389-8BD5-2136B333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C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2,(NECG) Footnote Reference,Style 124,o,fr,Style 13,FR,Style 17,Appel note de bas de p + 11 pt,Italic,Appel note de bas de p1,Appel note de bas de p2,Ref"/>
    <w:basedOn w:val="DefaultParagraphFont"/>
    <w:uiPriority w:val="99"/>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
    <w:basedOn w:val="Normal"/>
    <w:link w:val="FootnoteTextChar"/>
    <w:uiPriority w:val="99"/>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1D4E"/>
    <w:rPr>
      <w:color w:val="0000FF"/>
      <w:u w:val="single"/>
    </w:rPr>
  </w:style>
  <w:style w:type="character" w:customStyle="1" w:styleId="Heading1Char">
    <w:name w:val="Heading 1 Char"/>
    <w:basedOn w:val="DefaultParagraphFont"/>
    <w:link w:val="Heading1"/>
    <w:rsid w:val="00BB1D4E"/>
    <w:rPr>
      <w:b/>
      <w:sz w:val="24"/>
      <w:lang w:val="fr-FR" w:eastAsia="en-US"/>
    </w:rPr>
  </w:style>
  <w:style w:type="character" w:customStyle="1" w:styleId="Heading2Char">
    <w:name w:val="Heading 2 Char"/>
    <w:basedOn w:val="DefaultParagraphFont"/>
    <w:link w:val="Heading2"/>
    <w:rsid w:val="00BB1D4E"/>
    <w:rPr>
      <w:b/>
      <w:sz w:val="24"/>
      <w:lang w:val="fr-FR" w:eastAsia="en-US"/>
    </w:rPr>
  </w:style>
  <w:style w:type="character" w:customStyle="1" w:styleId="Heading3Char">
    <w:name w:val="Heading 3 Char"/>
    <w:basedOn w:val="DefaultParagraphFont"/>
    <w:link w:val="Heading3"/>
    <w:rsid w:val="00BB1D4E"/>
    <w:rPr>
      <w:b/>
      <w:sz w:val="24"/>
      <w:lang w:val="fr-FR" w:eastAsia="en-US"/>
    </w:rPr>
  </w:style>
  <w:style w:type="character" w:customStyle="1" w:styleId="Heading4Char">
    <w:name w:val="Heading 4 Char"/>
    <w:basedOn w:val="DefaultParagraphFont"/>
    <w:link w:val="Heading4"/>
    <w:rsid w:val="00BB1D4E"/>
    <w:rPr>
      <w:b/>
      <w:sz w:val="24"/>
      <w:lang w:val="fr-FR" w:eastAsia="en-US"/>
    </w:rPr>
  </w:style>
  <w:style w:type="character" w:customStyle="1" w:styleId="Heading5Char">
    <w:name w:val="Heading 5 Char"/>
    <w:basedOn w:val="DefaultParagraphFont"/>
    <w:link w:val="Heading5"/>
    <w:rsid w:val="00BB1D4E"/>
    <w:rPr>
      <w:b/>
      <w:sz w:val="24"/>
      <w:lang w:val="fr-FR" w:eastAsia="en-US"/>
    </w:rPr>
  </w:style>
  <w:style w:type="character" w:customStyle="1" w:styleId="Heading6Char">
    <w:name w:val="Heading 6 Char"/>
    <w:basedOn w:val="DefaultParagraphFont"/>
    <w:link w:val="Heading6"/>
    <w:rsid w:val="00BB1D4E"/>
    <w:rPr>
      <w:b/>
      <w:sz w:val="24"/>
      <w:lang w:val="fr-FR" w:eastAsia="en-US"/>
    </w:rPr>
  </w:style>
  <w:style w:type="character" w:customStyle="1" w:styleId="Heading7Char">
    <w:name w:val="Heading 7 Char"/>
    <w:basedOn w:val="DefaultParagraphFont"/>
    <w:link w:val="Heading7"/>
    <w:rsid w:val="00BB1D4E"/>
    <w:rPr>
      <w:b/>
      <w:sz w:val="24"/>
      <w:lang w:val="fr-FR" w:eastAsia="en-US"/>
    </w:rPr>
  </w:style>
  <w:style w:type="character" w:customStyle="1" w:styleId="Heading8Char">
    <w:name w:val="Heading 8 Char"/>
    <w:basedOn w:val="DefaultParagraphFont"/>
    <w:link w:val="Heading8"/>
    <w:rsid w:val="00BB1D4E"/>
    <w:rPr>
      <w:b/>
      <w:sz w:val="24"/>
      <w:lang w:val="fr-FR" w:eastAsia="en-US"/>
    </w:rPr>
  </w:style>
  <w:style w:type="character" w:customStyle="1" w:styleId="Heading9Char">
    <w:name w:val="Heading 9 Char"/>
    <w:basedOn w:val="DefaultParagraphFont"/>
    <w:link w:val="Heading9"/>
    <w:rsid w:val="00BB1D4E"/>
    <w:rPr>
      <w:b/>
      <w:sz w:val="24"/>
      <w:lang w:val="fr-FR" w:eastAsia="en-US"/>
    </w:rPr>
  </w:style>
  <w:style w:type="character" w:customStyle="1" w:styleId="NormalaftertitleChar">
    <w:name w:val="Normal_after_title Char"/>
    <w:basedOn w:val="DefaultParagraphFont"/>
    <w:link w:val="Normalaftertitle"/>
    <w:locked/>
    <w:rsid w:val="00BB1D4E"/>
    <w:rPr>
      <w:sz w:val="24"/>
      <w:lang w:val="fr-FR" w:eastAsia="en-US"/>
    </w:rPr>
  </w:style>
  <w:style w:type="paragraph" w:customStyle="1" w:styleId="Artheading">
    <w:name w:val="Art_heading"/>
    <w:basedOn w:val="Normal"/>
    <w:next w:val="Normal"/>
    <w:rsid w:val="00BB1D4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basedOn w:val="DefaultParagraphFont"/>
    <w:link w:val="Call"/>
    <w:uiPriority w:val="99"/>
    <w:locked/>
    <w:rsid w:val="00BB1D4E"/>
    <w:rPr>
      <w:i/>
      <w:sz w:val="24"/>
      <w:lang w:val="fr-FR" w:eastAsia="en-US"/>
    </w:rPr>
  </w:style>
  <w:style w:type="character" w:styleId="EndnoteReference">
    <w:name w:val="endnote reference"/>
    <w:basedOn w:val="DefaultParagraphFont"/>
    <w:rsid w:val="00BB1D4E"/>
    <w:rPr>
      <w:vertAlign w:val="superscript"/>
    </w:rPr>
  </w:style>
  <w:style w:type="character" w:customStyle="1" w:styleId="enumlev1Char">
    <w:name w:val="enumlev1 Char"/>
    <w:basedOn w:val="DefaultParagraphFont"/>
    <w:link w:val="enumlev1"/>
    <w:locked/>
    <w:rsid w:val="00BB1D4E"/>
    <w:rPr>
      <w:sz w:val="24"/>
      <w:lang w:val="fr-FR" w:eastAsia="en-US"/>
    </w:rPr>
  </w:style>
  <w:style w:type="character" w:customStyle="1" w:styleId="TabletextChar">
    <w:name w:val="Table_text Char"/>
    <w:link w:val="Tabletext"/>
    <w:locked/>
    <w:rsid w:val="00BB1D4E"/>
    <w:rPr>
      <w:sz w:val="22"/>
      <w:lang w:val="fr-FR" w:eastAsia="en-US"/>
    </w:rPr>
  </w:style>
  <w:style w:type="paragraph" w:customStyle="1" w:styleId="Figurewithouttitle">
    <w:name w:val="Figure_without_title"/>
    <w:basedOn w:val="FigureNo"/>
    <w:next w:val="Normal"/>
    <w:rsid w:val="00BB1D4E"/>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igureNoChar">
    <w:name w:val="Figure_No Char"/>
    <w:link w:val="FigureNo"/>
    <w:locked/>
    <w:rsid w:val="00BB1D4E"/>
    <w:rPr>
      <w:caps/>
      <w:sz w:val="18"/>
      <w:lang w:val="fr-FR" w:eastAsia="en-US"/>
    </w:rPr>
  </w:style>
  <w:style w:type="character" w:customStyle="1" w:styleId="FooterChar">
    <w:name w:val="Footer Char"/>
    <w:basedOn w:val="DefaultParagraphFont"/>
    <w:link w:val="Footer"/>
    <w:rsid w:val="00BB1D4E"/>
    <w:rPr>
      <w:noProof/>
      <w:sz w:val="18"/>
      <w:lang w:val="fr-FR" w:eastAsia="en-US"/>
    </w:rPr>
  </w:style>
  <w:style w:type="paragraph" w:customStyle="1" w:styleId="FirstFooter">
    <w:name w:val="FirstFooter"/>
    <w:basedOn w:val="Footer"/>
    <w:rsid w:val="00BB1D4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 Char"/>
    <w:basedOn w:val="DefaultParagraphFont"/>
    <w:link w:val="FootnoteText"/>
    <w:uiPriority w:val="99"/>
    <w:qFormat/>
    <w:rsid w:val="00BB1D4E"/>
    <w:rPr>
      <w:sz w:val="22"/>
      <w:lang w:val="fr-FR" w:eastAsia="en-US"/>
    </w:rPr>
  </w:style>
  <w:style w:type="character" w:customStyle="1" w:styleId="HeaderChar">
    <w:name w:val="Header Char"/>
    <w:basedOn w:val="DefaultParagraphFont"/>
    <w:link w:val="Header"/>
    <w:uiPriority w:val="99"/>
    <w:rsid w:val="00BB1D4E"/>
    <w:rPr>
      <w:sz w:val="24"/>
      <w:lang w:val="fr-FR" w:eastAsia="en-US"/>
    </w:rPr>
  </w:style>
  <w:style w:type="paragraph" w:customStyle="1" w:styleId="AnnexNo">
    <w:name w:val="Annex_No"/>
    <w:basedOn w:val="Normal"/>
    <w:next w:val="Normal"/>
    <w:rsid w:val="00BB1D4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24C36"/>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hAnsi="Times New Roman Bold"/>
      <w:b/>
      <w:sz w:val="28"/>
      <w:lang w:val="en-GB"/>
    </w:rPr>
  </w:style>
  <w:style w:type="paragraph" w:customStyle="1" w:styleId="Normalaftertitle0">
    <w:name w:val="Normal after title"/>
    <w:basedOn w:val="Normal"/>
    <w:next w:val="Normal"/>
    <w:link w:val="NormalaftertitleChar0"/>
    <w:rsid w:val="00BB1D4E"/>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locked/>
    <w:rsid w:val="00BB1D4E"/>
    <w:rPr>
      <w:sz w:val="24"/>
      <w:lang w:val="en-GB" w:eastAsia="en-US"/>
    </w:rPr>
  </w:style>
  <w:style w:type="character" w:customStyle="1" w:styleId="RecNoChar">
    <w:name w:val="Rec_No Char"/>
    <w:basedOn w:val="DefaultParagraphFont"/>
    <w:link w:val="RecNo"/>
    <w:rsid w:val="00BB1D4E"/>
    <w:rPr>
      <w:sz w:val="28"/>
      <w:lang w:val="fr-FR" w:eastAsia="en-US"/>
    </w:rPr>
  </w:style>
  <w:style w:type="paragraph" w:customStyle="1" w:styleId="Source">
    <w:name w:val="Source"/>
    <w:basedOn w:val="Normal"/>
    <w:next w:val="Normal"/>
    <w:link w:val="SourceChar"/>
    <w:qFormat/>
    <w:rsid w:val="00BB1D4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BB1D4E"/>
    <w:rPr>
      <w:b/>
      <w:sz w:val="28"/>
      <w:lang w:val="en-GB" w:eastAsia="en-US"/>
    </w:rPr>
  </w:style>
  <w:style w:type="paragraph" w:customStyle="1" w:styleId="SpecialFooter">
    <w:name w:val="Special Footer"/>
    <w:basedOn w:val="Footer"/>
    <w:rsid w:val="00BB1D4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headChar">
    <w:name w:val="Table_head Char"/>
    <w:link w:val="Tablehead"/>
    <w:locked/>
    <w:rsid w:val="00BB1D4E"/>
    <w:rPr>
      <w:b/>
      <w:sz w:val="22"/>
      <w:lang w:val="fr-FR" w:eastAsia="en-US"/>
    </w:rPr>
  </w:style>
  <w:style w:type="character" w:customStyle="1" w:styleId="TablelegendChar">
    <w:name w:val="Table_legend Char"/>
    <w:link w:val="Tablelegend"/>
    <w:locked/>
    <w:rsid w:val="00BB1D4E"/>
    <w:rPr>
      <w:sz w:val="22"/>
      <w:lang w:val="fr-FR" w:eastAsia="en-US"/>
    </w:rPr>
  </w:style>
  <w:style w:type="character" w:customStyle="1" w:styleId="TableNoChar">
    <w:name w:val="Table_No Char"/>
    <w:link w:val="TableNo"/>
    <w:locked/>
    <w:rsid w:val="00BB1D4E"/>
    <w:rPr>
      <w:sz w:val="24"/>
      <w:lang w:val="fr-FR" w:eastAsia="en-US"/>
    </w:rPr>
  </w:style>
  <w:style w:type="character" w:customStyle="1" w:styleId="TabletitleChar">
    <w:name w:val="Table_title Char"/>
    <w:link w:val="Tabletitle"/>
    <w:locked/>
    <w:rsid w:val="00BB1D4E"/>
    <w:rPr>
      <w:b/>
      <w:sz w:val="24"/>
      <w:lang w:val="fr-FR" w:eastAsia="en-US"/>
    </w:rPr>
  </w:style>
  <w:style w:type="paragraph" w:customStyle="1" w:styleId="Tableref">
    <w:name w:val="Table_ref"/>
    <w:basedOn w:val="Normal"/>
    <w:next w:val="Normal"/>
    <w:rsid w:val="00BB1D4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BB1D4E"/>
    <w:pPr>
      <w:tabs>
        <w:tab w:val="left" w:pos="567"/>
        <w:tab w:val="left" w:pos="1701"/>
        <w:tab w:val="left" w:pos="2835"/>
      </w:tabs>
      <w:spacing w:before="240"/>
    </w:pPr>
    <w:rPr>
      <w:b w:val="0"/>
      <w:caps/>
    </w:rPr>
  </w:style>
  <w:style w:type="character" w:customStyle="1" w:styleId="Title1Char">
    <w:name w:val="Title 1 Char"/>
    <w:basedOn w:val="DefaultParagraphFont"/>
    <w:link w:val="Title1"/>
    <w:qFormat/>
    <w:locked/>
    <w:rsid w:val="00BB1D4E"/>
    <w:rPr>
      <w:caps/>
      <w:sz w:val="28"/>
      <w:lang w:val="en-GB" w:eastAsia="en-US"/>
    </w:rPr>
  </w:style>
  <w:style w:type="paragraph" w:customStyle="1" w:styleId="Title2">
    <w:name w:val="Title 2"/>
    <w:basedOn w:val="Source"/>
    <w:next w:val="Normal"/>
    <w:rsid w:val="00BB1D4E"/>
    <w:pPr>
      <w:overflowPunct/>
      <w:autoSpaceDE/>
      <w:autoSpaceDN/>
      <w:adjustRightInd/>
      <w:spacing w:before="480"/>
      <w:textAlignment w:val="auto"/>
    </w:pPr>
    <w:rPr>
      <w:b w:val="0"/>
      <w:caps/>
    </w:rPr>
  </w:style>
  <w:style w:type="paragraph" w:customStyle="1" w:styleId="Title3">
    <w:name w:val="Title 3"/>
    <w:basedOn w:val="Title2"/>
    <w:next w:val="Normal"/>
    <w:rsid w:val="00BB1D4E"/>
    <w:pPr>
      <w:spacing w:before="240"/>
    </w:pPr>
    <w:rPr>
      <w:caps w:val="0"/>
    </w:rPr>
  </w:style>
  <w:style w:type="paragraph" w:customStyle="1" w:styleId="Title4">
    <w:name w:val="Title 4"/>
    <w:basedOn w:val="Title3"/>
    <w:next w:val="Heading1"/>
    <w:rsid w:val="00BB1D4E"/>
    <w:rPr>
      <w:b/>
    </w:rPr>
  </w:style>
  <w:style w:type="character" w:customStyle="1" w:styleId="Appdef">
    <w:name w:val="App_def"/>
    <w:basedOn w:val="DefaultParagraphFont"/>
    <w:rsid w:val="00BB1D4E"/>
    <w:rPr>
      <w:rFonts w:ascii="Times New Roman" w:hAnsi="Times New Roman"/>
      <w:b/>
    </w:rPr>
  </w:style>
  <w:style w:type="character" w:customStyle="1" w:styleId="Appref">
    <w:name w:val="App_ref"/>
    <w:basedOn w:val="DefaultParagraphFont"/>
    <w:rsid w:val="00BB1D4E"/>
  </w:style>
  <w:style w:type="character" w:customStyle="1" w:styleId="Artdef">
    <w:name w:val="Art_def"/>
    <w:basedOn w:val="DefaultParagraphFont"/>
    <w:rsid w:val="00BB1D4E"/>
    <w:rPr>
      <w:rFonts w:ascii="Times New Roman" w:hAnsi="Times New Roman"/>
      <w:b/>
    </w:rPr>
  </w:style>
  <w:style w:type="character" w:customStyle="1" w:styleId="Artref">
    <w:name w:val="Art_ref"/>
    <w:basedOn w:val="DefaultParagraphFont"/>
    <w:rsid w:val="00BB1D4E"/>
  </w:style>
  <w:style w:type="character" w:customStyle="1" w:styleId="Recdef">
    <w:name w:val="Rec_def"/>
    <w:basedOn w:val="DefaultParagraphFont"/>
    <w:rsid w:val="00BB1D4E"/>
    <w:rPr>
      <w:b/>
    </w:rPr>
  </w:style>
  <w:style w:type="character" w:customStyle="1" w:styleId="Resdef">
    <w:name w:val="Res_def"/>
    <w:basedOn w:val="DefaultParagraphFont"/>
    <w:rsid w:val="00BB1D4E"/>
    <w:rPr>
      <w:rFonts w:ascii="Times New Roman" w:hAnsi="Times New Roman"/>
      <w:b/>
    </w:rPr>
  </w:style>
  <w:style w:type="character" w:customStyle="1" w:styleId="Tablefreq">
    <w:name w:val="Table_freq"/>
    <w:basedOn w:val="DefaultParagraphFont"/>
    <w:rsid w:val="00BB1D4E"/>
    <w:rPr>
      <w:b/>
      <w:color w:val="auto"/>
      <w:sz w:val="20"/>
    </w:rPr>
  </w:style>
  <w:style w:type="paragraph" w:customStyle="1" w:styleId="Formal">
    <w:name w:val="Formal"/>
    <w:basedOn w:val="ASN1"/>
    <w:rsid w:val="00BB1D4E"/>
    <w:pPr>
      <w:tabs>
        <w:tab w:val="left" w:pos="1871"/>
      </w:tabs>
      <w:jc w:val="left"/>
    </w:pPr>
    <w:rPr>
      <w:rFonts w:ascii="Times New Roman Bold" w:hAnsi="Times New Roman Bold"/>
      <w:b w:val="0"/>
      <w:lang w:val="en-GB"/>
    </w:rPr>
  </w:style>
  <w:style w:type="paragraph" w:customStyle="1" w:styleId="Section1">
    <w:name w:val="Section_1"/>
    <w:basedOn w:val="Normal"/>
    <w:rsid w:val="00BB1D4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B1D4E"/>
    <w:rPr>
      <w:b w:val="0"/>
      <w:i/>
    </w:rPr>
  </w:style>
  <w:style w:type="character" w:customStyle="1" w:styleId="FiguretitleChar">
    <w:name w:val="Figure_title Char"/>
    <w:link w:val="Figuretitle"/>
    <w:locked/>
    <w:rsid w:val="00BB1D4E"/>
    <w:rPr>
      <w:rFonts w:ascii="Times New Roman Bold" w:hAnsi="Times New Roman Bold"/>
      <w:b/>
      <w:sz w:val="18"/>
      <w:lang w:val="fr-FR" w:eastAsia="en-US"/>
    </w:rPr>
  </w:style>
  <w:style w:type="paragraph" w:customStyle="1" w:styleId="AppendixNo">
    <w:name w:val="Appendix_No"/>
    <w:basedOn w:val="AnnexNo"/>
    <w:next w:val="Annexref"/>
    <w:rsid w:val="00BB1D4E"/>
  </w:style>
  <w:style w:type="paragraph" w:customStyle="1" w:styleId="Appendixtitle">
    <w:name w:val="Appendix_title"/>
    <w:basedOn w:val="Annextitle"/>
    <w:next w:val="Normal"/>
    <w:rsid w:val="00BB1D4E"/>
  </w:style>
  <w:style w:type="paragraph" w:customStyle="1" w:styleId="Border">
    <w:name w:val="Border"/>
    <w:basedOn w:val="Normal"/>
    <w:rsid w:val="00BB1D4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B1D4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B1D4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B1D4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B1D4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B1D4E"/>
  </w:style>
  <w:style w:type="paragraph" w:customStyle="1" w:styleId="Proposal">
    <w:name w:val="Proposal"/>
    <w:basedOn w:val="Normal"/>
    <w:next w:val="Normal"/>
    <w:rsid w:val="00BB1D4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B1D4E"/>
    <w:pPr>
      <w:tabs>
        <w:tab w:val="clear" w:pos="794"/>
        <w:tab w:val="clear" w:pos="1191"/>
        <w:tab w:val="left" w:pos="1134"/>
      </w:tabs>
      <w:jc w:val="left"/>
    </w:pPr>
    <w:rPr>
      <w:lang w:val="en-GB"/>
    </w:rPr>
  </w:style>
  <w:style w:type="paragraph" w:customStyle="1" w:styleId="Section3">
    <w:name w:val="Section_3"/>
    <w:basedOn w:val="Section1"/>
    <w:rsid w:val="00BB1D4E"/>
    <w:rPr>
      <w:b w:val="0"/>
    </w:rPr>
  </w:style>
  <w:style w:type="paragraph" w:customStyle="1" w:styleId="TableTextS5">
    <w:name w:val="Table_TextS5"/>
    <w:basedOn w:val="Normal"/>
    <w:rsid w:val="00BB1D4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B1D4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B1D4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B1D4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B1D4E"/>
  </w:style>
  <w:style w:type="paragraph" w:customStyle="1" w:styleId="Committee">
    <w:name w:val="Committee"/>
    <w:basedOn w:val="Normal"/>
    <w:qFormat/>
    <w:rsid w:val="00BB1D4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B1D4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B1D4E"/>
  </w:style>
  <w:style w:type="paragraph" w:customStyle="1" w:styleId="Subsection1">
    <w:name w:val="Subsection_1"/>
    <w:basedOn w:val="Section1"/>
    <w:next w:val="Normalaftertitle0"/>
    <w:qFormat/>
    <w:rsid w:val="00BB1D4E"/>
  </w:style>
  <w:style w:type="paragraph" w:customStyle="1" w:styleId="Volumetitle">
    <w:name w:val="Volume_title"/>
    <w:basedOn w:val="Normal"/>
    <w:qFormat/>
    <w:rsid w:val="00BB1D4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B1D4E"/>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B1D4E"/>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B1D4E"/>
    <w:rPr>
      <w:rFonts w:ascii="Times New Roman" w:hAnsi="Times New Roman"/>
      <w:b w:val="0"/>
    </w:rPr>
  </w:style>
  <w:style w:type="paragraph" w:customStyle="1" w:styleId="Tablesplit">
    <w:name w:val="Table_split"/>
    <w:basedOn w:val="Tabletext"/>
    <w:qFormat/>
    <w:rsid w:val="00BB1D4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B1D4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B1D4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B1D4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B1D4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B1D4E"/>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uiPriority w:val="34"/>
    <w:qFormat/>
    <w:rsid w:val="00BB1D4E"/>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BB1D4E"/>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BB1D4E"/>
    <w:rPr>
      <w:rFonts w:asciiTheme="majorHAnsi" w:eastAsiaTheme="majorEastAsia" w:hAnsiTheme="majorHAnsi" w:cstheme="majorBidi"/>
      <w:sz w:val="18"/>
      <w:szCs w:val="18"/>
      <w:lang w:val="en-GB" w:eastAsia="en-US"/>
    </w:rPr>
  </w:style>
  <w:style w:type="table" w:styleId="TableGrid">
    <w:name w:val="Table Grid"/>
    <w:basedOn w:val="TableNormal"/>
    <w:uiPriority w:val="39"/>
    <w:rsid w:val="00BB1D4E"/>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1D4E"/>
    <w:pPr>
      <w:tabs>
        <w:tab w:val="left" w:pos="1134"/>
        <w:tab w:val="left" w:pos="1871"/>
        <w:tab w:val="left" w:pos="2268"/>
      </w:tabs>
      <w:overflowPunct w:val="0"/>
      <w:autoSpaceDE w:val="0"/>
      <w:autoSpaceDN w:val="0"/>
      <w:adjustRightInd w:val="0"/>
      <w:textAlignment w:val="baseline"/>
    </w:pPr>
    <w:rPr>
      <w:rFonts w:eastAsiaTheme="minorEastAsia"/>
      <w:sz w:val="24"/>
      <w:lang w:val="en-GB" w:eastAsia="en-US"/>
    </w:rPr>
  </w:style>
  <w:style w:type="paragraph" w:styleId="TOCHeading">
    <w:name w:val="TOC Heading"/>
    <w:basedOn w:val="Heading1"/>
    <w:next w:val="Normal"/>
    <w:uiPriority w:val="39"/>
    <w:unhideWhenUsed/>
    <w:qFormat/>
    <w:rsid w:val="00BB1D4E"/>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CommentTextChar">
    <w:name w:val="Comment Text Char"/>
    <w:basedOn w:val="DefaultParagraphFont"/>
    <w:link w:val="CommentText"/>
    <w:semiHidden/>
    <w:rsid w:val="00BB1D4E"/>
    <w:rPr>
      <w:rFonts w:eastAsia="MS Mincho"/>
      <w:lang w:val="en-GB" w:eastAsia="en-US"/>
    </w:rPr>
  </w:style>
  <w:style w:type="paragraph" w:styleId="CommentText">
    <w:name w:val="annotation text"/>
    <w:basedOn w:val="Normal"/>
    <w:link w:val="CommentTextChar"/>
    <w:semiHidden/>
    <w:unhideWhenUsed/>
    <w:rsid w:val="00BB1D4E"/>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1">
    <w:name w:val="Comment Text Char1"/>
    <w:basedOn w:val="DefaultParagraphFont"/>
    <w:semiHidden/>
    <w:rsid w:val="00BB1D4E"/>
    <w:rPr>
      <w:lang w:val="fr-FR" w:eastAsia="en-US"/>
    </w:rPr>
  </w:style>
  <w:style w:type="character" w:customStyle="1" w:styleId="CommentSubjectChar">
    <w:name w:val="Comment Subject Char"/>
    <w:basedOn w:val="CommentTextChar"/>
    <w:link w:val="CommentSubject"/>
    <w:semiHidden/>
    <w:rsid w:val="00BB1D4E"/>
    <w:rPr>
      <w:rFonts w:eastAsia="MS Mincho"/>
      <w:b/>
      <w:bCs/>
      <w:lang w:val="en-GB" w:eastAsia="en-US"/>
    </w:rPr>
  </w:style>
  <w:style w:type="paragraph" w:styleId="CommentSubject">
    <w:name w:val="annotation subject"/>
    <w:basedOn w:val="CommentText"/>
    <w:next w:val="CommentText"/>
    <w:link w:val="CommentSubjectChar"/>
    <w:semiHidden/>
    <w:unhideWhenUsed/>
    <w:rsid w:val="00BB1D4E"/>
    <w:rPr>
      <w:b/>
      <w:bCs/>
    </w:rPr>
  </w:style>
  <w:style w:type="character" w:customStyle="1" w:styleId="CommentSubjectChar1">
    <w:name w:val="Comment Subject Char1"/>
    <w:basedOn w:val="CommentTextChar1"/>
    <w:semiHidden/>
    <w:rsid w:val="00BB1D4E"/>
    <w:rPr>
      <w:b/>
      <w:bCs/>
      <w:lang w:val="fr-FR" w:eastAsia="en-US"/>
    </w:rPr>
  </w:style>
  <w:style w:type="paragraph" w:styleId="BodyTextIndent">
    <w:name w:val="Body Text Indent"/>
    <w:basedOn w:val="Normal"/>
    <w:link w:val="BodyTextIndentChar"/>
    <w:rsid w:val="00BB1D4E"/>
    <w:pPr>
      <w:spacing w:after="120"/>
      <w:ind w:left="360"/>
      <w:jc w:val="left"/>
    </w:pPr>
    <w:rPr>
      <w:rFonts w:ascii="CG Times" w:hAnsi="CG Times"/>
      <w:lang w:val="en-GB"/>
    </w:rPr>
  </w:style>
  <w:style w:type="character" w:customStyle="1" w:styleId="BodyTextIndentChar">
    <w:name w:val="Body Text Indent Char"/>
    <w:basedOn w:val="DefaultParagraphFont"/>
    <w:link w:val="BodyTextIndent"/>
    <w:rsid w:val="00BB1D4E"/>
    <w:rPr>
      <w:rFonts w:ascii="CG Times" w:hAnsi="CG Times"/>
      <w:sz w:val="24"/>
      <w:lang w:val="en-GB" w:eastAsia="en-US"/>
    </w:rPr>
  </w:style>
  <w:style w:type="character" w:customStyle="1" w:styleId="DocumentMapChar">
    <w:name w:val="Document Map Char"/>
    <w:basedOn w:val="DefaultParagraphFont"/>
    <w:link w:val="DocumentMap"/>
    <w:semiHidden/>
    <w:rsid w:val="00BB1D4E"/>
    <w:rPr>
      <w:rFonts w:ascii="Lucida Grande" w:hAnsi="Lucida Grande" w:cs="Lucida Grande"/>
      <w:sz w:val="24"/>
      <w:szCs w:val="24"/>
      <w:lang w:val="en-GB" w:eastAsia="en-US"/>
    </w:rPr>
  </w:style>
  <w:style w:type="paragraph" w:styleId="DocumentMap">
    <w:name w:val="Document Map"/>
    <w:basedOn w:val="Normal"/>
    <w:link w:val="DocumentMapChar"/>
    <w:semiHidden/>
    <w:unhideWhenUsed/>
    <w:rsid w:val="00BB1D4E"/>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Cs w:val="24"/>
      <w:lang w:val="en-GB"/>
    </w:rPr>
  </w:style>
  <w:style w:type="character" w:customStyle="1" w:styleId="DocumentMapChar1">
    <w:name w:val="Document Map Char1"/>
    <w:basedOn w:val="DefaultParagraphFont"/>
    <w:semiHidden/>
    <w:rsid w:val="00BB1D4E"/>
    <w:rPr>
      <w:rFonts w:ascii="Segoe UI" w:hAnsi="Segoe UI" w:cs="Segoe UI"/>
      <w:sz w:val="16"/>
      <w:szCs w:val="16"/>
      <w:lang w:val="fr-FR" w:eastAsia="en-US"/>
    </w:rPr>
  </w:style>
  <w:style w:type="paragraph" w:styleId="Caption">
    <w:name w:val="caption"/>
    <w:basedOn w:val="Normal"/>
    <w:next w:val="Normal"/>
    <w:unhideWhenUsed/>
    <w:qFormat/>
    <w:rsid w:val="00BB1D4E"/>
    <w:pPr>
      <w:spacing w:before="0" w:after="200"/>
    </w:pPr>
    <w:rPr>
      <w:i/>
      <w:iCs/>
      <w:color w:val="1F497D" w:themeColor="text2"/>
      <w:sz w:val="18"/>
      <w:szCs w:val="18"/>
    </w:rPr>
  </w:style>
  <w:style w:type="character" w:customStyle="1" w:styleId="EndnoteTextChar">
    <w:name w:val="Endnote Text Char"/>
    <w:basedOn w:val="DefaultParagraphFont"/>
    <w:link w:val="EndnoteText"/>
    <w:semiHidden/>
    <w:rsid w:val="00BB1D4E"/>
    <w:rPr>
      <w:lang w:val="en-GB" w:eastAsia="en-US"/>
    </w:rPr>
  </w:style>
  <w:style w:type="paragraph" w:styleId="EndnoteText">
    <w:name w:val="endnote text"/>
    <w:basedOn w:val="Normal"/>
    <w:link w:val="EndnoteTextChar"/>
    <w:semiHidden/>
    <w:unhideWhenUsed/>
    <w:rsid w:val="00BB1D4E"/>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1">
    <w:name w:val="Endnote Text Char1"/>
    <w:basedOn w:val="DefaultParagraphFont"/>
    <w:semiHidden/>
    <w:rsid w:val="00BB1D4E"/>
    <w:rPr>
      <w:lang w:val="fr-FR" w:eastAsia="en-US"/>
    </w:rPr>
  </w:style>
  <w:style w:type="paragraph" w:customStyle="1" w:styleId="Tableno0">
    <w:name w:val="Table_no"/>
    <w:basedOn w:val="Normal"/>
    <w:rsid w:val="00BB1D4E"/>
    <w:pPr>
      <w:tabs>
        <w:tab w:val="clear" w:pos="794"/>
        <w:tab w:val="clear" w:pos="1191"/>
        <w:tab w:val="clear" w:pos="1588"/>
        <w:tab w:val="clear" w:pos="1985"/>
        <w:tab w:val="left" w:pos="1134"/>
        <w:tab w:val="left" w:pos="1871"/>
        <w:tab w:val="left" w:pos="2268"/>
      </w:tabs>
      <w:jc w:val="left"/>
    </w:pPr>
    <w:rPr>
      <w:lang w:val="en-US"/>
    </w:rPr>
  </w:style>
  <w:style w:type="paragraph" w:customStyle="1" w:styleId="EditorsNote">
    <w:name w:val="EditorsNote"/>
    <w:basedOn w:val="Normal"/>
    <w:rsid w:val="00BB1D4E"/>
    <w:pPr>
      <w:tabs>
        <w:tab w:val="clear" w:pos="794"/>
        <w:tab w:val="clear" w:pos="1191"/>
        <w:tab w:val="clear" w:pos="1588"/>
        <w:tab w:val="clear" w:pos="1985"/>
        <w:tab w:val="left" w:pos="1134"/>
        <w:tab w:val="left" w:pos="1871"/>
        <w:tab w:val="left" w:pos="2268"/>
      </w:tabs>
      <w:spacing w:before="240" w:after="240"/>
      <w:jc w:val="left"/>
    </w:pPr>
    <w:rPr>
      <w:i/>
      <w:lang w:val="en-US"/>
    </w:rPr>
  </w:style>
  <w:style w:type="character" w:customStyle="1" w:styleId="UnresolvedMention">
    <w:name w:val="Unresolved Mention"/>
    <w:basedOn w:val="DefaultParagraphFont"/>
    <w:uiPriority w:val="99"/>
    <w:semiHidden/>
    <w:unhideWhenUsed/>
    <w:rsid w:val="00BB1D4E"/>
    <w:rPr>
      <w:color w:val="605E5C"/>
      <w:shd w:val="clear" w:color="auto" w:fill="E1DFDD"/>
    </w:rPr>
  </w:style>
  <w:style w:type="character" w:styleId="CommentReference">
    <w:name w:val="annotation reference"/>
    <w:basedOn w:val="DefaultParagraphFont"/>
    <w:semiHidden/>
    <w:unhideWhenUsed/>
    <w:rsid w:val="00BB1D4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www.itu.int/rec/R-REC-F/recommendation.asp?lang=en&amp;parent=R-REC-F.1609" TargetMode="External"/><Relationship Id="rId26" Type="http://schemas.openxmlformats.org/officeDocument/2006/relationships/hyperlink" Target="http://www.itu.int/rec/R-REC-F/recommendation.asp?lang=en&amp;parent=R-REC-F.2011" TargetMode="External"/><Relationship Id="rId3" Type="http://schemas.openxmlformats.org/officeDocument/2006/relationships/settings" Target="settings.xml"/><Relationship Id="rId21" Type="http://schemas.openxmlformats.org/officeDocument/2006/relationships/hyperlink" Target="http://www.itu.int/rec/R-REC-p/recommendation.asp?lang=en&amp;parent=R-REC-P.1409" TargetMode="Externa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rec/R-REC-p/recommendation.asp?lang=en&amp;parent=R-REC-F.1607" TargetMode="External"/><Relationship Id="rId25" Type="http://schemas.openxmlformats.org/officeDocument/2006/relationships/hyperlink" Target="http://www.itu.int/rec/R-REC-SF/recommendation.asp?lang=en&amp;parent=R-REC-F.1891" TargetMode="External"/><Relationship Id="rId2" Type="http://schemas.openxmlformats.org/officeDocument/2006/relationships/styles" Target="styles.xml"/><Relationship Id="rId16" Type="http://schemas.openxmlformats.org/officeDocument/2006/relationships/hyperlink" Target="http://www.itu.int/rec/R-REC-F/recommendation.asp?lang=en&amp;parent=R-REC-F.1570" TargetMode="External"/><Relationship Id="rId20" Type="http://schemas.openxmlformats.org/officeDocument/2006/relationships/hyperlink" Target="http://www.itu.int/rec/R-REC-F/recommendation.asp?lang=en&amp;parent=R-REC-F.1764"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rec/R-REC-F/recommendation.asp?lang=en&amp;parent=R-REC-F.1764" TargetMode="External"/><Relationship Id="rId5" Type="http://schemas.openxmlformats.org/officeDocument/2006/relationships/footnotes" Target="footnotes.xml"/><Relationship Id="rId15" Type="http://schemas.openxmlformats.org/officeDocument/2006/relationships/hyperlink" Target="http://www.itu.int/rec/R-REC-F/recommendation.asp?lang=en&amp;parent=R-REC-F.1569" TargetMode="External"/><Relationship Id="rId23" Type="http://schemas.openxmlformats.org/officeDocument/2006/relationships/hyperlink" Target="http://www.itu.int/pub/R-REP-F/publications.aspx?lang=en&amp;parent=R-REP-F.2240"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itu.int/rec/R-REC-F/recommendation.asp?lang=en&amp;parent=R-REC-F.161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itu.int/rec/R-REC-F/recommendation.asp?lang=en&amp;parent=R-REC-SF.1601" TargetMode="External"/><Relationship Id="rId27" Type="http://schemas.openxmlformats.org/officeDocument/2006/relationships/hyperlink" Target="http://www.itu.int/rec/R-REC-F/recommendation.asp?lang=en&amp;parent=R-REC-P.1409"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codocdb.dk/document/3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141</TotalTime>
  <Pages>18</Pages>
  <Words>4832</Words>
  <Characters>27545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30</cp:revision>
  <cp:lastPrinted>2019-03-08T08:05:00Z</cp:lastPrinted>
  <dcterms:created xsi:type="dcterms:W3CDTF">2018-12-07T09:12:00Z</dcterms:created>
  <dcterms:modified xsi:type="dcterms:W3CDTF">2019-03-08T08:06:00Z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