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p w:rsidR="00E52477" w:rsidRPr="00FF34BE" w:rsidRDefault="00E52477">
      <w:pPr>
        <w:rPr>
          <w:lang w:val="en-US"/>
        </w:rPr>
      </w:pPr>
    </w:p>
    <w:tbl>
      <w:tblPr>
        <w:tblW w:w="10089" w:type="dxa"/>
        <w:tblLook w:val="01E0"/>
      </w:tblPr>
      <w:tblGrid>
        <w:gridCol w:w="10089"/>
      </w:tblGrid>
      <w:tr w:rsidR="00E52477" w:rsidRPr="00FF34BE" w:rsidTr="00EB7B75">
        <w:tc>
          <w:tcPr>
            <w:tcW w:w="10089" w:type="dxa"/>
          </w:tcPr>
          <w:p w:rsidR="00E52477" w:rsidRPr="00FF34BE" w:rsidRDefault="00E52477" w:rsidP="00EB7B75">
            <w:pPr>
              <w:spacing w:before="380" w:line="280" w:lineRule="exact"/>
              <w:jc w:val="right"/>
              <w:rPr>
                <w:rFonts w:ascii="Tahoma" w:hAnsi="Tahoma" w:cs="Tahoma"/>
                <w:b/>
                <w:bCs/>
                <w:iCs/>
                <w:color w:val="509141"/>
                <w:sz w:val="32"/>
                <w:szCs w:val="32"/>
                <w:lang w:val="en-US"/>
              </w:rPr>
            </w:pPr>
            <w:r w:rsidRPr="00FF34B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8677684" r:id="rId9"/>
              </w:object>
            </w:r>
          </w:p>
          <w:p w:rsidR="00E52477" w:rsidRPr="00FF34BE" w:rsidRDefault="00E52477" w:rsidP="00D24B27">
            <w:pPr>
              <w:spacing w:before="380" w:line="280" w:lineRule="exact"/>
              <w:jc w:val="right"/>
              <w:rPr>
                <w:rFonts w:ascii="Tahoma" w:hAnsi="Tahoma" w:cs="Tahoma"/>
                <w:b/>
                <w:bCs/>
                <w:iCs/>
                <w:color w:val="509141"/>
                <w:sz w:val="36"/>
                <w:szCs w:val="36"/>
                <w:lang w:val="en-US"/>
              </w:rPr>
            </w:pPr>
            <w:r w:rsidRPr="00FF34BE">
              <w:rPr>
                <w:rFonts w:ascii="Tahoma" w:hAnsi="Tahoma" w:cs="Tahoma"/>
                <w:b/>
                <w:bCs/>
                <w:iCs/>
                <w:color w:val="509141"/>
                <w:sz w:val="36"/>
                <w:szCs w:val="36"/>
                <w:lang w:val="en-US"/>
              </w:rPr>
              <w:t>Report  ITU-R  M.</w:t>
            </w:r>
            <w:r w:rsidR="00D24B27" w:rsidRPr="00FF34BE">
              <w:rPr>
                <w:rFonts w:ascii="Tahoma" w:hAnsi="Tahoma" w:cs="Tahoma"/>
                <w:b/>
                <w:bCs/>
                <w:iCs/>
                <w:color w:val="509141"/>
                <w:sz w:val="36"/>
                <w:szCs w:val="36"/>
                <w:lang w:val="en-US"/>
              </w:rPr>
              <w:t>2206</w:t>
            </w:r>
          </w:p>
          <w:p w:rsidR="00E52477" w:rsidRPr="00FF34BE" w:rsidRDefault="00E52477" w:rsidP="00D24B27">
            <w:pPr>
              <w:spacing w:before="80" w:line="280" w:lineRule="exact"/>
              <w:jc w:val="right"/>
              <w:rPr>
                <w:rFonts w:ascii="Tahoma" w:hAnsi="Tahoma" w:cs="Tahoma"/>
                <w:iCs/>
                <w:color w:val="509141"/>
                <w:szCs w:val="24"/>
                <w:lang w:val="en-US"/>
              </w:rPr>
            </w:pPr>
            <w:r w:rsidRPr="00FF34BE">
              <w:rPr>
                <w:rFonts w:ascii="Tahoma" w:hAnsi="Tahoma" w:cs="Tahoma"/>
                <w:b/>
                <w:bCs/>
                <w:iCs/>
                <w:color w:val="509141"/>
                <w:szCs w:val="24"/>
                <w:lang w:val="en-US"/>
              </w:rPr>
              <w:t>(</w:t>
            </w:r>
            <w:r w:rsidR="00D24B27" w:rsidRPr="00FF34BE">
              <w:rPr>
                <w:rFonts w:ascii="Tahoma" w:hAnsi="Tahoma" w:cs="Tahoma"/>
                <w:b/>
                <w:bCs/>
                <w:iCs/>
                <w:color w:val="509141"/>
                <w:szCs w:val="24"/>
                <w:lang w:val="en-US"/>
              </w:rPr>
              <w:t>11</w:t>
            </w:r>
            <w:r w:rsidRPr="00FF34BE">
              <w:rPr>
                <w:rFonts w:ascii="Tahoma" w:hAnsi="Tahoma" w:cs="Tahoma"/>
                <w:b/>
                <w:bCs/>
                <w:iCs/>
                <w:color w:val="509141"/>
                <w:szCs w:val="24"/>
                <w:lang w:val="en-US"/>
              </w:rPr>
              <w:t>/</w:t>
            </w:r>
            <w:r w:rsidR="00D24B27" w:rsidRPr="00FF34BE">
              <w:rPr>
                <w:rFonts w:ascii="Tahoma" w:hAnsi="Tahoma" w:cs="Tahoma"/>
                <w:b/>
                <w:bCs/>
                <w:iCs/>
                <w:color w:val="509141"/>
                <w:szCs w:val="24"/>
                <w:lang w:val="en-US"/>
              </w:rPr>
              <w:t>2010</w:t>
            </w:r>
            <w:r w:rsidRPr="00FF34BE">
              <w:rPr>
                <w:rFonts w:ascii="Tahoma" w:hAnsi="Tahoma" w:cs="Tahoma"/>
                <w:b/>
                <w:bCs/>
                <w:iCs/>
                <w:color w:val="509141"/>
                <w:szCs w:val="24"/>
                <w:lang w:val="en-US"/>
              </w:rPr>
              <w:t>)</w:t>
            </w:r>
          </w:p>
        </w:tc>
      </w:tr>
      <w:tr w:rsidR="00E52477" w:rsidRPr="00FF34BE" w:rsidTr="00EB7B75">
        <w:tc>
          <w:tcPr>
            <w:tcW w:w="10089" w:type="dxa"/>
          </w:tcPr>
          <w:p w:rsidR="00E52477" w:rsidRPr="00FF34BE" w:rsidRDefault="00E52477" w:rsidP="00EB7B75">
            <w:pPr>
              <w:spacing w:before="80" w:line="500" w:lineRule="exact"/>
              <w:jc w:val="right"/>
              <w:rPr>
                <w:rFonts w:ascii="Tahoma" w:hAnsi="Tahoma" w:cs="Tahoma"/>
                <w:b/>
                <w:bCs/>
                <w:iCs/>
                <w:color w:val="509141"/>
                <w:sz w:val="44"/>
                <w:szCs w:val="44"/>
                <w:lang w:val="en-US"/>
              </w:rPr>
            </w:pPr>
          </w:p>
          <w:p w:rsidR="00E52477" w:rsidRPr="00FF34BE" w:rsidRDefault="00BE4CE0" w:rsidP="00BE4CE0">
            <w:pPr>
              <w:spacing w:before="80" w:line="500" w:lineRule="exact"/>
              <w:jc w:val="right"/>
              <w:rPr>
                <w:rFonts w:ascii="Tahoma" w:hAnsi="Tahoma" w:cs="Tahoma"/>
                <w:b/>
                <w:bCs/>
                <w:iCs/>
                <w:color w:val="509141"/>
                <w:sz w:val="44"/>
                <w:szCs w:val="44"/>
                <w:lang w:val="en-US"/>
              </w:rPr>
            </w:pPr>
            <w:r w:rsidRPr="00FF34BE">
              <w:rPr>
                <w:rFonts w:ascii="Tahoma" w:hAnsi="Tahoma" w:cs="Tahoma"/>
                <w:b/>
                <w:bCs/>
                <w:color w:val="509141"/>
                <w:sz w:val="44"/>
                <w:szCs w:val="44"/>
                <w:lang w:val="en-US" w:eastAsia="ja-JP"/>
              </w:rPr>
              <w:t xml:space="preserve">Sharing between the aeronautical mobile service and the fixed service </w:t>
            </w:r>
            <w:r w:rsidRPr="00FF34BE">
              <w:rPr>
                <w:rFonts w:ascii="Tahoma" w:hAnsi="Tahoma" w:cs="Tahoma"/>
                <w:b/>
                <w:bCs/>
                <w:color w:val="509141"/>
                <w:sz w:val="44"/>
                <w:szCs w:val="44"/>
                <w:lang w:val="en-US" w:eastAsia="ja-JP"/>
              </w:rPr>
              <w:br/>
              <w:t>in the band 37-38 GHz</w:t>
            </w:r>
          </w:p>
          <w:p w:rsidR="00E52477" w:rsidRPr="00FF34BE" w:rsidRDefault="00E52477" w:rsidP="00EB7B75">
            <w:pPr>
              <w:spacing w:before="80" w:line="500" w:lineRule="exact"/>
              <w:jc w:val="right"/>
              <w:rPr>
                <w:rFonts w:ascii="Tahoma" w:hAnsi="Tahoma" w:cs="Tahoma"/>
                <w:b/>
                <w:bCs/>
                <w:iCs/>
                <w:color w:val="509141"/>
                <w:sz w:val="44"/>
                <w:szCs w:val="44"/>
                <w:lang w:val="en-US"/>
              </w:rPr>
            </w:pPr>
            <w:r w:rsidRPr="00FF34BE">
              <w:rPr>
                <w:rFonts w:ascii="Tahoma" w:hAnsi="Tahoma" w:cs="Tahoma"/>
                <w:b/>
                <w:bCs/>
                <w:iCs/>
                <w:color w:val="509141"/>
                <w:sz w:val="44"/>
                <w:szCs w:val="44"/>
                <w:lang w:val="en-US"/>
              </w:rPr>
              <w:t xml:space="preserve">  </w:t>
            </w:r>
          </w:p>
        </w:tc>
      </w:tr>
      <w:tr w:rsidR="00E52477" w:rsidRPr="00FF34BE" w:rsidTr="00EB7B75">
        <w:tc>
          <w:tcPr>
            <w:tcW w:w="10089" w:type="dxa"/>
          </w:tcPr>
          <w:p w:rsidR="00E52477" w:rsidRPr="00FF34BE" w:rsidRDefault="00E52477" w:rsidP="00EB7B75">
            <w:pPr>
              <w:spacing w:before="80" w:line="280" w:lineRule="exact"/>
              <w:ind w:right="640"/>
              <w:rPr>
                <w:rFonts w:ascii="Tahoma" w:hAnsi="Tahoma" w:cs="Tahoma"/>
                <w:b/>
                <w:bCs/>
                <w:iCs/>
                <w:color w:val="243285"/>
                <w:sz w:val="32"/>
                <w:szCs w:val="32"/>
                <w:lang w:val="en-US"/>
              </w:rPr>
            </w:pPr>
          </w:p>
          <w:p w:rsidR="00E52477" w:rsidRPr="00FF34BE" w:rsidRDefault="00E52477" w:rsidP="00EB7B75">
            <w:pPr>
              <w:spacing w:before="80" w:line="280" w:lineRule="exact"/>
              <w:ind w:right="640"/>
              <w:rPr>
                <w:rFonts w:ascii="Tahoma" w:hAnsi="Tahoma" w:cs="Tahoma"/>
                <w:b/>
                <w:bCs/>
                <w:iCs/>
                <w:color w:val="243285"/>
                <w:sz w:val="32"/>
                <w:szCs w:val="32"/>
                <w:lang w:val="en-US"/>
              </w:rPr>
            </w:pPr>
          </w:p>
          <w:p w:rsidR="00E52477" w:rsidRPr="00FF34BE" w:rsidRDefault="00E52477" w:rsidP="00EB7B75">
            <w:pPr>
              <w:spacing w:before="80" w:line="280" w:lineRule="exact"/>
              <w:ind w:right="640"/>
              <w:rPr>
                <w:rFonts w:ascii="Tahoma" w:hAnsi="Tahoma" w:cs="Tahoma"/>
                <w:b/>
                <w:bCs/>
                <w:iCs/>
                <w:color w:val="243285"/>
                <w:sz w:val="32"/>
                <w:szCs w:val="32"/>
                <w:lang w:val="en-US"/>
              </w:rPr>
            </w:pPr>
          </w:p>
          <w:p w:rsidR="00E52477" w:rsidRPr="00FF34BE" w:rsidRDefault="00E52477" w:rsidP="00EB7B75">
            <w:pPr>
              <w:spacing w:before="80" w:after="180" w:line="360" w:lineRule="exact"/>
              <w:jc w:val="right"/>
              <w:rPr>
                <w:rFonts w:ascii="Tahoma" w:hAnsi="Tahoma" w:cs="Tahoma"/>
                <w:b/>
                <w:bCs/>
                <w:iCs/>
                <w:color w:val="243285"/>
                <w:sz w:val="36"/>
                <w:szCs w:val="36"/>
                <w:lang w:val="en-US"/>
              </w:rPr>
            </w:pPr>
          </w:p>
          <w:p w:rsidR="00E52477" w:rsidRPr="00FF34BE" w:rsidRDefault="00E52477" w:rsidP="00EB7B75">
            <w:pPr>
              <w:spacing w:before="80" w:after="180" w:line="360" w:lineRule="exact"/>
              <w:jc w:val="right"/>
              <w:rPr>
                <w:rFonts w:ascii="Tahoma" w:hAnsi="Tahoma" w:cs="Tahoma"/>
                <w:b/>
                <w:bCs/>
                <w:iCs/>
                <w:color w:val="509141"/>
                <w:sz w:val="36"/>
                <w:szCs w:val="36"/>
                <w:lang w:val="en-US"/>
              </w:rPr>
            </w:pPr>
            <w:r w:rsidRPr="00FF34BE">
              <w:rPr>
                <w:rFonts w:ascii="Tahoma" w:hAnsi="Tahoma" w:cs="Tahoma"/>
                <w:b/>
                <w:bCs/>
                <w:iCs/>
                <w:color w:val="509141"/>
                <w:sz w:val="36"/>
                <w:szCs w:val="36"/>
                <w:lang w:val="en-US"/>
              </w:rPr>
              <w:t>M Series</w:t>
            </w:r>
          </w:p>
          <w:p w:rsidR="00E52477" w:rsidRPr="00FF34BE" w:rsidRDefault="00E52477" w:rsidP="00EB7B75">
            <w:pPr>
              <w:spacing w:before="80" w:line="420" w:lineRule="exact"/>
              <w:jc w:val="right"/>
              <w:rPr>
                <w:rFonts w:ascii="Tahoma" w:hAnsi="Tahoma" w:cs="Tahoma"/>
                <w:b/>
                <w:bCs/>
                <w:iCs/>
                <w:color w:val="509141"/>
                <w:sz w:val="36"/>
                <w:szCs w:val="36"/>
                <w:lang w:val="en-US"/>
              </w:rPr>
            </w:pPr>
            <w:r w:rsidRPr="00FF34BE">
              <w:rPr>
                <w:rFonts w:ascii="Tahoma" w:hAnsi="Tahoma" w:cs="Tahoma"/>
                <w:b/>
                <w:bCs/>
                <w:iCs/>
                <w:color w:val="509141"/>
                <w:sz w:val="36"/>
                <w:szCs w:val="36"/>
                <w:lang w:val="en-US"/>
              </w:rPr>
              <w:t>Mobile, radiodetermination, amateur</w:t>
            </w:r>
          </w:p>
          <w:p w:rsidR="00E52477" w:rsidRPr="00FF34BE" w:rsidRDefault="00E52477" w:rsidP="00406262">
            <w:pPr>
              <w:spacing w:before="80" w:line="420" w:lineRule="exact"/>
              <w:jc w:val="right"/>
              <w:rPr>
                <w:rFonts w:ascii="Tahoma" w:hAnsi="Tahoma" w:cs="Tahoma"/>
                <w:b/>
                <w:bCs/>
                <w:iCs/>
                <w:color w:val="509141"/>
                <w:sz w:val="36"/>
                <w:szCs w:val="36"/>
                <w:lang w:val="en-US"/>
              </w:rPr>
            </w:pPr>
            <w:r w:rsidRPr="00FF34BE">
              <w:rPr>
                <w:rFonts w:ascii="Tahoma" w:hAnsi="Tahoma" w:cs="Tahoma"/>
                <w:b/>
                <w:bCs/>
                <w:iCs/>
                <w:color w:val="509141"/>
                <w:sz w:val="36"/>
                <w:szCs w:val="36"/>
                <w:lang w:val="en-US"/>
              </w:rPr>
              <w:t>and related satellite services</w:t>
            </w:r>
          </w:p>
        </w:tc>
      </w:tr>
    </w:tbl>
    <w:p w:rsidR="00E52477" w:rsidRPr="00FF34BE" w:rsidRDefault="00E52477" w:rsidP="00EB7B75">
      <w:pPr>
        <w:spacing w:before="80"/>
        <w:rPr>
          <w:i/>
          <w:sz w:val="22"/>
          <w:lang w:val="en-US"/>
        </w:rPr>
      </w:pPr>
    </w:p>
    <w:p w:rsidR="00E52477" w:rsidRPr="00FF34BE" w:rsidRDefault="00E52477" w:rsidP="00EB7B75">
      <w:pPr>
        <w:spacing w:before="80"/>
        <w:rPr>
          <w:i/>
          <w:sz w:val="22"/>
          <w:lang w:val="en-US"/>
        </w:rPr>
      </w:pPr>
    </w:p>
    <w:p w:rsidR="00E52477" w:rsidRPr="00FF34BE" w:rsidRDefault="00E52477" w:rsidP="00EB7B75">
      <w:pPr>
        <w:spacing w:before="80"/>
        <w:rPr>
          <w:i/>
          <w:sz w:val="22"/>
          <w:lang w:val="en-US"/>
        </w:rPr>
      </w:pPr>
    </w:p>
    <w:p w:rsidR="00E52477" w:rsidRPr="00FF34BE" w:rsidRDefault="00E52477" w:rsidP="00EB7B75">
      <w:pPr>
        <w:spacing w:before="80"/>
        <w:rPr>
          <w:i/>
          <w:sz w:val="22"/>
          <w:lang w:val="en-US"/>
        </w:rPr>
      </w:pPr>
    </w:p>
    <w:p w:rsidR="00E52477" w:rsidRPr="00FF34BE" w:rsidRDefault="00E52477" w:rsidP="00EB7B75">
      <w:pPr>
        <w:spacing w:before="80"/>
        <w:rPr>
          <w:i/>
          <w:sz w:val="22"/>
          <w:lang w:val="en-US"/>
        </w:rPr>
      </w:pPr>
    </w:p>
    <w:p w:rsidR="00E52477" w:rsidRPr="00FF34BE" w:rsidRDefault="00E52477" w:rsidP="00EB7B75">
      <w:pPr>
        <w:spacing w:before="80"/>
        <w:rPr>
          <w:i/>
          <w:sz w:val="22"/>
          <w:lang w:val="en-US"/>
        </w:rPr>
      </w:pPr>
    </w:p>
    <w:p w:rsidR="00E52477" w:rsidRPr="00FF34BE" w:rsidRDefault="00E52477" w:rsidP="00EB7B75">
      <w:pPr>
        <w:rPr>
          <w:rFonts w:ascii="Palatino Linotype" w:hAnsi="Palatino Linotype"/>
          <w:lang w:val="en-US"/>
        </w:rPr>
        <w:sectPr w:rsidR="00E52477" w:rsidRPr="00FF34BE" w:rsidSect="00EB7B75">
          <w:headerReference w:type="even" r:id="rId10"/>
          <w:headerReference w:type="default" r:id="rId11"/>
          <w:pgSz w:w="11907" w:h="16834" w:code="9"/>
          <w:pgMar w:top="1418" w:right="1134" w:bottom="1134" w:left="1134" w:header="720" w:footer="482" w:gutter="0"/>
          <w:paperSrc w:first="15" w:other="15"/>
          <w:cols w:space="720"/>
        </w:sectPr>
      </w:pPr>
    </w:p>
    <w:p w:rsidR="00E52477" w:rsidRPr="00FF34BE" w:rsidRDefault="00E52477" w:rsidP="00EB7B7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FF34BE">
        <w:rPr>
          <w:bCs/>
          <w:sz w:val="24"/>
          <w:szCs w:val="24"/>
          <w:lang w:val="en-US"/>
        </w:rPr>
        <w:lastRenderedPageBreak/>
        <w:t>Foreword</w:t>
      </w:r>
    </w:p>
    <w:p w:rsidR="00E52477" w:rsidRPr="00FF34BE" w:rsidRDefault="00E52477" w:rsidP="00EB7B75">
      <w:pPr>
        <w:spacing w:before="240"/>
        <w:rPr>
          <w:sz w:val="20"/>
          <w:lang w:val="en-US"/>
        </w:rPr>
      </w:pPr>
      <w:r w:rsidRPr="00FF34BE">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2477" w:rsidRPr="00FF34BE" w:rsidRDefault="00E52477" w:rsidP="00EB7B75">
      <w:pPr>
        <w:rPr>
          <w:sz w:val="20"/>
          <w:lang w:val="en-US"/>
        </w:rPr>
      </w:pPr>
      <w:r w:rsidRPr="00FF34BE">
        <w:rPr>
          <w:sz w:val="20"/>
          <w:lang w:val="en-US"/>
        </w:rPr>
        <w:t>The regulatory and policy functions of the Radiocommunication Sector are performed by World and Regional Radiocommunication Conferences and Radiocommunication Assemblies supported by Study Groups.</w:t>
      </w:r>
    </w:p>
    <w:p w:rsidR="00E52477" w:rsidRPr="00FF34BE" w:rsidRDefault="00E52477" w:rsidP="00EB7B75">
      <w:pPr>
        <w:pStyle w:val="Heading1"/>
        <w:spacing w:before="400"/>
        <w:jc w:val="center"/>
        <w:rPr>
          <w:szCs w:val="24"/>
          <w:lang w:val="en-US"/>
        </w:rPr>
      </w:pPr>
    </w:p>
    <w:p w:rsidR="00E52477" w:rsidRPr="00FF34BE" w:rsidRDefault="00E52477" w:rsidP="00EB7B75">
      <w:pPr>
        <w:pStyle w:val="Heading1"/>
        <w:spacing w:before="540"/>
        <w:jc w:val="center"/>
        <w:rPr>
          <w:szCs w:val="24"/>
          <w:lang w:val="en-US"/>
        </w:rPr>
      </w:pPr>
      <w:bookmarkStart w:id="1" w:name="_Toc284424041"/>
      <w:bookmarkStart w:id="2" w:name="_Toc284425218"/>
      <w:bookmarkStart w:id="3" w:name="_Toc284425396"/>
      <w:r w:rsidRPr="00FF34BE">
        <w:rPr>
          <w:szCs w:val="24"/>
          <w:lang w:val="en-US"/>
        </w:rPr>
        <w:t>Policy on Intellectual Property Right (IPR)</w:t>
      </w:r>
      <w:bookmarkEnd w:id="1"/>
      <w:bookmarkEnd w:id="2"/>
      <w:bookmarkEnd w:id="3"/>
    </w:p>
    <w:p w:rsidR="00E52477" w:rsidRPr="00FF34BE" w:rsidRDefault="00E52477" w:rsidP="00EB7B75">
      <w:pPr>
        <w:tabs>
          <w:tab w:val="left" w:pos="720"/>
        </w:tabs>
        <w:spacing w:before="240"/>
        <w:rPr>
          <w:sz w:val="20"/>
          <w:lang w:val="en-US"/>
        </w:rPr>
      </w:pPr>
      <w:r w:rsidRPr="00FF34BE">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FF34BE">
          <w:rPr>
            <w:rStyle w:val="Hyperlink"/>
            <w:sz w:val="20"/>
            <w:lang w:val="en-US"/>
          </w:rPr>
          <w:t>http://www.itu.int/ITU-R/go/patents/en</w:t>
        </w:r>
      </w:hyperlink>
      <w:r w:rsidRPr="00FF34BE">
        <w:rPr>
          <w:sz w:val="20"/>
          <w:lang w:val="en-US"/>
        </w:rPr>
        <w:t xml:space="preserve"> where the Guidelines for Implementation of the Common Patent Policy for ITU</w:t>
      </w:r>
      <w:r w:rsidRPr="00FF34BE">
        <w:rPr>
          <w:sz w:val="20"/>
          <w:lang w:val="en-US"/>
        </w:rPr>
        <w:noBreakHyphen/>
        <w:t>T/ITU</w:t>
      </w:r>
      <w:r w:rsidRPr="00FF34BE">
        <w:rPr>
          <w:sz w:val="20"/>
          <w:lang w:val="en-US"/>
        </w:rPr>
        <w:noBreakHyphen/>
        <w:t xml:space="preserve">R/ISO/IEC and the ITU-R patent information database can also be found. </w:t>
      </w:r>
    </w:p>
    <w:p w:rsidR="00E52477" w:rsidRPr="00FF34BE" w:rsidRDefault="00E52477" w:rsidP="00EB7B75">
      <w:pPr>
        <w:jc w:val="center"/>
        <w:rPr>
          <w:sz w:val="22"/>
          <w:lang w:val="en-US"/>
        </w:rPr>
      </w:pPr>
    </w:p>
    <w:p w:rsidR="00E52477" w:rsidRPr="00FF34BE" w:rsidRDefault="00E52477" w:rsidP="00EB7B75">
      <w:pPr>
        <w:jc w:val="center"/>
        <w:rPr>
          <w:sz w:val="22"/>
          <w:lang w:val="en-US"/>
        </w:rPr>
      </w:pPr>
    </w:p>
    <w:p w:rsidR="00E52477" w:rsidRPr="00FF34BE" w:rsidRDefault="00E52477" w:rsidP="00EB7B7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52477" w:rsidRPr="00FF34BE">
        <w:tc>
          <w:tcPr>
            <w:tcW w:w="9360" w:type="dxa"/>
            <w:gridSpan w:val="2"/>
            <w:tcBorders>
              <w:top w:val="single" w:sz="12" w:space="0" w:color="000080"/>
              <w:left w:val="single" w:sz="12" w:space="0" w:color="000080"/>
              <w:bottom w:val="nil"/>
              <w:right w:val="single" w:sz="12" w:space="0" w:color="000080"/>
            </w:tcBorders>
          </w:tcPr>
          <w:p w:rsidR="00E52477" w:rsidRPr="00FF34BE" w:rsidRDefault="00E52477" w:rsidP="00EB7B75">
            <w:pPr>
              <w:pStyle w:val="ChapNo"/>
              <w:spacing w:before="240"/>
              <w:rPr>
                <w:sz w:val="22"/>
                <w:szCs w:val="22"/>
                <w:lang w:val="en-US"/>
              </w:rPr>
            </w:pPr>
            <w:r w:rsidRPr="00FF34BE">
              <w:rPr>
                <w:sz w:val="22"/>
                <w:szCs w:val="22"/>
                <w:lang w:val="en-US"/>
              </w:rPr>
              <w:t xml:space="preserve">Series of ITU-R Reports </w:t>
            </w:r>
          </w:p>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F34BE">
              <w:rPr>
                <w:b w:val="0"/>
                <w:sz w:val="18"/>
                <w:szCs w:val="18"/>
                <w:lang w:val="en-US"/>
              </w:rPr>
              <w:t xml:space="preserve">(Also available online at </w:t>
            </w:r>
            <w:hyperlink r:id="rId13" w:history="1">
              <w:r w:rsidRPr="00FF34BE">
                <w:rPr>
                  <w:rStyle w:val="Hyperlink"/>
                  <w:b w:val="0"/>
                  <w:bCs/>
                  <w:sz w:val="18"/>
                  <w:szCs w:val="18"/>
                  <w:lang w:val="en-US"/>
                </w:rPr>
                <w:t>http://www.itu.int/publ/R-REP/en</w:t>
              </w:r>
            </w:hyperlink>
            <w:r w:rsidRPr="00FF34BE">
              <w:rPr>
                <w:b w:val="0"/>
                <w:sz w:val="18"/>
                <w:szCs w:val="18"/>
                <w:lang w:val="en-US"/>
              </w:rPr>
              <w:t>)</w:t>
            </w:r>
          </w:p>
        </w:tc>
      </w:tr>
      <w:tr w:rsidR="00E52477" w:rsidRPr="00FF34BE">
        <w:tc>
          <w:tcPr>
            <w:tcW w:w="1140" w:type="dxa"/>
            <w:tcBorders>
              <w:top w:val="nil"/>
              <w:left w:val="single" w:sz="12" w:space="0" w:color="000080"/>
              <w:bottom w:val="nil"/>
              <w:right w:val="nil"/>
            </w:tcBorders>
          </w:tcPr>
          <w:p w:rsidR="00E52477" w:rsidRPr="00FF34BE" w:rsidRDefault="00E52477">
            <w:pPr>
              <w:spacing w:before="200" w:after="100"/>
              <w:ind w:left="57"/>
              <w:rPr>
                <w:b/>
                <w:bCs/>
                <w:sz w:val="20"/>
                <w:lang w:val="en-US"/>
              </w:rPr>
            </w:pPr>
            <w:r w:rsidRPr="00FF34BE">
              <w:rPr>
                <w:b/>
                <w:bCs/>
                <w:sz w:val="20"/>
                <w:lang w:val="en-US"/>
              </w:rPr>
              <w:t>Series</w:t>
            </w:r>
          </w:p>
        </w:tc>
        <w:tc>
          <w:tcPr>
            <w:tcW w:w="8220" w:type="dxa"/>
            <w:tcBorders>
              <w:top w:val="nil"/>
              <w:left w:val="nil"/>
              <w:bottom w:val="nil"/>
              <w:right w:val="single" w:sz="12" w:space="0" w:color="000080"/>
            </w:tcBorders>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FF34BE">
              <w:rPr>
                <w:bCs/>
                <w:sz w:val="20"/>
                <w:lang w:val="en-US"/>
              </w:rPr>
              <w:t>Title</w:t>
            </w:r>
          </w:p>
        </w:tc>
      </w:tr>
      <w:tr w:rsidR="00E52477" w:rsidRPr="00FF34BE" w:rsidTr="00EB7B75">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BO</w:t>
            </w:r>
          </w:p>
        </w:tc>
        <w:tc>
          <w:tcPr>
            <w:tcW w:w="8220" w:type="dxa"/>
            <w:tcBorders>
              <w:top w:val="nil"/>
              <w:left w:val="nil"/>
              <w:bottom w:val="nil"/>
              <w:right w:val="single" w:sz="12" w:space="0" w:color="000080"/>
            </w:tcBorders>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FF34BE">
              <w:rPr>
                <w:b w:val="0"/>
                <w:bCs/>
                <w:sz w:val="20"/>
                <w:lang w:val="en-US"/>
              </w:rPr>
              <w:t>Satellite delivery</w:t>
            </w:r>
          </w:p>
        </w:tc>
      </w:tr>
      <w:tr w:rsidR="00E52477" w:rsidRPr="00FF34BE" w:rsidTr="00EB7B75">
        <w:tc>
          <w:tcPr>
            <w:tcW w:w="1140" w:type="dxa"/>
            <w:tcBorders>
              <w:top w:val="nil"/>
              <w:left w:val="single" w:sz="12" w:space="0" w:color="000080"/>
              <w:bottom w:val="nil"/>
              <w:right w:val="nil"/>
            </w:tcBorders>
            <w:shd w:val="clear" w:color="auto" w:fill="auto"/>
          </w:tcPr>
          <w:p w:rsidR="00E52477" w:rsidRPr="00FF34BE" w:rsidRDefault="00E52477">
            <w:pPr>
              <w:spacing w:before="30" w:after="30"/>
              <w:ind w:left="57"/>
              <w:jc w:val="left"/>
              <w:rPr>
                <w:rFonts w:ascii="Times New Roman Bold" w:hAnsi="Times New Roman Bold" w:cs="Times New Roman Bold"/>
                <w:b/>
                <w:bCs/>
                <w:sz w:val="20"/>
                <w:lang w:val="en-US"/>
              </w:rPr>
            </w:pPr>
            <w:r w:rsidRPr="00FF34B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FF34BE">
              <w:rPr>
                <w:b w:val="0"/>
                <w:sz w:val="20"/>
                <w:lang w:val="en-US"/>
              </w:rPr>
              <w:t>Recording for production, archival and play-out; film for television</w:t>
            </w:r>
          </w:p>
        </w:tc>
      </w:tr>
      <w:tr w:rsidR="00E52477" w:rsidRPr="00FF34BE" w:rsidTr="00EB7B75">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BS</w:t>
            </w:r>
          </w:p>
        </w:tc>
        <w:tc>
          <w:tcPr>
            <w:tcW w:w="8220" w:type="dxa"/>
            <w:tcBorders>
              <w:top w:val="nil"/>
              <w:left w:val="nil"/>
              <w:bottom w:val="nil"/>
              <w:right w:val="single" w:sz="12" w:space="0" w:color="000080"/>
            </w:tcBorders>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FF34BE">
              <w:rPr>
                <w:b w:val="0"/>
                <w:sz w:val="20"/>
                <w:lang w:val="en-US"/>
              </w:rPr>
              <w:t>Broadcasting service (sound)</w:t>
            </w:r>
          </w:p>
        </w:tc>
      </w:tr>
      <w:tr w:rsidR="00E52477" w:rsidRPr="00FF34BE" w:rsidTr="00EB7B75">
        <w:tc>
          <w:tcPr>
            <w:tcW w:w="1140" w:type="dxa"/>
            <w:tcBorders>
              <w:top w:val="nil"/>
              <w:left w:val="single" w:sz="12" w:space="0" w:color="000080"/>
              <w:bottom w:val="nil"/>
              <w:right w:val="nil"/>
            </w:tcBorders>
            <w:shd w:val="clear" w:color="auto" w:fill="auto"/>
          </w:tcPr>
          <w:p w:rsidR="00E52477" w:rsidRPr="00FF34BE" w:rsidRDefault="00E52477">
            <w:pPr>
              <w:spacing w:before="30" w:after="30"/>
              <w:ind w:left="57"/>
              <w:jc w:val="left"/>
              <w:rPr>
                <w:rFonts w:ascii="Times New Roman Bold" w:hAnsi="Times New Roman Bold" w:cs="Times New Roman Bold"/>
                <w:b/>
                <w:bCs/>
                <w:sz w:val="20"/>
                <w:lang w:val="en-US"/>
              </w:rPr>
            </w:pPr>
            <w:r w:rsidRPr="00FF34BE">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FF34BE">
              <w:rPr>
                <w:b w:val="0"/>
                <w:sz w:val="20"/>
                <w:lang w:val="en-US"/>
              </w:rPr>
              <w:t>Broadcasting service (television)</w:t>
            </w:r>
          </w:p>
        </w:tc>
      </w:tr>
      <w:tr w:rsidR="00E52477" w:rsidRPr="00FF34BE" w:rsidTr="00EB7B75">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F</w:t>
            </w:r>
          </w:p>
        </w:tc>
        <w:tc>
          <w:tcPr>
            <w:tcW w:w="8220" w:type="dxa"/>
            <w:tcBorders>
              <w:top w:val="nil"/>
              <w:left w:val="nil"/>
              <w:bottom w:val="nil"/>
              <w:right w:val="single" w:sz="12" w:space="0" w:color="000080"/>
            </w:tcBorders>
          </w:tcPr>
          <w:p w:rsidR="00E52477" w:rsidRPr="00FF34BE" w:rsidRDefault="00E524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FF34BE">
              <w:rPr>
                <w:sz w:val="20"/>
                <w:lang w:val="en-US"/>
              </w:rPr>
              <w:t>Fixed service</w:t>
            </w:r>
          </w:p>
        </w:tc>
      </w:tr>
      <w:tr w:rsidR="00E52477" w:rsidRPr="00FF34BE" w:rsidTr="00EB7B75">
        <w:tc>
          <w:tcPr>
            <w:tcW w:w="1140" w:type="dxa"/>
            <w:tcBorders>
              <w:top w:val="nil"/>
              <w:left w:val="single" w:sz="12" w:space="0" w:color="000080"/>
              <w:bottom w:val="nil"/>
              <w:right w:val="nil"/>
            </w:tcBorders>
            <w:shd w:val="clear" w:color="auto" w:fill="F3F3F3"/>
          </w:tcPr>
          <w:p w:rsidR="00E52477" w:rsidRPr="00FF34BE" w:rsidRDefault="00E52477">
            <w:pPr>
              <w:spacing w:before="30" w:after="30"/>
              <w:ind w:left="57"/>
              <w:jc w:val="left"/>
              <w:rPr>
                <w:b/>
                <w:bCs/>
                <w:color w:val="000080"/>
                <w:sz w:val="20"/>
                <w:lang w:val="en-US"/>
              </w:rPr>
            </w:pPr>
            <w:r w:rsidRPr="00FF34BE">
              <w:rPr>
                <w:b/>
                <w:bCs/>
                <w:color w:val="000080"/>
                <w:sz w:val="20"/>
                <w:lang w:val="en-US"/>
              </w:rPr>
              <w:t>M</w:t>
            </w:r>
          </w:p>
        </w:tc>
        <w:tc>
          <w:tcPr>
            <w:tcW w:w="8220" w:type="dxa"/>
            <w:tcBorders>
              <w:top w:val="nil"/>
              <w:left w:val="nil"/>
              <w:bottom w:val="nil"/>
              <w:right w:val="single" w:sz="12" w:space="0" w:color="000080"/>
            </w:tcBorders>
            <w:shd w:val="clear" w:color="auto" w:fill="F3F3F3"/>
          </w:tcPr>
          <w:p w:rsidR="00E52477" w:rsidRPr="00FF34BE" w:rsidRDefault="00E5247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FF34BE">
              <w:rPr>
                <w:bCs/>
                <w:color w:val="000080"/>
                <w:sz w:val="20"/>
                <w:lang w:val="en-US"/>
              </w:rPr>
              <w:t>Mobile, radiodetermination, amateur and related satellite services</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P</w:t>
            </w:r>
          </w:p>
        </w:tc>
        <w:tc>
          <w:tcPr>
            <w:tcW w:w="8220" w:type="dxa"/>
            <w:tcBorders>
              <w:top w:val="nil"/>
              <w:left w:val="nil"/>
              <w:bottom w:val="nil"/>
              <w:right w:val="single" w:sz="12" w:space="0" w:color="000080"/>
            </w:tcBorders>
          </w:tcPr>
          <w:p w:rsidR="00E52477" w:rsidRPr="00FF34BE" w:rsidRDefault="00E52477">
            <w:pPr>
              <w:spacing w:before="30" w:after="30"/>
              <w:jc w:val="left"/>
              <w:rPr>
                <w:sz w:val="20"/>
                <w:lang w:val="en-US"/>
              </w:rPr>
            </w:pPr>
            <w:r w:rsidRPr="00FF34BE">
              <w:rPr>
                <w:sz w:val="20"/>
                <w:lang w:val="en-US"/>
              </w:rPr>
              <w:t>Radiowave propagation</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RA</w:t>
            </w:r>
          </w:p>
        </w:tc>
        <w:tc>
          <w:tcPr>
            <w:tcW w:w="8220" w:type="dxa"/>
            <w:tcBorders>
              <w:top w:val="nil"/>
              <w:left w:val="nil"/>
              <w:bottom w:val="nil"/>
              <w:right w:val="single" w:sz="12" w:space="0" w:color="000080"/>
            </w:tcBorders>
          </w:tcPr>
          <w:p w:rsidR="00E52477" w:rsidRPr="00FF34BE" w:rsidRDefault="00E524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FF34BE">
              <w:rPr>
                <w:sz w:val="20"/>
                <w:lang w:val="en-US"/>
              </w:rPr>
              <w:t>Radio astronomy</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RS</w:t>
            </w:r>
          </w:p>
        </w:tc>
        <w:tc>
          <w:tcPr>
            <w:tcW w:w="8220" w:type="dxa"/>
            <w:tcBorders>
              <w:top w:val="nil"/>
              <w:left w:val="nil"/>
              <w:bottom w:val="nil"/>
              <w:right w:val="single" w:sz="12" w:space="0" w:color="000080"/>
            </w:tcBorders>
          </w:tcPr>
          <w:p w:rsidR="00E52477" w:rsidRPr="00FF34BE" w:rsidRDefault="00E5247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FF34BE">
              <w:rPr>
                <w:sz w:val="20"/>
                <w:lang w:val="en-US"/>
              </w:rPr>
              <w:t>Remote sensing systems</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S</w:t>
            </w:r>
          </w:p>
        </w:tc>
        <w:tc>
          <w:tcPr>
            <w:tcW w:w="8220" w:type="dxa"/>
            <w:tcBorders>
              <w:top w:val="nil"/>
              <w:left w:val="nil"/>
              <w:bottom w:val="nil"/>
              <w:right w:val="single" w:sz="12" w:space="0" w:color="000080"/>
            </w:tcBorders>
          </w:tcPr>
          <w:p w:rsidR="00E52477" w:rsidRPr="00FF34BE" w:rsidRDefault="00E52477">
            <w:pPr>
              <w:spacing w:before="30" w:after="30"/>
              <w:jc w:val="left"/>
              <w:rPr>
                <w:sz w:val="20"/>
                <w:lang w:val="en-US"/>
              </w:rPr>
            </w:pPr>
            <w:r w:rsidRPr="00FF34BE">
              <w:rPr>
                <w:sz w:val="20"/>
                <w:lang w:val="en-US"/>
              </w:rPr>
              <w:t>Fixed-satellite service</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SA</w:t>
            </w:r>
          </w:p>
        </w:tc>
        <w:tc>
          <w:tcPr>
            <w:tcW w:w="8220" w:type="dxa"/>
            <w:tcBorders>
              <w:top w:val="nil"/>
              <w:left w:val="nil"/>
              <w:bottom w:val="nil"/>
              <w:right w:val="single" w:sz="12" w:space="0" w:color="000080"/>
            </w:tcBorders>
          </w:tcPr>
          <w:p w:rsidR="00E52477" w:rsidRPr="00FF34BE" w:rsidRDefault="00E52477">
            <w:pPr>
              <w:spacing w:before="30" w:after="30"/>
              <w:jc w:val="left"/>
              <w:rPr>
                <w:sz w:val="20"/>
                <w:lang w:val="en-US"/>
              </w:rPr>
            </w:pPr>
            <w:r w:rsidRPr="00FF34BE">
              <w:rPr>
                <w:sz w:val="20"/>
                <w:lang w:val="en-US"/>
              </w:rPr>
              <w:t>Space applications and meteorology</w:t>
            </w:r>
          </w:p>
        </w:tc>
      </w:tr>
      <w:tr w:rsidR="00E52477" w:rsidRPr="00FF34BE">
        <w:tc>
          <w:tcPr>
            <w:tcW w:w="1140" w:type="dxa"/>
            <w:tcBorders>
              <w:top w:val="nil"/>
              <w:left w:val="single" w:sz="12" w:space="0" w:color="000080"/>
              <w:bottom w:val="nil"/>
              <w:right w:val="nil"/>
            </w:tcBorders>
          </w:tcPr>
          <w:p w:rsidR="00E52477" w:rsidRPr="00FF34BE" w:rsidRDefault="00E52477">
            <w:pPr>
              <w:spacing w:before="30" w:after="30"/>
              <w:ind w:left="57"/>
              <w:jc w:val="left"/>
              <w:rPr>
                <w:b/>
                <w:bCs/>
                <w:sz w:val="20"/>
                <w:lang w:val="en-US"/>
              </w:rPr>
            </w:pPr>
            <w:r w:rsidRPr="00FF34BE">
              <w:rPr>
                <w:b/>
                <w:bCs/>
                <w:sz w:val="20"/>
                <w:lang w:val="en-US"/>
              </w:rPr>
              <w:t>SF</w:t>
            </w:r>
          </w:p>
        </w:tc>
        <w:tc>
          <w:tcPr>
            <w:tcW w:w="8220" w:type="dxa"/>
            <w:tcBorders>
              <w:top w:val="nil"/>
              <w:left w:val="nil"/>
              <w:bottom w:val="nil"/>
              <w:right w:val="single" w:sz="12" w:space="0" w:color="000080"/>
            </w:tcBorders>
          </w:tcPr>
          <w:p w:rsidR="00E52477" w:rsidRPr="00FF34BE" w:rsidRDefault="00E52477">
            <w:pPr>
              <w:spacing w:before="30" w:after="30"/>
              <w:jc w:val="left"/>
              <w:rPr>
                <w:sz w:val="20"/>
                <w:lang w:val="en-US"/>
              </w:rPr>
            </w:pPr>
            <w:r w:rsidRPr="00FF34BE">
              <w:rPr>
                <w:sz w:val="20"/>
                <w:lang w:val="en-US"/>
              </w:rPr>
              <w:t>Frequency sharing and coordination between fixed-satellite and fixed service systems</w:t>
            </w:r>
          </w:p>
        </w:tc>
      </w:tr>
      <w:tr w:rsidR="00E52477" w:rsidRPr="00FF34BE">
        <w:tc>
          <w:tcPr>
            <w:tcW w:w="1140" w:type="dxa"/>
            <w:tcBorders>
              <w:top w:val="nil"/>
              <w:left w:val="single" w:sz="12" w:space="0" w:color="000080"/>
              <w:bottom w:val="single" w:sz="12" w:space="0" w:color="000080"/>
              <w:right w:val="nil"/>
            </w:tcBorders>
          </w:tcPr>
          <w:p w:rsidR="00E52477" w:rsidRPr="00FF34BE" w:rsidRDefault="00E52477">
            <w:pPr>
              <w:spacing w:before="30" w:after="30"/>
              <w:ind w:left="57"/>
              <w:jc w:val="left"/>
              <w:rPr>
                <w:b/>
                <w:bCs/>
                <w:sz w:val="20"/>
                <w:lang w:val="en-US"/>
              </w:rPr>
            </w:pPr>
            <w:r w:rsidRPr="00FF34BE">
              <w:rPr>
                <w:b/>
                <w:bCs/>
                <w:sz w:val="20"/>
                <w:lang w:val="en-US"/>
              </w:rPr>
              <w:t>SM</w:t>
            </w:r>
          </w:p>
        </w:tc>
        <w:tc>
          <w:tcPr>
            <w:tcW w:w="8220" w:type="dxa"/>
            <w:tcBorders>
              <w:top w:val="nil"/>
              <w:left w:val="nil"/>
              <w:bottom w:val="single" w:sz="12" w:space="0" w:color="000080"/>
              <w:right w:val="single" w:sz="12" w:space="0" w:color="000080"/>
            </w:tcBorders>
          </w:tcPr>
          <w:p w:rsidR="00E52477" w:rsidRPr="00FF34BE" w:rsidRDefault="00E52477" w:rsidP="00EB7B75">
            <w:pPr>
              <w:spacing w:before="30" w:after="180"/>
              <w:jc w:val="left"/>
              <w:rPr>
                <w:sz w:val="20"/>
                <w:lang w:val="en-US"/>
              </w:rPr>
            </w:pPr>
            <w:r w:rsidRPr="00FF34BE">
              <w:rPr>
                <w:sz w:val="20"/>
                <w:lang w:val="en-US"/>
              </w:rPr>
              <w:t>Spectrum management</w:t>
            </w:r>
          </w:p>
        </w:tc>
      </w:tr>
    </w:tbl>
    <w:p w:rsidR="00E52477" w:rsidRPr="00FF34BE" w:rsidRDefault="00E52477" w:rsidP="00EB7B75">
      <w:pPr>
        <w:spacing w:before="30" w:after="30"/>
        <w:jc w:val="center"/>
        <w:rPr>
          <w:sz w:val="20"/>
          <w:lang w:val="en-US"/>
        </w:rPr>
      </w:pPr>
    </w:p>
    <w:tbl>
      <w:tblPr>
        <w:tblpPr w:leftFromText="180" w:rightFromText="180" w:vertAnchor="text" w:tblpX="-5771" w:tblpY="-4031"/>
        <w:tblW w:w="0" w:type="auto"/>
        <w:tblLook w:val="0000"/>
      </w:tblPr>
      <w:tblGrid>
        <w:gridCol w:w="720"/>
      </w:tblGrid>
      <w:tr w:rsidR="00E52477" w:rsidRPr="00FF34BE">
        <w:tc>
          <w:tcPr>
            <w:tcW w:w="720" w:type="dxa"/>
          </w:tcPr>
          <w:p w:rsidR="00E52477" w:rsidRPr="00FF34BE" w:rsidRDefault="00E52477">
            <w:pPr>
              <w:jc w:val="center"/>
              <w:rPr>
                <w:sz w:val="22"/>
                <w:lang w:val="en-US"/>
              </w:rPr>
            </w:pPr>
          </w:p>
        </w:tc>
      </w:tr>
    </w:tbl>
    <w:p w:rsidR="00E52477" w:rsidRPr="00FF34BE" w:rsidRDefault="00E52477" w:rsidP="00EB7B7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E52477" w:rsidRPr="00FF34BE" w:rsidTr="00EB7B75">
        <w:tc>
          <w:tcPr>
            <w:tcW w:w="9360" w:type="dxa"/>
            <w:tcBorders>
              <w:top w:val="single" w:sz="12" w:space="0" w:color="000080"/>
              <w:left w:val="single" w:sz="12" w:space="0" w:color="000080"/>
              <w:bottom w:val="single" w:sz="12" w:space="0" w:color="000080"/>
              <w:right w:val="single" w:sz="12" w:space="0" w:color="000080"/>
            </w:tcBorders>
          </w:tcPr>
          <w:p w:rsidR="00E52477" w:rsidRPr="00FF34BE" w:rsidRDefault="00E52477" w:rsidP="00EB7B75">
            <w:pPr>
              <w:spacing w:after="120"/>
              <w:jc w:val="left"/>
              <w:rPr>
                <w:b/>
                <w:bCs/>
                <w:sz w:val="20"/>
                <w:lang w:val="en-US"/>
              </w:rPr>
            </w:pPr>
            <w:r w:rsidRPr="00FF34BE">
              <w:rPr>
                <w:i/>
                <w:iCs/>
                <w:sz w:val="20"/>
                <w:lang w:val="en-US"/>
              </w:rPr>
              <w:t xml:space="preserve">            </w:t>
            </w:r>
            <w:r w:rsidRPr="00FF34BE">
              <w:rPr>
                <w:b/>
                <w:bCs/>
                <w:i/>
                <w:iCs/>
                <w:sz w:val="20"/>
                <w:lang w:val="en-US"/>
              </w:rPr>
              <w:t>Note</w:t>
            </w:r>
            <w:r w:rsidRPr="00FF34BE">
              <w:rPr>
                <w:i/>
                <w:iCs/>
                <w:sz w:val="20"/>
                <w:lang w:val="en-US"/>
              </w:rPr>
              <w:t xml:space="preserve">: This ITU-R Report was approved in English by the Study Group under the procedure detailed </w:t>
            </w:r>
            <w:r w:rsidRPr="00FF34BE">
              <w:rPr>
                <w:i/>
                <w:iCs/>
                <w:sz w:val="20"/>
                <w:lang w:val="en-US"/>
              </w:rPr>
              <w:br/>
              <w:t xml:space="preserve">            in Resolution  ITU-R 1.</w:t>
            </w:r>
          </w:p>
        </w:tc>
      </w:tr>
    </w:tbl>
    <w:p w:rsidR="00E52477" w:rsidRPr="00FF34BE" w:rsidRDefault="00E52477" w:rsidP="00EB7B75">
      <w:pPr>
        <w:spacing w:before="0"/>
        <w:jc w:val="center"/>
        <w:rPr>
          <w:sz w:val="22"/>
          <w:lang w:val="en-US"/>
        </w:rPr>
      </w:pPr>
    </w:p>
    <w:p w:rsidR="00E52477" w:rsidRPr="00FF34BE" w:rsidRDefault="00E52477" w:rsidP="00EB7B75">
      <w:pPr>
        <w:spacing w:before="0"/>
        <w:jc w:val="center"/>
        <w:rPr>
          <w:sz w:val="22"/>
          <w:lang w:val="en-US"/>
        </w:rPr>
      </w:pPr>
    </w:p>
    <w:p w:rsidR="00E52477" w:rsidRPr="00FF34BE" w:rsidRDefault="00E52477" w:rsidP="00EB7B75">
      <w:pPr>
        <w:spacing w:before="0"/>
        <w:jc w:val="right"/>
        <w:rPr>
          <w:i/>
          <w:iCs/>
          <w:sz w:val="20"/>
          <w:lang w:val="en-US"/>
        </w:rPr>
      </w:pPr>
      <w:r w:rsidRPr="00FF34BE">
        <w:rPr>
          <w:i/>
          <w:iCs/>
          <w:sz w:val="20"/>
          <w:lang w:val="en-US"/>
        </w:rPr>
        <w:t>Electronic Publication</w:t>
      </w:r>
    </w:p>
    <w:p w:rsidR="00E52477" w:rsidRPr="00FF34BE" w:rsidRDefault="00E52477" w:rsidP="00EB7B75">
      <w:pPr>
        <w:spacing w:before="0"/>
        <w:jc w:val="right"/>
        <w:rPr>
          <w:sz w:val="20"/>
          <w:lang w:val="en-US"/>
        </w:rPr>
      </w:pPr>
      <w:r w:rsidRPr="00FF34BE">
        <w:rPr>
          <w:sz w:val="20"/>
          <w:lang w:val="en-US"/>
        </w:rPr>
        <w:t>Geneva, 2011</w:t>
      </w:r>
    </w:p>
    <w:p w:rsidR="00E52477" w:rsidRPr="00FF34BE" w:rsidRDefault="00E52477" w:rsidP="00EB7B75">
      <w:pPr>
        <w:jc w:val="center"/>
        <w:rPr>
          <w:sz w:val="20"/>
          <w:lang w:val="en-US"/>
        </w:rPr>
      </w:pPr>
      <w:r w:rsidRPr="00FF34BE">
        <w:rPr>
          <w:sz w:val="20"/>
          <w:lang w:val="en-US"/>
        </w:rPr>
        <w:sym w:font="Symbol" w:char="00E3"/>
      </w:r>
      <w:r w:rsidRPr="00FF34BE">
        <w:rPr>
          <w:sz w:val="20"/>
          <w:lang w:val="en-US"/>
        </w:rPr>
        <w:t xml:space="preserve"> ITU </w:t>
      </w:r>
      <w:bookmarkStart w:id="4" w:name="iiannee"/>
      <w:bookmarkEnd w:id="4"/>
      <w:r w:rsidRPr="00FF34BE">
        <w:rPr>
          <w:sz w:val="20"/>
          <w:lang w:val="en-US"/>
        </w:rPr>
        <w:t>2011</w:t>
      </w:r>
    </w:p>
    <w:p w:rsidR="00E52477" w:rsidRPr="00FF34BE" w:rsidRDefault="00E52477" w:rsidP="00EB7B75">
      <w:pPr>
        <w:rPr>
          <w:sz w:val="18"/>
          <w:szCs w:val="18"/>
          <w:lang w:val="en-US"/>
        </w:rPr>
      </w:pPr>
      <w:r w:rsidRPr="00FF34BE">
        <w:rPr>
          <w:sz w:val="18"/>
          <w:szCs w:val="18"/>
          <w:lang w:val="en-US"/>
        </w:rPr>
        <w:t>All rights reserved. No part of this publication may be reproduced, by any means whatsoever, without written permission of ITU.</w:t>
      </w:r>
    </w:p>
    <w:p w:rsidR="00E52477" w:rsidRPr="00FF34BE" w:rsidRDefault="00E52477" w:rsidP="00EB7B75">
      <w:pPr>
        <w:tabs>
          <w:tab w:val="clear" w:pos="794"/>
          <w:tab w:val="clear" w:pos="1191"/>
          <w:tab w:val="clear" w:pos="1588"/>
          <w:tab w:val="clear" w:pos="1985"/>
        </w:tabs>
        <w:overflowPunct/>
        <w:autoSpaceDE/>
        <w:autoSpaceDN/>
        <w:adjustRightInd/>
        <w:spacing w:before="0"/>
        <w:jc w:val="left"/>
        <w:rPr>
          <w:i/>
          <w:sz w:val="20"/>
          <w:lang w:val="en-US"/>
        </w:rPr>
        <w:sectPr w:rsidR="00E52477" w:rsidRPr="00FF34BE" w:rsidSect="00EB7B75">
          <w:pgSz w:w="11907" w:h="16834"/>
          <w:pgMar w:top="1418" w:right="1134" w:bottom="1134" w:left="1134" w:header="720" w:footer="482" w:gutter="0"/>
          <w:paperSrc w:first="15" w:other="15"/>
          <w:pgNumType w:fmt="lowerRoman" w:start="2"/>
          <w:cols w:space="720"/>
        </w:sectPr>
      </w:pPr>
    </w:p>
    <w:p w:rsidR="00E52477" w:rsidRPr="00FF34BE" w:rsidRDefault="00E52477" w:rsidP="00D24B27">
      <w:pPr>
        <w:pStyle w:val="RepNo"/>
        <w:spacing w:before="0"/>
        <w:rPr>
          <w:lang w:val="en-US"/>
        </w:rPr>
      </w:pPr>
      <w:bookmarkStart w:id="5" w:name="irecnoe"/>
      <w:bookmarkEnd w:id="5"/>
      <w:r w:rsidRPr="00FF34BE">
        <w:rPr>
          <w:lang w:val="en-US"/>
        </w:rPr>
        <w:lastRenderedPageBreak/>
        <w:t xml:space="preserve">REPORT  </w:t>
      </w:r>
      <w:r w:rsidRPr="00FF34BE">
        <w:rPr>
          <w:rStyle w:val="href"/>
          <w:lang w:val="en-US"/>
        </w:rPr>
        <w:t>ITU-R  M.</w:t>
      </w:r>
      <w:r w:rsidR="00D24B27" w:rsidRPr="00FF34BE">
        <w:rPr>
          <w:rStyle w:val="href"/>
          <w:lang w:val="en-US"/>
        </w:rPr>
        <w:t>2206</w:t>
      </w:r>
    </w:p>
    <w:p w:rsidR="00D24B27" w:rsidRPr="00FF34BE" w:rsidRDefault="00D24B27" w:rsidP="004622CA">
      <w:pPr>
        <w:pStyle w:val="Reptitle"/>
        <w:rPr>
          <w:lang w:val="en-US" w:eastAsia="ja-JP"/>
        </w:rPr>
      </w:pPr>
      <w:bookmarkStart w:id="6" w:name="dbreak"/>
      <w:bookmarkEnd w:id="6"/>
      <w:r w:rsidRPr="00FF34BE">
        <w:rPr>
          <w:lang w:val="en-US" w:eastAsia="ja-JP"/>
        </w:rPr>
        <w:t>Sharing between the aeronautical mobile service</w:t>
      </w:r>
      <w:r w:rsidR="004622CA" w:rsidRPr="00FF34BE">
        <w:rPr>
          <w:lang w:val="en-US" w:eastAsia="ja-JP"/>
        </w:rPr>
        <w:br/>
      </w:r>
      <w:r w:rsidRPr="00FF34BE">
        <w:rPr>
          <w:lang w:val="en-US" w:eastAsia="ja-JP"/>
        </w:rPr>
        <w:t>and</w:t>
      </w:r>
      <w:r w:rsidR="004622CA" w:rsidRPr="00FF34BE">
        <w:rPr>
          <w:lang w:val="en-US" w:eastAsia="ja-JP"/>
        </w:rPr>
        <w:t xml:space="preserve"> </w:t>
      </w:r>
      <w:r w:rsidRPr="00FF34BE">
        <w:rPr>
          <w:lang w:val="en-US" w:eastAsia="ja-JP"/>
        </w:rPr>
        <w:t>the fixed service in the band 37-38 GHz</w:t>
      </w:r>
    </w:p>
    <w:p w:rsidR="004622CA" w:rsidRPr="00FF34BE" w:rsidRDefault="004622CA" w:rsidP="00D24B27">
      <w:pPr>
        <w:pStyle w:val="Repdate"/>
        <w:rPr>
          <w:lang w:val="en-US" w:eastAsia="ja-JP"/>
        </w:rPr>
      </w:pPr>
    </w:p>
    <w:p w:rsidR="004622CA" w:rsidRPr="00FF34BE" w:rsidRDefault="004622CA" w:rsidP="00D24B27">
      <w:pPr>
        <w:pStyle w:val="Repdate"/>
        <w:rPr>
          <w:lang w:val="en-US" w:eastAsia="ja-JP"/>
        </w:rPr>
      </w:pPr>
    </w:p>
    <w:p w:rsidR="00D24B27" w:rsidRPr="00FF34BE" w:rsidRDefault="004C088F" w:rsidP="00D24B27">
      <w:pPr>
        <w:pStyle w:val="Repdate"/>
        <w:rPr>
          <w:lang w:val="en-US" w:eastAsia="ja-JP"/>
        </w:rPr>
      </w:pPr>
      <w:r w:rsidRPr="00FF34BE">
        <w:rPr>
          <w:lang w:val="en-US" w:eastAsia="ja-JP"/>
        </w:rPr>
        <w:t>(2010)</w:t>
      </w:r>
    </w:p>
    <w:p w:rsidR="004C088F" w:rsidRPr="00FF34BE" w:rsidRDefault="004C088F" w:rsidP="004C088F">
      <w:pPr>
        <w:rPr>
          <w:lang w:val="en-US" w:eastAsia="ja-JP"/>
        </w:rPr>
      </w:pPr>
    </w:p>
    <w:p w:rsidR="004622CA" w:rsidRPr="00FF34BE" w:rsidRDefault="004622CA" w:rsidP="004C088F">
      <w:pPr>
        <w:rPr>
          <w:lang w:val="en-US" w:eastAsia="ja-JP"/>
        </w:rPr>
      </w:pPr>
    </w:p>
    <w:p w:rsidR="00D24B27" w:rsidRPr="00FF34BE" w:rsidRDefault="00D24B27" w:rsidP="00D24B27">
      <w:pPr>
        <w:jc w:val="center"/>
        <w:rPr>
          <w:lang w:val="en-US" w:eastAsia="ja-JP"/>
        </w:rPr>
      </w:pPr>
      <w:r w:rsidRPr="00FF34BE">
        <w:rPr>
          <w:lang w:val="en-US" w:eastAsia="ja-JP"/>
        </w:rPr>
        <w:t>TABLE OF CONTENTS</w:t>
      </w:r>
    </w:p>
    <w:p w:rsidR="00D24B27" w:rsidRPr="00FF34BE" w:rsidRDefault="004C088F" w:rsidP="004C088F">
      <w:pPr>
        <w:pStyle w:val="toc0"/>
        <w:rPr>
          <w:lang w:val="en-US" w:eastAsia="ja-JP"/>
        </w:rPr>
      </w:pPr>
      <w:r w:rsidRPr="00FF34BE">
        <w:rPr>
          <w:lang w:val="en-US" w:eastAsia="ja-JP"/>
        </w:rPr>
        <w:tab/>
        <w:t>Page</w:t>
      </w:r>
    </w:p>
    <w:p w:rsidR="002B36F3" w:rsidRPr="00FF34BE" w:rsidRDefault="002B36F3">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1</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Introduction</w:t>
      </w:r>
      <w:r w:rsidRPr="00FF34BE">
        <w:rPr>
          <w:noProof/>
          <w:webHidden/>
        </w:rPr>
        <w:tab/>
      </w:r>
      <w:r w:rsidRPr="00FF34BE">
        <w:rPr>
          <w:noProof/>
          <w:webHidden/>
        </w:rPr>
        <w:tab/>
        <w:t>2</w:t>
      </w:r>
    </w:p>
    <w:p w:rsidR="002B36F3" w:rsidRPr="00FF34BE" w:rsidRDefault="002B36F3">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2</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P-P FS system characteristics</w:t>
      </w:r>
      <w:r w:rsidRPr="00FF34BE">
        <w:rPr>
          <w:noProof/>
          <w:webHidden/>
        </w:rPr>
        <w:tab/>
      </w:r>
      <w:r w:rsidRPr="00FF34BE">
        <w:rPr>
          <w:noProof/>
          <w:webHidden/>
        </w:rPr>
        <w:tab/>
        <w:t>3</w:t>
      </w:r>
    </w:p>
    <w:p w:rsidR="002B36F3" w:rsidRPr="00FF34BE" w:rsidRDefault="002B36F3">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3</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Deployment of FS stations in the 38 GHz band in one country</w:t>
      </w:r>
      <w:r w:rsidRPr="00FF34BE">
        <w:rPr>
          <w:noProof/>
          <w:webHidden/>
        </w:rPr>
        <w:tab/>
      </w:r>
      <w:r w:rsidRPr="00FF34BE">
        <w:rPr>
          <w:noProof/>
          <w:webHidden/>
        </w:rPr>
        <w:tab/>
        <w:t>4</w:t>
      </w:r>
    </w:p>
    <w:p w:rsidR="002B36F3" w:rsidRPr="00FF34BE" w:rsidRDefault="002B36F3" w:rsidP="008C7CF8">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4</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Determination of an AMS pfd mask for the protection of FS</w:t>
      </w:r>
      <w:r w:rsidRPr="00FF34BE">
        <w:rPr>
          <w:noProof/>
          <w:webHidden/>
        </w:rPr>
        <w:tab/>
      </w:r>
      <w:r w:rsidRPr="00FF34BE">
        <w:rPr>
          <w:noProof/>
          <w:webHidden/>
        </w:rPr>
        <w:tab/>
      </w:r>
      <w:r w:rsidR="008C7CF8">
        <w:rPr>
          <w:noProof/>
          <w:webHidden/>
        </w:rPr>
        <w:t>4</w:t>
      </w:r>
    </w:p>
    <w:p w:rsidR="002B36F3" w:rsidRPr="00FF34BE" w:rsidRDefault="002B36F3">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4.1</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Existing mask in RR Article 21</w:t>
      </w:r>
      <w:r w:rsidR="008C7CF8">
        <w:rPr>
          <w:noProof/>
          <w:webHidden/>
        </w:rPr>
        <w:tab/>
      </w:r>
      <w:r w:rsidR="008C7CF8">
        <w:rPr>
          <w:noProof/>
          <w:webHidden/>
        </w:rPr>
        <w:tab/>
        <w:t>4</w:t>
      </w:r>
    </w:p>
    <w:p w:rsidR="002B36F3" w:rsidRPr="00FF34BE" w:rsidRDefault="002B36F3">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4.2</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Dynamic analysis</w:t>
      </w:r>
      <w:r w:rsidRPr="00FF34BE">
        <w:rPr>
          <w:noProof/>
          <w:webHidden/>
        </w:rPr>
        <w:tab/>
      </w:r>
      <w:r w:rsidRPr="00FF34BE">
        <w:rPr>
          <w:noProof/>
          <w:webHidden/>
        </w:rPr>
        <w:tab/>
        <w:t>6</w:t>
      </w:r>
    </w:p>
    <w:p w:rsidR="002B36F3" w:rsidRPr="00FF34BE" w:rsidRDefault="002B36F3" w:rsidP="008C7CF8">
      <w:pPr>
        <w:pStyle w:val="TOC1"/>
        <w:tabs>
          <w:tab w:val="clear" w:pos="567"/>
          <w:tab w:val="left" w:pos="1276"/>
        </w:tabs>
        <w:ind w:left="1276" w:hanging="709"/>
        <w:rPr>
          <w:rFonts w:asciiTheme="minorHAnsi" w:eastAsiaTheme="minorEastAsia" w:hAnsiTheme="minorHAnsi" w:cstheme="minorBidi"/>
          <w:noProof/>
          <w:sz w:val="22"/>
          <w:szCs w:val="22"/>
          <w:lang w:eastAsia="zh-CN"/>
        </w:rPr>
      </w:pPr>
      <w:r w:rsidRPr="00FF34BE">
        <w:rPr>
          <w:rStyle w:val="Hyperlink"/>
          <w:noProof/>
          <w:color w:val="auto"/>
          <w:u w:val="none"/>
        </w:rPr>
        <w:t>4.3</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Definition of a “combined” pfd mask FS/SRS</w:t>
      </w:r>
      <w:r w:rsidR="008C7CF8">
        <w:rPr>
          <w:noProof/>
          <w:webHidden/>
        </w:rPr>
        <w:tab/>
      </w:r>
      <w:r w:rsidR="008C7CF8">
        <w:rPr>
          <w:noProof/>
          <w:webHidden/>
        </w:rPr>
        <w:tab/>
        <w:t>9</w:t>
      </w:r>
    </w:p>
    <w:p w:rsidR="002B36F3" w:rsidRPr="00FF34BE" w:rsidRDefault="002B36F3">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4.4</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FS short-term criterion</w:t>
      </w:r>
      <w:r w:rsidR="008C7CF8">
        <w:rPr>
          <w:noProof/>
          <w:webHidden/>
        </w:rPr>
        <w:tab/>
      </w:r>
      <w:r w:rsidR="008C7CF8">
        <w:rPr>
          <w:noProof/>
          <w:webHidden/>
        </w:rPr>
        <w:tab/>
        <w:t>10</w:t>
      </w:r>
    </w:p>
    <w:p w:rsidR="002B36F3" w:rsidRPr="00FF34BE" w:rsidRDefault="002B36F3" w:rsidP="00406262">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4.5</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 xml:space="preserve">Protection of </w:t>
      </w:r>
      <w:r w:rsidR="00406262">
        <w:rPr>
          <w:rStyle w:val="Hyperlink"/>
          <w:noProof/>
          <w:color w:val="auto"/>
          <w:u w:val="none"/>
        </w:rPr>
        <w:t>point-to-multipoint</w:t>
      </w:r>
      <w:r w:rsidRPr="00FF34BE">
        <w:rPr>
          <w:rStyle w:val="Hyperlink"/>
          <w:noProof/>
          <w:color w:val="auto"/>
          <w:u w:val="none"/>
        </w:rPr>
        <w:t xml:space="preserve"> FS systems</w:t>
      </w:r>
      <w:r w:rsidR="008C7CF8">
        <w:rPr>
          <w:noProof/>
          <w:webHidden/>
        </w:rPr>
        <w:tab/>
      </w:r>
      <w:r w:rsidR="008C7CF8">
        <w:rPr>
          <w:noProof/>
          <w:webHidden/>
        </w:rPr>
        <w:tab/>
        <w:t>10</w:t>
      </w:r>
    </w:p>
    <w:p w:rsidR="002B36F3" w:rsidRPr="00FF34BE" w:rsidRDefault="002B36F3">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5</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Impact of the FS on AMS receivers</w:t>
      </w:r>
      <w:r w:rsidR="008C7CF8">
        <w:rPr>
          <w:noProof/>
          <w:webHidden/>
        </w:rPr>
        <w:tab/>
      </w:r>
      <w:r w:rsidR="008C7CF8">
        <w:rPr>
          <w:noProof/>
          <w:webHidden/>
        </w:rPr>
        <w:tab/>
        <w:t>11</w:t>
      </w:r>
    </w:p>
    <w:p w:rsidR="002B36F3" w:rsidRPr="00FF34BE" w:rsidRDefault="002B36F3">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5.1</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Aeronautical mobile service parameters</w:t>
      </w:r>
      <w:r w:rsidR="008C7CF8">
        <w:rPr>
          <w:noProof/>
          <w:webHidden/>
        </w:rPr>
        <w:tab/>
      </w:r>
      <w:r w:rsidR="008C7CF8">
        <w:rPr>
          <w:noProof/>
          <w:webHidden/>
        </w:rPr>
        <w:tab/>
        <w:t>11</w:t>
      </w:r>
    </w:p>
    <w:p w:rsidR="002B36F3" w:rsidRPr="00FF34BE" w:rsidRDefault="002B36F3">
      <w:pPr>
        <w:pStyle w:val="TOC2"/>
        <w:rPr>
          <w:rFonts w:asciiTheme="minorHAnsi" w:eastAsiaTheme="minorEastAsia" w:hAnsiTheme="minorHAnsi" w:cstheme="minorBidi"/>
          <w:noProof/>
          <w:sz w:val="22"/>
          <w:szCs w:val="22"/>
          <w:lang w:eastAsia="zh-CN"/>
        </w:rPr>
      </w:pPr>
      <w:r w:rsidRPr="00FF34BE">
        <w:rPr>
          <w:rStyle w:val="Hyperlink"/>
          <w:noProof/>
          <w:color w:val="auto"/>
          <w:u w:val="none"/>
        </w:rPr>
        <w:t>5.2</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Simulation parameters</w:t>
      </w:r>
      <w:r w:rsidRPr="00FF34BE">
        <w:rPr>
          <w:noProof/>
          <w:webHidden/>
        </w:rPr>
        <w:tab/>
      </w:r>
      <w:r w:rsidRPr="00FF34BE">
        <w:rPr>
          <w:noProof/>
          <w:webHidden/>
        </w:rPr>
        <w:tab/>
        <w:t>12</w:t>
      </w:r>
    </w:p>
    <w:p w:rsidR="002B36F3" w:rsidRPr="00FF34BE" w:rsidRDefault="002B36F3">
      <w:pPr>
        <w:pStyle w:val="TOC1"/>
        <w:rPr>
          <w:rFonts w:asciiTheme="minorHAnsi" w:eastAsiaTheme="minorEastAsia" w:hAnsiTheme="minorHAnsi" w:cstheme="minorBidi"/>
          <w:noProof/>
          <w:sz w:val="22"/>
          <w:szCs w:val="22"/>
          <w:lang w:eastAsia="zh-CN"/>
        </w:rPr>
      </w:pPr>
      <w:r w:rsidRPr="00FF34BE">
        <w:rPr>
          <w:rStyle w:val="Hyperlink"/>
          <w:noProof/>
          <w:color w:val="auto"/>
          <w:u w:val="none"/>
        </w:rPr>
        <w:t>6</w:t>
      </w:r>
      <w:r w:rsidRPr="00FF34BE">
        <w:rPr>
          <w:rFonts w:asciiTheme="minorHAnsi" w:eastAsiaTheme="minorEastAsia" w:hAnsiTheme="minorHAnsi" w:cstheme="minorBidi"/>
          <w:noProof/>
          <w:sz w:val="22"/>
          <w:szCs w:val="22"/>
          <w:lang w:eastAsia="zh-CN"/>
        </w:rPr>
        <w:tab/>
      </w:r>
      <w:r w:rsidRPr="00FF34BE">
        <w:rPr>
          <w:rStyle w:val="Hyperlink"/>
          <w:noProof/>
          <w:color w:val="auto"/>
          <w:u w:val="none"/>
        </w:rPr>
        <w:t>Conclusion</w:t>
      </w:r>
      <w:r w:rsidR="008C7CF8">
        <w:rPr>
          <w:noProof/>
          <w:webHidden/>
        </w:rPr>
        <w:tab/>
      </w:r>
      <w:r w:rsidR="008C7CF8">
        <w:rPr>
          <w:noProof/>
          <w:webHidden/>
        </w:rPr>
        <w:tab/>
        <w:t>14</w:t>
      </w:r>
    </w:p>
    <w:p w:rsidR="004C088F" w:rsidRPr="00FF34BE" w:rsidRDefault="004C088F" w:rsidP="004C088F">
      <w:pPr>
        <w:rPr>
          <w:lang w:val="en-US" w:eastAsia="ja-JP"/>
        </w:rPr>
      </w:pPr>
    </w:p>
    <w:p w:rsidR="004622CA" w:rsidRPr="00FF34BE" w:rsidRDefault="004622CA" w:rsidP="004C088F">
      <w:pPr>
        <w:rPr>
          <w:lang w:val="en-US" w:eastAsia="ja-JP"/>
        </w:rPr>
      </w:pPr>
    </w:p>
    <w:p w:rsidR="004622CA" w:rsidRPr="00FF34BE" w:rsidRDefault="004622CA" w:rsidP="004C088F">
      <w:pPr>
        <w:rPr>
          <w:lang w:val="en-US" w:eastAsia="ja-JP"/>
        </w:rPr>
      </w:pPr>
    </w:p>
    <w:p w:rsidR="00D24B27" w:rsidRPr="00FF34BE" w:rsidRDefault="00D24B27" w:rsidP="000B4B78">
      <w:pPr>
        <w:pStyle w:val="Headingb"/>
        <w:rPr>
          <w:lang w:val="en-US" w:eastAsia="ja-JP"/>
        </w:rPr>
      </w:pPr>
      <w:r w:rsidRPr="00FF34BE">
        <w:rPr>
          <w:lang w:val="en-US" w:eastAsia="ja-JP"/>
        </w:rPr>
        <w:t>Objective</w:t>
      </w:r>
    </w:p>
    <w:p w:rsidR="00D24B27" w:rsidRPr="00FF34BE" w:rsidRDefault="00D24B27" w:rsidP="004622CA">
      <w:pPr>
        <w:rPr>
          <w:lang w:val="en-US" w:eastAsia="ja-JP"/>
        </w:rPr>
      </w:pPr>
      <w:r w:rsidRPr="00FF34BE">
        <w:rPr>
          <w:lang w:val="en-US" w:eastAsia="ja-JP"/>
        </w:rPr>
        <w:t xml:space="preserve">This Report gives the results of sharing studies between the aeronautical mobile service and the fixed service in the band 37-38 GHz performed under the framework of WRC-12 Agenda </w:t>
      </w:r>
      <w:r w:rsidR="000B4B78" w:rsidRPr="00FF34BE">
        <w:rPr>
          <w:lang w:val="en-US" w:eastAsia="ja-JP"/>
        </w:rPr>
        <w:t>i</w:t>
      </w:r>
      <w:r w:rsidRPr="00FF34BE">
        <w:rPr>
          <w:lang w:val="en-US" w:eastAsia="ja-JP"/>
        </w:rPr>
        <w:t>tem 1.12</w:t>
      </w:r>
      <w:r w:rsidRPr="00FF34BE">
        <w:rPr>
          <w:rStyle w:val="FootnoteReference"/>
          <w:position w:val="0"/>
          <w:sz w:val="24"/>
          <w:vertAlign w:val="superscript"/>
          <w:lang w:val="en-US"/>
        </w:rPr>
        <w:footnoteReference w:id="1"/>
      </w:r>
      <w:r w:rsidRPr="00FF34BE">
        <w:rPr>
          <w:lang w:val="en-US" w:eastAsia="ja-JP"/>
        </w:rPr>
        <w:t>.</w:t>
      </w:r>
    </w:p>
    <w:p w:rsidR="00D24B27" w:rsidRPr="00FF34BE" w:rsidRDefault="00D24B27" w:rsidP="000B4B78">
      <w:pPr>
        <w:pStyle w:val="Headingb"/>
        <w:rPr>
          <w:lang w:val="en-US" w:eastAsia="ja-JP"/>
        </w:rPr>
      </w:pPr>
      <w:r w:rsidRPr="00FF34BE">
        <w:rPr>
          <w:lang w:val="en-US" w:eastAsia="ja-JP"/>
        </w:rPr>
        <w:lastRenderedPageBreak/>
        <w:t>Abbreviations</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AMS</w:t>
      </w:r>
      <w:r w:rsidRPr="00FF34BE">
        <w:rPr>
          <w:lang w:val="en-US" w:eastAsia="ja-JP"/>
        </w:rPr>
        <w:tab/>
        <w:t>Aeronautical mobile service</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FDMA</w:t>
      </w:r>
      <w:r w:rsidRPr="00FF34BE">
        <w:rPr>
          <w:lang w:val="en-US" w:eastAsia="ja-JP"/>
        </w:rPr>
        <w:tab/>
        <w:t>Frequency-division multiple access</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FDP</w:t>
      </w:r>
      <w:r w:rsidRPr="00FF34BE">
        <w:rPr>
          <w:lang w:val="en-US" w:eastAsia="ja-JP"/>
        </w:rPr>
        <w:tab/>
        <w:t>Fractional degradation in performance</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FS</w:t>
      </w:r>
      <w:r w:rsidRPr="00FF34BE">
        <w:rPr>
          <w:lang w:val="en-US" w:eastAsia="ja-JP"/>
        </w:rPr>
        <w:tab/>
        <w:t>Fixed service</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FSS</w:t>
      </w:r>
      <w:r w:rsidRPr="00FF34BE">
        <w:rPr>
          <w:lang w:val="en-US" w:eastAsia="ja-JP"/>
        </w:rPr>
        <w:tab/>
        <w:t>Fixed-satellite service</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GSO</w:t>
      </w:r>
      <w:r w:rsidRPr="00FF34BE">
        <w:rPr>
          <w:lang w:val="en-US" w:eastAsia="ja-JP"/>
        </w:rPr>
        <w:tab/>
        <w:t>Geostationary satellite orbit</w:t>
      </w:r>
    </w:p>
    <w:p w:rsidR="00B7412F" w:rsidRPr="00FF34BE" w:rsidRDefault="00B7412F" w:rsidP="000B4B78">
      <w:pPr>
        <w:keepNext/>
        <w:keepLines/>
        <w:tabs>
          <w:tab w:val="clear" w:pos="794"/>
          <w:tab w:val="clear" w:pos="1191"/>
          <w:tab w:val="clear" w:pos="1588"/>
          <w:tab w:val="clear" w:pos="1985"/>
          <w:tab w:val="left" w:pos="1242"/>
        </w:tabs>
        <w:jc w:val="left"/>
        <w:rPr>
          <w:lang w:val="en-US" w:eastAsia="ja-JP"/>
        </w:rPr>
      </w:pPr>
      <w:r w:rsidRPr="00FF34BE">
        <w:rPr>
          <w:lang w:val="en-US" w:eastAsia="ja-JP"/>
        </w:rPr>
        <w:t>HDFS</w:t>
      </w:r>
      <w:r w:rsidRPr="00FF34BE">
        <w:rPr>
          <w:lang w:val="en-US" w:eastAsia="ja-JP"/>
        </w:rPr>
        <w:tab/>
        <w:t>High density applications in the fixed service</w:t>
      </w:r>
    </w:p>
    <w:p w:rsidR="00B7412F" w:rsidRPr="00FF34BE" w:rsidRDefault="00B7412F" w:rsidP="00D24B27">
      <w:pPr>
        <w:tabs>
          <w:tab w:val="clear" w:pos="794"/>
          <w:tab w:val="clear" w:pos="1191"/>
          <w:tab w:val="clear" w:pos="1588"/>
          <w:tab w:val="clear" w:pos="1985"/>
          <w:tab w:val="left" w:pos="1242"/>
        </w:tabs>
        <w:jc w:val="left"/>
        <w:rPr>
          <w:lang w:val="en-US" w:eastAsia="ja-JP"/>
        </w:rPr>
      </w:pPr>
      <w:r w:rsidRPr="00FF34BE">
        <w:rPr>
          <w:lang w:val="en-US" w:eastAsia="ja-JP"/>
        </w:rPr>
        <w:t>MSS</w:t>
      </w:r>
      <w:r w:rsidRPr="00FF34BE">
        <w:rPr>
          <w:lang w:val="en-US" w:eastAsia="ja-JP"/>
        </w:rPr>
        <w:tab/>
        <w:t>Mobile-satellite service</w:t>
      </w:r>
    </w:p>
    <w:p w:rsidR="00B7412F" w:rsidRPr="00FF34BE" w:rsidRDefault="00B7412F" w:rsidP="00B7412F">
      <w:pPr>
        <w:tabs>
          <w:tab w:val="clear" w:pos="794"/>
          <w:tab w:val="clear" w:pos="1191"/>
          <w:tab w:val="clear" w:pos="1588"/>
          <w:tab w:val="clear" w:pos="1985"/>
          <w:tab w:val="left" w:pos="1242"/>
        </w:tabs>
        <w:jc w:val="left"/>
        <w:rPr>
          <w:lang w:val="en-US" w:eastAsia="ja-JP"/>
        </w:rPr>
      </w:pPr>
      <w:r w:rsidRPr="00FF34BE">
        <w:rPr>
          <w:lang w:val="en-US" w:eastAsia="ja-JP"/>
        </w:rPr>
        <w:t>P-MP</w:t>
      </w:r>
      <w:r w:rsidRPr="00FF34BE">
        <w:rPr>
          <w:lang w:val="en-US" w:eastAsia="ja-JP"/>
        </w:rPr>
        <w:tab/>
        <w:t>Point-to-multipoint</w:t>
      </w:r>
    </w:p>
    <w:p w:rsidR="00B7412F" w:rsidRPr="00FF34BE" w:rsidRDefault="00B7412F" w:rsidP="00D24B27">
      <w:pPr>
        <w:tabs>
          <w:tab w:val="clear" w:pos="794"/>
          <w:tab w:val="clear" w:pos="1191"/>
          <w:tab w:val="clear" w:pos="1588"/>
          <w:tab w:val="clear" w:pos="1985"/>
          <w:tab w:val="left" w:pos="1242"/>
        </w:tabs>
        <w:jc w:val="left"/>
        <w:rPr>
          <w:lang w:val="en-US" w:eastAsia="ja-JP"/>
        </w:rPr>
      </w:pPr>
      <w:r w:rsidRPr="00FF34BE">
        <w:rPr>
          <w:lang w:val="en-US" w:eastAsia="ja-JP"/>
        </w:rPr>
        <w:t>P-P</w:t>
      </w:r>
      <w:r w:rsidRPr="00FF34BE">
        <w:rPr>
          <w:lang w:val="en-US" w:eastAsia="ja-JP"/>
        </w:rPr>
        <w:tab/>
        <w:t>Point-to-point</w:t>
      </w:r>
    </w:p>
    <w:p w:rsidR="00B7412F" w:rsidRPr="00FF34BE" w:rsidRDefault="00B7412F" w:rsidP="00D24B27">
      <w:pPr>
        <w:tabs>
          <w:tab w:val="clear" w:pos="794"/>
          <w:tab w:val="clear" w:pos="1191"/>
          <w:tab w:val="clear" w:pos="1588"/>
          <w:tab w:val="clear" w:pos="1985"/>
          <w:tab w:val="left" w:pos="1242"/>
        </w:tabs>
        <w:jc w:val="left"/>
        <w:rPr>
          <w:lang w:val="en-US" w:eastAsia="ja-JP"/>
        </w:rPr>
      </w:pPr>
      <w:r w:rsidRPr="00FF34BE">
        <w:rPr>
          <w:lang w:val="en-US" w:eastAsia="ja-JP"/>
        </w:rPr>
        <w:t>SRS</w:t>
      </w:r>
      <w:r w:rsidRPr="00FF34BE">
        <w:rPr>
          <w:lang w:val="en-US" w:eastAsia="ja-JP"/>
        </w:rPr>
        <w:tab/>
        <w:t>Space research service</w:t>
      </w:r>
    </w:p>
    <w:p w:rsidR="00B7412F" w:rsidRPr="00FF34BE" w:rsidRDefault="00B7412F" w:rsidP="00D24B27">
      <w:pPr>
        <w:tabs>
          <w:tab w:val="clear" w:pos="794"/>
          <w:tab w:val="clear" w:pos="1191"/>
          <w:tab w:val="clear" w:pos="1588"/>
          <w:tab w:val="clear" w:pos="1985"/>
          <w:tab w:val="left" w:pos="1242"/>
        </w:tabs>
        <w:jc w:val="left"/>
        <w:rPr>
          <w:sz w:val="22"/>
          <w:lang w:val="en-US" w:eastAsia="ja-JP"/>
        </w:rPr>
      </w:pPr>
      <w:r w:rsidRPr="00FF34BE">
        <w:rPr>
          <w:lang w:val="en-US" w:eastAsia="ja-JP"/>
        </w:rPr>
        <w:t>WAIC</w:t>
      </w:r>
      <w:r w:rsidRPr="00FF34BE">
        <w:rPr>
          <w:sz w:val="22"/>
          <w:lang w:val="en-US" w:eastAsia="ja-JP"/>
        </w:rPr>
        <w:tab/>
      </w:r>
      <w:r w:rsidRPr="00FF34BE">
        <w:rPr>
          <w:lang w:val="en-US" w:eastAsia="ja-JP"/>
        </w:rPr>
        <w:t>Wireless avionics intra-aircraft communications</w:t>
      </w:r>
    </w:p>
    <w:p w:rsidR="00D24B27" w:rsidRPr="00FF34BE" w:rsidRDefault="00D24B27" w:rsidP="00406262">
      <w:pPr>
        <w:pStyle w:val="Reftitle"/>
        <w:rPr>
          <w:lang w:val="en-US" w:eastAsia="ja-JP"/>
        </w:rPr>
      </w:pPr>
      <w:r w:rsidRPr="00FF34BE">
        <w:rPr>
          <w:lang w:val="en-US" w:eastAsia="ja-JP"/>
        </w:rPr>
        <w:t>References</w:t>
      </w:r>
    </w:p>
    <w:p w:rsidR="00406262" w:rsidRDefault="00406262" w:rsidP="00406262">
      <w:pPr>
        <w:pStyle w:val="Reftext"/>
        <w:rPr>
          <w:lang w:val="en-US" w:eastAsia="ja-JP"/>
        </w:rPr>
      </w:pPr>
    </w:p>
    <w:p w:rsidR="00D24B27" w:rsidRPr="00FF34BE" w:rsidRDefault="00D24B27" w:rsidP="00406262">
      <w:pPr>
        <w:pStyle w:val="Reftext"/>
        <w:rPr>
          <w:lang w:val="en-US" w:eastAsia="ja-JP"/>
        </w:rPr>
      </w:pPr>
      <w:r w:rsidRPr="00FF34BE">
        <w:rPr>
          <w:lang w:val="en-US" w:eastAsia="ja-JP"/>
        </w:rPr>
        <w:t>Recommendation ITU-R F.758</w:t>
      </w:r>
      <w:r w:rsidR="00B7412F" w:rsidRPr="00FF34BE">
        <w:rPr>
          <w:lang w:val="en-US" w:eastAsia="ja-JP"/>
        </w:rPr>
        <w:t xml:space="preserve"> – </w:t>
      </w:r>
      <w:r w:rsidR="00EB7B75" w:rsidRPr="00FF34BE">
        <w:rPr>
          <w:lang w:val="en-US"/>
        </w:rPr>
        <w:t>Considerations in the development of criteria for sharing between the</w:t>
      </w:r>
      <w:r w:rsidR="00406262">
        <w:rPr>
          <w:lang w:val="en-US"/>
        </w:rPr>
        <w:t xml:space="preserve"> terrestrial</w:t>
      </w:r>
      <w:r w:rsidR="00EB7B75" w:rsidRPr="00FF34BE">
        <w:rPr>
          <w:lang w:val="en-US"/>
        </w:rPr>
        <w:t xml:space="preserve"> fixed service and other services</w:t>
      </w:r>
    </w:p>
    <w:p w:rsidR="00D24B27" w:rsidRPr="00FF34BE" w:rsidRDefault="00D24B27" w:rsidP="00406262">
      <w:pPr>
        <w:pStyle w:val="Reftext"/>
        <w:rPr>
          <w:rFonts w:asciiTheme="majorBidi" w:hAnsiTheme="majorBidi" w:cstheme="majorBidi"/>
          <w:szCs w:val="24"/>
          <w:lang w:val="en-US" w:eastAsia="ja-JP"/>
        </w:rPr>
      </w:pPr>
      <w:r w:rsidRPr="00FF34BE">
        <w:rPr>
          <w:lang w:val="en-US" w:eastAsia="ja-JP"/>
        </w:rPr>
        <w:t>Recommendation ITU-R F.1245</w:t>
      </w:r>
      <w:r w:rsidR="00B7412F" w:rsidRPr="00FF34BE">
        <w:rPr>
          <w:lang w:val="en-US" w:eastAsia="ja-JP"/>
        </w:rPr>
        <w:t xml:space="preserve"> </w:t>
      </w:r>
      <w:r w:rsidR="00B7412F" w:rsidRPr="00FF34BE">
        <w:rPr>
          <w:rFonts w:asciiTheme="majorBidi" w:hAnsiTheme="majorBidi" w:cstheme="majorBidi"/>
          <w:szCs w:val="24"/>
          <w:lang w:val="en-US" w:eastAsia="ja-JP"/>
        </w:rPr>
        <w:t xml:space="preserve">– </w:t>
      </w:r>
      <w:r w:rsidR="00EB7B75" w:rsidRPr="00FF34BE">
        <w:rPr>
          <w:rFonts w:asciiTheme="majorBidi" w:hAnsiTheme="majorBidi" w:cstheme="majorBidi"/>
          <w:szCs w:val="24"/>
          <w:lang w:val="en-US"/>
        </w:rPr>
        <w:t>Mathematical model of average radiation patterns for line</w:t>
      </w:r>
      <w:r w:rsidR="00EB7B75" w:rsidRPr="00FF34BE">
        <w:rPr>
          <w:rFonts w:asciiTheme="majorBidi" w:hAnsiTheme="majorBidi" w:cstheme="majorBidi"/>
          <w:szCs w:val="24"/>
          <w:lang w:val="en-US"/>
        </w:rPr>
        <w:noBreakHyphen/>
        <w:t>of</w:t>
      </w:r>
      <w:r w:rsidR="00EB7B75" w:rsidRPr="00FF34BE">
        <w:rPr>
          <w:rFonts w:asciiTheme="majorBidi" w:hAnsiTheme="majorBidi" w:cstheme="majorBidi"/>
          <w:szCs w:val="24"/>
          <w:lang w:val="en-US"/>
        </w:rPr>
        <w:noBreakHyphen/>
        <w:t>sight point-to-point radio-relay system antennas for use in certain coordination studies and interference assessment in the frequency range from 1 GHz to about 70 GHz</w:t>
      </w:r>
    </w:p>
    <w:p w:rsidR="00D24B27" w:rsidRPr="00FF34BE" w:rsidRDefault="00D24B27" w:rsidP="00406262">
      <w:pPr>
        <w:pStyle w:val="Reftext"/>
        <w:rPr>
          <w:b/>
          <w:bCs/>
          <w:lang w:val="en-US" w:eastAsia="ja-JP"/>
        </w:rPr>
      </w:pPr>
      <w:r w:rsidRPr="00FF34BE">
        <w:rPr>
          <w:lang w:val="en-US" w:eastAsia="ja-JP"/>
        </w:rPr>
        <w:t>Recommendation ITU-R F.1094</w:t>
      </w:r>
      <w:r w:rsidR="00B7412F" w:rsidRPr="00FF34BE">
        <w:rPr>
          <w:lang w:val="en-US" w:eastAsia="ja-JP"/>
        </w:rPr>
        <w:t xml:space="preserve"> – </w:t>
      </w:r>
      <w:r w:rsidR="00EB7B75" w:rsidRPr="00FF34BE">
        <w:rPr>
          <w:lang w:val="en-US"/>
        </w:rPr>
        <w:t>Maximum allowable error performance and availability degradations to digital fixed wireless systems arising from radio interference from emissions and radiations from other sources</w:t>
      </w:r>
    </w:p>
    <w:p w:rsidR="00D24B27" w:rsidRPr="00FF34BE" w:rsidRDefault="00D24B27" w:rsidP="00EB7B75">
      <w:pPr>
        <w:pStyle w:val="Heading1"/>
        <w:rPr>
          <w:lang w:val="en-US"/>
        </w:rPr>
      </w:pPr>
      <w:bookmarkStart w:id="7" w:name="_Toc284424042"/>
      <w:bookmarkStart w:id="8" w:name="_Toc284425219"/>
      <w:bookmarkStart w:id="9" w:name="_Toc284425397"/>
      <w:r w:rsidRPr="00FF34BE">
        <w:rPr>
          <w:lang w:val="en-US"/>
        </w:rPr>
        <w:t>1</w:t>
      </w:r>
      <w:r w:rsidRPr="00FF34BE">
        <w:rPr>
          <w:lang w:val="en-US"/>
        </w:rPr>
        <w:tab/>
        <w:t>Introduction</w:t>
      </w:r>
      <w:bookmarkEnd w:id="7"/>
      <w:bookmarkEnd w:id="8"/>
      <w:bookmarkEnd w:id="9"/>
    </w:p>
    <w:p w:rsidR="00D24B27" w:rsidRPr="00FF34BE" w:rsidRDefault="00D24B27" w:rsidP="00D24B27">
      <w:pPr>
        <w:rPr>
          <w:szCs w:val="24"/>
          <w:lang w:val="en-US"/>
        </w:rPr>
      </w:pPr>
      <w:r w:rsidRPr="00FF34BE">
        <w:rPr>
          <w:szCs w:val="24"/>
          <w:lang w:val="en-US"/>
        </w:rPr>
        <w:t xml:space="preserve">WRC-12 Agenda item 1.12 </w:t>
      </w:r>
      <w:r w:rsidRPr="00FF34BE">
        <w:rPr>
          <w:color w:val="000000"/>
          <w:szCs w:val="24"/>
          <w:lang w:val="en-US"/>
        </w:rPr>
        <w:t>deals with the</w:t>
      </w:r>
      <w:r w:rsidRPr="00FF34BE">
        <w:rPr>
          <w:szCs w:val="24"/>
          <w:lang w:val="en-US"/>
        </w:rPr>
        <w:t xml:space="preserve"> protection of primary services in the band 37-38 GHz from interference resulting from aeronautical mobile service operations, taking into account the results of ITU</w:t>
      </w:r>
      <w:r w:rsidRPr="00FF34BE">
        <w:rPr>
          <w:szCs w:val="24"/>
          <w:lang w:val="en-US"/>
        </w:rPr>
        <w:noBreakHyphen/>
        <w:t>R studies, in accordance with Resolution 754 (WRC-07).</w:t>
      </w:r>
    </w:p>
    <w:p w:rsidR="00D24B27" w:rsidRPr="00FF34BE" w:rsidRDefault="00D24B27" w:rsidP="00D24B27">
      <w:pPr>
        <w:rPr>
          <w:szCs w:val="24"/>
          <w:lang w:val="en-US"/>
        </w:rPr>
      </w:pPr>
      <w:r w:rsidRPr="00FF34BE">
        <w:rPr>
          <w:szCs w:val="24"/>
          <w:lang w:val="en-US"/>
        </w:rPr>
        <w:t xml:space="preserve">This Resolution </w:t>
      </w:r>
      <w:r w:rsidRPr="00FF34BE">
        <w:rPr>
          <w:i/>
          <w:szCs w:val="24"/>
          <w:lang w:val="en-US"/>
        </w:rPr>
        <w:t>resolves</w:t>
      </w:r>
    </w:p>
    <w:p w:rsidR="00D24B27" w:rsidRPr="00FF34BE" w:rsidRDefault="00D24B27" w:rsidP="00D24B27">
      <w:pPr>
        <w:rPr>
          <w:szCs w:val="24"/>
          <w:lang w:val="en-US"/>
        </w:rPr>
      </w:pPr>
      <w:r w:rsidRPr="00FF34BE">
        <w:rPr>
          <w:b/>
          <w:bCs/>
          <w:szCs w:val="24"/>
          <w:lang w:val="en-US"/>
        </w:rPr>
        <w:t>1</w:t>
      </w:r>
      <w:r w:rsidRPr="00FF34BE">
        <w:rPr>
          <w:szCs w:val="24"/>
          <w:lang w:val="en-US"/>
        </w:rPr>
        <w:tab/>
        <w:t>to invite ITU</w:t>
      </w:r>
      <w:r w:rsidRPr="00FF34BE">
        <w:rPr>
          <w:szCs w:val="24"/>
          <w:lang w:val="en-US"/>
        </w:rPr>
        <w:noBreakHyphen/>
        <w:t xml:space="preserve">R to conduct appropriate studies involving the aeronautical mobile service and the affected primary services in the band 37-38 GHz in order to determine the compatibility of the aeronautical mobile service with these other services; </w:t>
      </w:r>
    </w:p>
    <w:p w:rsidR="00D24B27" w:rsidRPr="00FF34BE" w:rsidRDefault="00D24B27" w:rsidP="00D24B27">
      <w:pPr>
        <w:rPr>
          <w:szCs w:val="24"/>
          <w:lang w:val="en-US"/>
        </w:rPr>
      </w:pPr>
      <w:r w:rsidRPr="00FF34BE">
        <w:rPr>
          <w:b/>
          <w:bCs/>
          <w:szCs w:val="24"/>
          <w:lang w:val="en-US"/>
        </w:rPr>
        <w:t>2</w:t>
      </w:r>
      <w:r w:rsidRPr="00FF34BE">
        <w:rPr>
          <w:szCs w:val="24"/>
          <w:lang w:val="en-US"/>
        </w:rPr>
        <w:tab/>
        <w:t>to invite WRC</w:t>
      </w:r>
      <w:r w:rsidRPr="00FF34BE">
        <w:rPr>
          <w:szCs w:val="24"/>
          <w:lang w:val="en-US"/>
        </w:rPr>
        <w:noBreakHyphen/>
        <w:t xml:space="preserve">12 to review the results of the studies under </w:t>
      </w:r>
      <w:r w:rsidRPr="00FF34BE">
        <w:rPr>
          <w:i/>
          <w:szCs w:val="24"/>
          <w:lang w:val="en-US"/>
        </w:rPr>
        <w:t>resolves</w:t>
      </w:r>
      <w:r w:rsidRPr="00FF34BE">
        <w:rPr>
          <w:szCs w:val="24"/>
          <w:lang w:val="en-US"/>
        </w:rPr>
        <w:t xml:space="preserve"> 1 and consider the inclusion of any appropriate compatibility criteria within the Radio Regulations </w:t>
      </w:r>
      <w:r w:rsidR="00EB7B75" w:rsidRPr="00FF34BE">
        <w:rPr>
          <w:szCs w:val="24"/>
          <w:lang w:val="en-US"/>
        </w:rPr>
        <w:t xml:space="preserve">(RR) </w:t>
      </w:r>
      <w:r w:rsidRPr="00FF34BE">
        <w:rPr>
          <w:szCs w:val="24"/>
          <w:lang w:val="en-US"/>
        </w:rPr>
        <w:t>or appropriate modifications to the Table of Frequency Allocations.</w:t>
      </w:r>
    </w:p>
    <w:p w:rsidR="00D24B27" w:rsidRPr="00FF34BE" w:rsidRDefault="00D24B27" w:rsidP="000B4B78">
      <w:pPr>
        <w:rPr>
          <w:szCs w:val="24"/>
          <w:lang w:val="en-US"/>
        </w:rPr>
      </w:pPr>
      <w:r w:rsidRPr="00FF34BE">
        <w:rPr>
          <w:szCs w:val="24"/>
          <w:lang w:val="en-US"/>
        </w:rPr>
        <w:t xml:space="preserve">This </w:t>
      </w:r>
      <w:r w:rsidR="00EB7B75" w:rsidRPr="00FF34BE">
        <w:rPr>
          <w:szCs w:val="24"/>
          <w:lang w:val="en-US"/>
        </w:rPr>
        <w:t>R</w:t>
      </w:r>
      <w:r w:rsidRPr="00FF34BE">
        <w:rPr>
          <w:szCs w:val="24"/>
          <w:lang w:val="en-US"/>
        </w:rPr>
        <w:t xml:space="preserve">eport analyses the protection of FS station receivers from interference that may occur from aircraft station transmitters operating under the mobile service primary allocation. The paper essentially addresses the case of </w:t>
      </w:r>
      <w:r w:rsidR="000B4B78" w:rsidRPr="00FF34BE">
        <w:rPr>
          <w:szCs w:val="24"/>
          <w:lang w:val="en-US"/>
        </w:rPr>
        <w:t>point-to-point (</w:t>
      </w:r>
      <w:r w:rsidR="00EB7B75" w:rsidRPr="00FF34BE">
        <w:rPr>
          <w:szCs w:val="24"/>
          <w:lang w:val="en-US"/>
        </w:rPr>
        <w:t>P-P</w:t>
      </w:r>
      <w:r w:rsidR="000B4B78" w:rsidRPr="00FF34BE">
        <w:rPr>
          <w:szCs w:val="24"/>
          <w:lang w:val="en-US"/>
        </w:rPr>
        <w:t>)</w:t>
      </w:r>
      <w:r w:rsidR="00EB7B75" w:rsidRPr="00FF34BE">
        <w:rPr>
          <w:szCs w:val="24"/>
          <w:lang w:val="en-US"/>
        </w:rPr>
        <w:t xml:space="preserve"> </w:t>
      </w:r>
      <w:r w:rsidRPr="00FF34BE">
        <w:rPr>
          <w:szCs w:val="24"/>
          <w:lang w:val="en-US"/>
        </w:rPr>
        <w:t xml:space="preserve">FS stations. However, it is expected that the pfd mask derived for the protection of </w:t>
      </w:r>
      <w:r w:rsidR="00EB7B75" w:rsidRPr="00FF34BE">
        <w:rPr>
          <w:szCs w:val="24"/>
          <w:lang w:val="en-US"/>
        </w:rPr>
        <w:t xml:space="preserve">P-P </w:t>
      </w:r>
      <w:r w:rsidRPr="00FF34BE">
        <w:rPr>
          <w:szCs w:val="24"/>
          <w:lang w:val="en-US"/>
        </w:rPr>
        <w:t xml:space="preserve">systems will also cover the protection of </w:t>
      </w:r>
      <w:r w:rsidR="000B4B78" w:rsidRPr="00FF34BE">
        <w:rPr>
          <w:szCs w:val="24"/>
          <w:lang w:val="en-US"/>
        </w:rPr>
        <w:t>point</w:t>
      </w:r>
      <w:r w:rsidR="000B4B78" w:rsidRPr="00FF34BE">
        <w:rPr>
          <w:szCs w:val="24"/>
          <w:lang w:val="en-US"/>
        </w:rPr>
        <w:noBreakHyphen/>
        <w:t>to</w:t>
      </w:r>
      <w:r w:rsidR="000B4B78" w:rsidRPr="00FF34BE">
        <w:rPr>
          <w:szCs w:val="24"/>
          <w:lang w:val="en-US"/>
        </w:rPr>
        <w:noBreakHyphen/>
        <w:t>multipoint (</w:t>
      </w:r>
      <w:r w:rsidR="00EB7B75" w:rsidRPr="00FF34BE">
        <w:rPr>
          <w:szCs w:val="24"/>
          <w:lang w:val="en-US"/>
        </w:rPr>
        <w:t>P-MP</w:t>
      </w:r>
      <w:r w:rsidR="000B4B78" w:rsidRPr="00FF34BE">
        <w:rPr>
          <w:szCs w:val="24"/>
          <w:lang w:val="en-US"/>
        </w:rPr>
        <w:t>)</w:t>
      </w:r>
      <w:r w:rsidR="00EB7B75" w:rsidRPr="00FF34BE">
        <w:rPr>
          <w:szCs w:val="24"/>
          <w:lang w:val="en-US"/>
        </w:rPr>
        <w:t xml:space="preserve"> </w:t>
      </w:r>
      <w:r w:rsidRPr="00FF34BE">
        <w:rPr>
          <w:szCs w:val="24"/>
          <w:lang w:val="en-US"/>
        </w:rPr>
        <w:t>system</w:t>
      </w:r>
      <w:r w:rsidR="000B4B78" w:rsidRPr="00FF34BE">
        <w:rPr>
          <w:szCs w:val="24"/>
          <w:lang w:val="en-US"/>
        </w:rPr>
        <w:t>’</w:t>
      </w:r>
      <w:r w:rsidRPr="00FF34BE">
        <w:rPr>
          <w:szCs w:val="24"/>
          <w:lang w:val="en-US"/>
        </w:rPr>
        <w:t>s central and customer stations.</w:t>
      </w:r>
    </w:p>
    <w:p w:rsidR="00D24B27" w:rsidRPr="00FF34BE" w:rsidRDefault="00D24B27" w:rsidP="000B4B78">
      <w:pPr>
        <w:rPr>
          <w:szCs w:val="24"/>
          <w:lang w:val="en-US"/>
        </w:rPr>
      </w:pPr>
      <w:r w:rsidRPr="00FF34BE">
        <w:rPr>
          <w:szCs w:val="24"/>
          <w:lang w:val="en-US"/>
        </w:rPr>
        <w:lastRenderedPageBreak/>
        <w:t>The impact of a high density of FS stations on current AMS receivers is also analy</w:t>
      </w:r>
      <w:r w:rsidR="000B4B78" w:rsidRPr="00FF34BE">
        <w:rPr>
          <w:szCs w:val="24"/>
          <w:lang w:val="en-US"/>
        </w:rPr>
        <w:t>z</w:t>
      </w:r>
      <w:r w:rsidRPr="00FF34BE">
        <w:rPr>
          <w:szCs w:val="24"/>
          <w:lang w:val="en-US"/>
        </w:rPr>
        <w:t>ed.</w:t>
      </w:r>
    </w:p>
    <w:p w:rsidR="00D24B27" w:rsidRPr="00FF34BE" w:rsidRDefault="00D24B27" w:rsidP="00D24B27">
      <w:pPr>
        <w:pStyle w:val="Heading1"/>
        <w:rPr>
          <w:szCs w:val="24"/>
          <w:lang w:val="en-US"/>
        </w:rPr>
      </w:pPr>
      <w:bookmarkStart w:id="10" w:name="_Toc284424043"/>
      <w:bookmarkStart w:id="11" w:name="_Toc284425220"/>
      <w:bookmarkStart w:id="12" w:name="_Toc284425398"/>
      <w:r w:rsidRPr="00FF34BE">
        <w:rPr>
          <w:szCs w:val="24"/>
          <w:lang w:val="en-US"/>
        </w:rPr>
        <w:t>2</w:t>
      </w:r>
      <w:r w:rsidRPr="00FF34BE">
        <w:rPr>
          <w:szCs w:val="24"/>
          <w:lang w:val="en-US"/>
        </w:rPr>
        <w:tab/>
        <w:t>P-P FS system characteristics</w:t>
      </w:r>
      <w:bookmarkEnd w:id="10"/>
      <w:bookmarkEnd w:id="11"/>
      <w:bookmarkEnd w:id="12"/>
    </w:p>
    <w:p w:rsidR="00D24B27" w:rsidRPr="00FF34BE" w:rsidRDefault="00D24B27" w:rsidP="00D24B27">
      <w:pPr>
        <w:rPr>
          <w:szCs w:val="24"/>
          <w:lang w:val="en-US"/>
        </w:rPr>
      </w:pPr>
      <w:r w:rsidRPr="00FF34BE">
        <w:rPr>
          <w:szCs w:val="24"/>
          <w:lang w:val="en-US"/>
        </w:rPr>
        <w:t>The characteristics of FS systems are provided in Recommendation ITU-R F.758-4 and reproduced in Table 1.</w:t>
      </w:r>
    </w:p>
    <w:p w:rsidR="00D24B27" w:rsidRPr="00FF34BE" w:rsidRDefault="00D24B27" w:rsidP="00D24B27">
      <w:pPr>
        <w:rPr>
          <w:szCs w:val="24"/>
          <w:lang w:val="en-US"/>
        </w:rPr>
      </w:pPr>
      <w:r w:rsidRPr="00FF34BE">
        <w:rPr>
          <w:szCs w:val="24"/>
          <w:lang w:val="en-US"/>
        </w:rPr>
        <w:t>The pfd level corresponding to the FS nominal long-term interference spectral density given in the tables of Recommendation ITU-R F.758-4 may be expressed as follows:</w:t>
      </w:r>
    </w:p>
    <w:p w:rsidR="00EB7B75" w:rsidRPr="00FF34BE" w:rsidRDefault="00EB7B75" w:rsidP="00EB7B75">
      <w:pPr>
        <w:pStyle w:val="Blanc"/>
        <w:rPr>
          <w:lang w:val="en-US"/>
        </w:rPr>
      </w:pPr>
    </w:p>
    <w:p w:rsidR="00D24B27" w:rsidRPr="00FF34BE" w:rsidRDefault="00D24B27" w:rsidP="00D24B27">
      <w:pPr>
        <w:pStyle w:val="Equation"/>
        <w:rPr>
          <w:lang w:val="en-US"/>
        </w:rPr>
      </w:pPr>
      <w:r w:rsidRPr="00FF34BE">
        <w:rPr>
          <w:lang w:val="en-US"/>
        </w:rPr>
        <w:tab/>
      </w:r>
      <w:r w:rsidRPr="00FF34BE">
        <w:rPr>
          <w:lang w:val="en-US"/>
        </w:rPr>
        <w:tab/>
      </w:r>
      <w:r w:rsidR="00EB7B75" w:rsidRPr="00FF34BE">
        <w:rPr>
          <w:position w:val="-34"/>
          <w:lang w:val="en-US"/>
        </w:rPr>
        <w:object w:dxaOrig="2980" w:dyaOrig="800">
          <v:shape id="_x0000_i1026" type="#_x0000_t75" style="width:148.8pt;height:40.8pt" o:ole="">
            <v:imagedata r:id="rId14" o:title=""/>
          </v:shape>
          <o:OLEObject Type="Embed" ProgID="Equation.3" ShapeID="_x0000_i1026" DrawAspect="Content" ObjectID="_1358677685" r:id="rId15"/>
        </w:object>
      </w:r>
      <w:r w:rsidRPr="00FF34BE">
        <w:rPr>
          <w:lang w:val="en-US"/>
        </w:rPr>
        <w:tab/>
        <w:t>(1)</w:t>
      </w:r>
    </w:p>
    <w:p w:rsidR="00EB7B75" w:rsidRPr="00FF34BE" w:rsidRDefault="00EB7B75" w:rsidP="00EB7B75">
      <w:pPr>
        <w:pStyle w:val="Blanc"/>
        <w:rPr>
          <w:lang w:val="en-US"/>
        </w:rPr>
      </w:pPr>
    </w:p>
    <w:p w:rsidR="00D24B27" w:rsidRPr="00FF34BE" w:rsidRDefault="00D24B27" w:rsidP="00D24B27">
      <w:pPr>
        <w:rPr>
          <w:szCs w:val="24"/>
          <w:lang w:val="en-US"/>
        </w:rPr>
      </w:pPr>
      <w:r w:rsidRPr="00FF34BE">
        <w:rPr>
          <w:szCs w:val="24"/>
          <w:lang w:val="en-US"/>
        </w:rPr>
        <w:t>where:</w:t>
      </w:r>
    </w:p>
    <w:p w:rsidR="00D24B27" w:rsidRPr="00FF34BE" w:rsidRDefault="00D24B27" w:rsidP="00D24B27">
      <w:pPr>
        <w:pStyle w:val="Equationlegend"/>
        <w:rPr>
          <w:szCs w:val="24"/>
        </w:rPr>
      </w:pPr>
      <w:r w:rsidRPr="00FF34BE">
        <w:rPr>
          <w:szCs w:val="24"/>
        </w:rPr>
        <w:tab/>
      </w:r>
      <w:r w:rsidRPr="00FF34BE">
        <w:rPr>
          <w:i/>
          <w:szCs w:val="24"/>
        </w:rPr>
        <w:t>I</w:t>
      </w:r>
      <w:r w:rsidR="00EB7B75" w:rsidRPr="00FF34BE">
        <w:rPr>
          <w:i/>
          <w:sz w:val="20"/>
        </w:rPr>
        <w:t xml:space="preserve"> </w:t>
      </w:r>
      <w:r w:rsidRPr="00FF34BE">
        <w:rPr>
          <w:szCs w:val="24"/>
        </w:rPr>
        <w:t>:</w:t>
      </w:r>
      <w:r w:rsidRPr="00FF34BE">
        <w:rPr>
          <w:szCs w:val="24"/>
        </w:rPr>
        <w:tab/>
        <w:t>protection criterion of the FS station (dBW/MHz)</w:t>
      </w:r>
    </w:p>
    <w:p w:rsidR="00D24B27" w:rsidRPr="00FF34BE" w:rsidRDefault="00D24B27" w:rsidP="00D24B27">
      <w:pPr>
        <w:pStyle w:val="Equationlegend"/>
        <w:rPr>
          <w:szCs w:val="24"/>
        </w:rPr>
      </w:pPr>
      <w:r w:rsidRPr="00FF34BE">
        <w:rPr>
          <w:szCs w:val="24"/>
        </w:rPr>
        <w:tab/>
      </w:r>
      <w:r w:rsidRPr="00FF34BE">
        <w:rPr>
          <w:i/>
          <w:szCs w:val="24"/>
        </w:rPr>
        <w:t>L</w:t>
      </w:r>
      <w:r w:rsidR="00EB7B75" w:rsidRPr="00FF34BE">
        <w:rPr>
          <w:i/>
          <w:sz w:val="18"/>
          <w:szCs w:val="18"/>
        </w:rPr>
        <w:t xml:space="preserve"> </w:t>
      </w:r>
      <w:r w:rsidRPr="00FF34BE">
        <w:rPr>
          <w:szCs w:val="24"/>
        </w:rPr>
        <w:t>:</w:t>
      </w:r>
      <w:r w:rsidRPr="00FF34BE">
        <w:rPr>
          <w:szCs w:val="24"/>
        </w:rPr>
        <w:tab/>
        <w:t>feeder loss (dB)</w:t>
      </w:r>
    </w:p>
    <w:p w:rsidR="00D24B27" w:rsidRPr="00FF34BE" w:rsidRDefault="00D24B27" w:rsidP="00D24B27">
      <w:pPr>
        <w:pStyle w:val="Equationlegend"/>
        <w:rPr>
          <w:szCs w:val="24"/>
        </w:rPr>
      </w:pPr>
      <w:r w:rsidRPr="00FF34BE">
        <w:rPr>
          <w:szCs w:val="24"/>
        </w:rPr>
        <w:tab/>
      </w:r>
      <w:r w:rsidRPr="00FF34BE">
        <w:rPr>
          <w:i/>
          <w:szCs w:val="24"/>
        </w:rPr>
        <w:t>G</w:t>
      </w:r>
      <w:r w:rsidR="00EB7B75" w:rsidRPr="00FF34BE">
        <w:rPr>
          <w:i/>
          <w:sz w:val="18"/>
          <w:szCs w:val="18"/>
        </w:rPr>
        <w:t xml:space="preserve"> </w:t>
      </w:r>
      <w:r w:rsidRPr="00FF34BE">
        <w:rPr>
          <w:szCs w:val="24"/>
        </w:rPr>
        <w:t>:</w:t>
      </w:r>
      <w:r w:rsidRPr="00FF34BE">
        <w:rPr>
          <w:szCs w:val="24"/>
        </w:rPr>
        <w:tab/>
        <w:t>antenna gain towards the AMS station (dBi)</w:t>
      </w:r>
    </w:p>
    <w:p w:rsidR="00D24B27" w:rsidRPr="00FF34BE" w:rsidRDefault="00D24B27" w:rsidP="00EB7B75">
      <w:pPr>
        <w:pStyle w:val="Equationlegend"/>
        <w:rPr>
          <w:szCs w:val="24"/>
        </w:rPr>
      </w:pPr>
      <w:r w:rsidRPr="00FF34BE">
        <w:rPr>
          <w:rFonts w:ascii="Symbol" w:hAnsi="Symbol"/>
          <w:szCs w:val="24"/>
        </w:rPr>
        <w:tab/>
      </w:r>
      <w:r w:rsidRPr="00FF34BE">
        <w:rPr>
          <w:rFonts w:ascii="Symbol" w:hAnsi="Symbol"/>
          <w:szCs w:val="24"/>
        </w:rPr>
        <w:t></w:t>
      </w:r>
      <w:r w:rsidR="00EB7B75" w:rsidRPr="00FF34BE">
        <w:rPr>
          <w:rFonts w:asciiTheme="majorBidi" w:hAnsiTheme="majorBidi" w:cstheme="majorBidi"/>
          <w:sz w:val="18"/>
          <w:szCs w:val="18"/>
        </w:rPr>
        <w:t xml:space="preserve"> </w:t>
      </w:r>
      <w:r w:rsidRPr="00FF34BE">
        <w:rPr>
          <w:szCs w:val="24"/>
        </w:rPr>
        <w:t>:</w:t>
      </w:r>
      <w:r w:rsidRPr="00FF34BE">
        <w:rPr>
          <w:rFonts w:ascii="Symbol" w:hAnsi="Symbol"/>
          <w:szCs w:val="24"/>
        </w:rPr>
        <w:tab/>
      </w:r>
      <w:r w:rsidRPr="00FF34BE">
        <w:rPr>
          <w:szCs w:val="24"/>
        </w:rPr>
        <w:t>wavelength (m).</w:t>
      </w:r>
    </w:p>
    <w:p w:rsidR="00D24B27" w:rsidRPr="00FF34BE" w:rsidRDefault="00D24B27" w:rsidP="00EB7B75">
      <w:pPr>
        <w:rPr>
          <w:szCs w:val="24"/>
          <w:lang w:val="en-US"/>
        </w:rPr>
      </w:pPr>
      <w:r w:rsidRPr="00FF34BE">
        <w:rPr>
          <w:szCs w:val="24"/>
          <w:lang w:val="en-US"/>
        </w:rPr>
        <w:t xml:space="preserve">This equation may be directly used to determine the worst case in terms of susceptibility to interference between all </w:t>
      </w:r>
      <w:r w:rsidR="00EB7B75" w:rsidRPr="00FF34BE">
        <w:rPr>
          <w:szCs w:val="24"/>
          <w:lang w:val="en-US"/>
        </w:rPr>
        <w:t>P-P</w:t>
      </w:r>
      <w:r w:rsidRPr="00FF34BE">
        <w:rPr>
          <w:szCs w:val="24"/>
          <w:lang w:val="en-US"/>
        </w:rPr>
        <w:t xml:space="preserve"> FS systems. Using Recommendation ITU-R F.1245 for the antenna pattern of the FS station, the worst cases may be determined using the long-term criterion at the horizon and at the zenith. In the first case, the antenna gain </w:t>
      </w:r>
      <w:r w:rsidRPr="00FF34BE">
        <w:rPr>
          <w:i/>
          <w:szCs w:val="24"/>
          <w:lang w:val="en-US"/>
        </w:rPr>
        <w:t>G</w:t>
      </w:r>
      <w:r w:rsidRPr="00FF34BE">
        <w:rPr>
          <w:szCs w:val="24"/>
          <w:lang w:val="en-US"/>
        </w:rPr>
        <w:t xml:space="preserve"> is the maximum antenna gain of the FS station. In the second case the antenna gain </w:t>
      </w:r>
      <w:r w:rsidRPr="00FF34BE">
        <w:rPr>
          <w:i/>
          <w:szCs w:val="24"/>
          <w:lang w:val="en-US"/>
        </w:rPr>
        <w:t>G</w:t>
      </w:r>
      <w:r w:rsidRPr="00FF34BE">
        <w:rPr>
          <w:szCs w:val="24"/>
          <w:lang w:val="en-US"/>
        </w:rPr>
        <w:t xml:space="preserve"> equals </w:t>
      </w:r>
      <w:r w:rsidRPr="00FF34BE">
        <w:rPr>
          <w:szCs w:val="24"/>
          <w:lang w:val="en-US"/>
        </w:rPr>
        <w:sym w:font="Symbol" w:char="F02D"/>
      </w:r>
      <w:r w:rsidRPr="00FF34BE">
        <w:rPr>
          <w:szCs w:val="24"/>
          <w:lang w:val="en-US"/>
        </w:rPr>
        <w:t>13 dBi.</w:t>
      </w:r>
    </w:p>
    <w:p w:rsidR="00D24B27" w:rsidRPr="00FF34BE" w:rsidRDefault="00D24B27" w:rsidP="00D24B27">
      <w:pPr>
        <w:rPr>
          <w:szCs w:val="24"/>
          <w:lang w:val="en-US"/>
        </w:rPr>
      </w:pPr>
      <w:r w:rsidRPr="00FF34BE">
        <w:rPr>
          <w:szCs w:val="24"/>
          <w:lang w:val="en-US"/>
        </w:rPr>
        <w:t>The worst case is taken into account in the following analyses and is reproduced in Table 1.</w:t>
      </w:r>
    </w:p>
    <w:p w:rsidR="004622CA" w:rsidRPr="00FF34BE" w:rsidRDefault="004622CA" w:rsidP="00D24B27">
      <w:pPr>
        <w:rPr>
          <w:szCs w:val="24"/>
          <w:lang w:val="en-US"/>
        </w:rPr>
      </w:pPr>
    </w:p>
    <w:p w:rsidR="00D24B27" w:rsidRPr="00FF34BE" w:rsidRDefault="00D24B27" w:rsidP="002B36F3">
      <w:pPr>
        <w:pStyle w:val="TableNo"/>
        <w:keepLines/>
        <w:rPr>
          <w:lang w:val="en-US"/>
        </w:rPr>
      </w:pPr>
      <w:bookmarkStart w:id="13" w:name="OLE_LINK6"/>
      <w:r w:rsidRPr="00FF34BE">
        <w:rPr>
          <w:lang w:val="en-US"/>
        </w:rPr>
        <w:t>TABLE 1</w:t>
      </w:r>
    </w:p>
    <w:bookmarkEnd w:id="13"/>
    <w:p w:rsidR="00D24B27" w:rsidRPr="00FF34BE" w:rsidRDefault="00D24B27" w:rsidP="002B36F3">
      <w:pPr>
        <w:pStyle w:val="Tabletitle"/>
        <w:keepLines/>
        <w:rPr>
          <w:lang w:val="en-US"/>
        </w:rPr>
      </w:pPr>
      <w:r w:rsidRPr="00FF34BE">
        <w:rPr>
          <w:lang w:val="en-US"/>
        </w:rPr>
        <w:t>Worst-case P-P FS characteristics</w:t>
      </w:r>
    </w:p>
    <w:tbl>
      <w:tblPr>
        <w:tblW w:w="8505" w:type="dxa"/>
        <w:jc w:val="center"/>
        <w:tblLook w:val="0000"/>
      </w:tblPr>
      <w:tblGrid>
        <w:gridCol w:w="5450"/>
        <w:gridCol w:w="890"/>
        <w:gridCol w:w="963"/>
        <w:gridCol w:w="1202"/>
      </w:tblGrid>
      <w:tr w:rsidR="00D24B27" w:rsidRPr="00FF34BE" w:rsidTr="008A3F3B">
        <w:trPr>
          <w:trHeight w:val="255"/>
          <w:jc w:val="center"/>
        </w:trPr>
        <w:tc>
          <w:tcPr>
            <w:tcW w:w="5096" w:type="dxa"/>
            <w:tcBorders>
              <w:top w:val="single" w:sz="4" w:space="0" w:color="auto"/>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Channel spacing (MHz)</w:t>
            </w:r>
          </w:p>
        </w:tc>
        <w:tc>
          <w:tcPr>
            <w:tcW w:w="790" w:type="dxa"/>
            <w:tcBorders>
              <w:top w:val="single" w:sz="4" w:space="0" w:color="auto"/>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3.5</w:t>
            </w:r>
          </w:p>
        </w:tc>
        <w:tc>
          <w:tcPr>
            <w:tcW w:w="900" w:type="dxa"/>
            <w:tcBorders>
              <w:top w:val="single" w:sz="4" w:space="0" w:color="auto"/>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7</w:t>
            </w:r>
          </w:p>
        </w:tc>
        <w:tc>
          <w:tcPr>
            <w:tcW w:w="1124" w:type="dxa"/>
            <w:tcBorders>
              <w:top w:val="single" w:sz="4" w:space="0" w:color="auto"/>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28</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Antenna gain (maximum) (dBi)</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47</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47</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47</w:t>
            </w:r>
          </w:p>
        </w:tc>
      </w:tr>
      <w:tr w:rsidR="00D24B27" w:rsidRPr="00FF34BE" w:rsidTr="008A3F3B">
        <w:trPr>
          <w:trHeight w:val="360"/>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Feeder/multiplexer loss (minimum) (dB)</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0</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0</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0</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Antenna type</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Dish</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Dish</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Dish</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Maximum Tx output power (dBW)</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15</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15</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15</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e.i.r.p. (maximum) (dBW)</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32</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32</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32</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Receiver IF bandwidth (MHz)</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3.5</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7</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28</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Receiver noise figure (dB)</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7.5</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7.5</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t>7.5</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2B36F3">
            <w:pPr>
              <w:pStyle w:val="Tabletext"/>
              <w:keepNext/>
              <w:keepLines/>
              <w:jc w:val="left"/>
              <w:rPr>
                <w:lang w:val="en-US"/>
              </w:rPr>
            </w:pPr>
            <w:r w:rsidRPr="00FF34BE">
              <w:rPr>
                <w:lang w:val="en-US"/>
              </w:rPr>
              <w:t>Receiver thermal noise (dBW)</w:t>
            </w:r>
          </w:p>
        </w:tc>
        <w:tc>
          <w:tcPr>
            <w:tcW w:w="79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132.5</w:t>
            </w:r>
          </w:p>
        </w:tc>
        <w:tc>
          <w:tcPr>
            <w:tcW w:w="900"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129.5</w:t>
            </w:r>
          </w:p>
        </w:tc>
        <w:tc>
          <w:tcPr>
            <w:tcW w:w="1124" w:type="dxa"/>
            <w:tcBorders>
              <w:top w:val="nil"/>
              <w:left w:val="nil"/>
              <w:bottom w:val="single" w:sz="4" w:space="0" w:color="auto"/>
              <w:right w:val="single" w:sz="4" w:space="0" w:color="auto"/>
            </w:tcBorders>
          </w:tcPr>
          <w:p w:rsidR="00D24B27" w:rsidRPr="00FF34BE" w:rsidRDefault="00D24B27" w:rsidP="002B36F3">
            <w:pPr>
              <w:pStyle w:val="Tabletext"/>
              <w:keepNext/>
              <w:keepLines/>
              <w:jc w:val="center"/>
              <w:rPr>
                <w:lang w:val="en-US"/>
              </w:rPr>
            </w:pPr>
            <w:r w:rsidRPr="00FF34BE">
              <w:rPr>
                <w:lang w:val="en-US"/>
              </w:rPr>
              <w:sym w:font="Symbol" w:char="F02D"/>
            </w:r>
            <w:r w:rsidRPr="00FF34BE">
              <w:rPr>
                <w:lang w:val="en-US"/>
              </w:rPr>
              <w:t>123.5</w:t>
            </w:r>
          </w:p>
        </w:tc>
      </w:tr>
      <w:tr w:rsidR="00D24B27" w:rsidRPr="00FF34BE" w:rsidTr="008A3F3B">
        <w:trPr>
          <w:trHeight w:val="360"/>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8A3F3B">
            <w:pPr>
              <w:pStyle w:val="Tabletext"/>
              <w:snapToGrid w:val="0"/>
              <w:jc w:val="left"/>
              <w:rPr>
                <w:lang w:val="en-US"/>
              </w:rPr>
            </w:pPr>
            <w:r w:rsidRPr="00FF34BE">
              <w:rPr>
                <w:lang w:val="en-US"/>
              </w:rPr>
              <w:t>Nominal long-term interference (dBW)</w:t>
            </w:r>
          </w:p>
        </w:tc>
        <w:tc>
          <w:tcPr>
            <w:tcW w:w="790" w:type="dxa"/>
            <w:tcBorders>
              <w:top w:val="nil"/>
              <w:left w:val="nil"/>
              <w:bottom w:val="single" w:sz="4" w:space="0" w:color="auto"/>
              <w:right w:val="single" w:sz="4" w:space="0" w:color="auto"/>
            </w:tcBorders>
          </w:tcPr>
          <w:p w:rsidR="00D24B27" w:rsidRPr="00FF34BE" w:rsidRDefault="00D24B27" w:rsidP="008A3F3B">
            <w:pPr>
              <w:pStyle w:val="Tabletext"/>
              <w:jc w:val="center"/>
              <w:rPr>
                <w:lang w:val="en-US"/>
              </w:rPr>
            </w:pPr>
            <w:r w:rsidRPr="00FF34BE">
              <w:rPr>
                <w:lang w:val="en-US"/>
              </w:rPr>
              <w:sym w:font="Symbol" w:char="F02D"/>
            </w:r>
            <w:r w:rsidRPr="00FF34BE">
              <w:rPr>
                <w:lang w:val="en-US"/>
              </w:rPr>
              <w:t>142.5</w:t>
            </w:r>
          </w:p>
        </w:tc>
        <w:tc>
          <w:tcPr>
            <w:tcW w:w="900" w:type="dxa"/>
            <w:tcBorders>
              <w:top w:val="nil"/>
              <w:left w:val="nil"/>
              <w:bottom w:val="single" w:sz="4" w:space="0" w:color="auto"/>
              <w:right w:val="single" w:sz="4" w:space="0" w:color="auto"/>
            </w:tcBorders>
          </w:tcPr>
          <w:p w:rsidR="00D24B27" w:rsidRPr="00FF34BE" w:rsidRDefault="00D24B27" w:rsidP="008A3F3B">
            <w:pPr>
              <w:pStyle w:val="Tabletext"/>
              <w:jc w:val="center"/>
              <w:rPr>
                <w:lang w:val="en-US"/>
              </w:rPr>
            </w:pPr>
            <w:r w:rsidRPr="00FF34BE">
              <w:rPr>
                <w:lang w:val="en-US"/>
              </w:rPr>
              <w:sym w:font="Symbol" w:char="F02D"/>
            </w:r>
            <w:r w:rsidRPr="00FF34BE">
              <w:rPr>
                <w:lang w:val="en-US"/>
              </w:rPr>
              <w:t>139.5</w:t>
            </w:r>
          </w:p>
        </w:tc>
        <w:tc>
          <w:tcPr>
            <w:tcW w:w="1124" w:type="dxa"/>
            <w:tcBorders>
              <w:top w:val="nil"/>
              <w:left w:val="nil"/>
              <w:bottom w:val="single" w:sz="4" w:space="0" w:color="auto"/>
              <w:right w:val="single" w:sz="4" w:space="0" w:color="auto"/>
            </w:tcBorders>
          </w:tcPr>
          <w:p w:rsidR="00D24B27" w:rsidRPr="00FF34BE" w:rsidRDefault="00D24B27" w:rsidP="008A3F3B">
            <w:pPr>
              <w:pStyle w:val="Tabletext"/>
              <w:jc w:val="center"/>
              <w:rPr>
                <w:lang w:val="en-US"/>
              </w:rPr>
            </w:pPr>
            <w:r w:rsidRPr="00FF34BE">
              <w:rPr>
                <w:lang w:val="en-US"/>
              </w:rPr>
              <w:sym w:font="Symbol" w:char="F02D"/>
            </w:r>
            <w:r w:rsidRPr="00FF34BE">
              <w:rPr>
                <w:lang w:val="en-US"/>
              </w:rPr>
              <w:t>133.5</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8A3F3B">
            <w:pPr>
              <w:pStyle w:val="Tabletext"/>
              <w:jc w:val="left"/>
              <w:rPr>
                <w:b/>
                <w:lang w:val="en-US"/>
              </w:rPr>
            </w:pPr>
            <w:r w:rsidRPr="00FF34BE">
              <w:rPr>
                <w:b/>
                <w:lang w:val="en-US"/>
              </w:rPr>
              <w:t>Spectral density (dB(W/MHz))</w:t>
            </w:r>
          </w:p>
        </w:tc>
        <w:tc>
          <w:tcPr>
            <w:tcW w:w="790" w:type="dxa"/>
            <w:tcBorders>
              <w:top w:val="nil"/>
              <w:left w:val="nil"/>
              <w:bottom w:val="single" w:sz="4" w:space="0" w:color="auto"/>
              <w:right w:val="single" w:sz="4" w:space="0" w:color="auto"/>
            </w:tcBorders>
          </w:tcPr>
          <w:p w:rsidR="00D24B27" w:rsidRPr="00FF34BE" w:rsidRDefault="00D24B27" w:rsidP="008A3F3B">
            <w:pPr>
              <w:pStyle w:val="Tabletext"/>
              <w:jc w:val="center"/>
              <w:rPr>
                <w:b/>
                <w:lang w:val="en-US"/>
              </w:rPr>
            </w:pPr>
            <w:r w:rsidRPr="00FF34BE">
              <w:rPr>
                <w:lang w:val="en-US"/>
              </w:rPr>
              <w:sym w:font="Symbol" w:char="F02D"/>
            </w:r>
            <w:r w:rsidRPr="00FF34BE">
              <w:rPr>
                <w:b/>
                <w:lang w:val="en-US"/>
              </w:rPr>
              <w:t>147.9</w:t>
            </w:r>
          </w:p>
        </w:tc>
        <w:tc>
          <w:tcPr>
            <w:tcW w:w="900" w:type="dxa"/>
            <w:tcBorders>
              <w:top w:val="nil"/>
              <w:left w:val="nil"/>
              <w:bottom w:val="single" w:sz="4" w:space="0" w:color="auto"/>
              <w:right w:val="single" w:sz="4" w:space="0" w:color="auto"/>
            </w:tcBorders>
          </w:tcPr>
          <w:p w:rsidR="00D24B27" w:rsidRPr="00FF34BE" w:rsidRDefault="00D24B27" w:rsidP="008A3F3B">
            <w:pPr>
              <w:pStyle w:val="Tabletext"/>
              <w:jc w:val="center"/>
              <w:rPr>
                <w:b/>
                <w:lang w:val="en-US"/>
              </w:rPr>
            </w:pPr>
            <w:r w:rsidRPr="00FF34BE">
              <w:rPr>
                <w:lang w:val="en-US"/>
              </w:rPr>
              <w:sym w:font="Symbol" w:char="F02D"/>
            </w:r>
            <w:r w:rsidRPr="00FF34BE">
              <w:rPr>
                <w:b/>
                <w:lang w:val="en-US"/>
              </w:rPr>
              <w:t>148.0</w:t>
            </w:r>
          </w:p>
        </w:tc>
        <w:tc>
          <w:tcPr>
            <w:tcW w:w="1124" w:type="dxa"/>
            <w:tcBorders>
              <w:top w:val="nil"/>
              <w:left w:val="nil"/>
              <w:bottom w:val="single" w:sz="4" w:space="0" w:color="auto"/>
              <w:right w:val="single" w:sz="4" w:space="0" w:color="auto"/>
            </w:tcBorders>
          </w:tcPr>
          <w:p w:rsidR="00D24B27" w:rsidRPr="00FF34BE" w:rsidRDefault="00D24B27" w:rsidP="008A3F3B">
            <w:pPr>
              <w:pStyle w:val="Tabletext"/>
              <w:jc w:val="center"/>
              <w:rPr>
                <w:b/>
                <w:lang w:val="en-US"/>
              </w:rPr>
            </w:pPr>
            <w:r w:rsidRPr="00FF34BE">
              <w:rPr>
                <w:lang w:val="en-US"/>
              </w:rPr>
              <w:sym w:font="Symbol" w:char="F02D"/>
            </w:r>
            <w:r w:rsidRPr="00FF34BE">
              <w:rPr>
                <w:b/>
                <w:lang w:val="en-US"/>
              </w:rPr>
              <w:t>148.0</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8A3F3B">
            <w:pPr>
              <w:pStyle w:val="Tabletext"/>
              <w:jc w:val="left"/>
              <w:rPr>
                <w:lang w:val="en-US"/>
              </w:rPr>
            </w:pPr>
            <w:r w:rsidRPr="00FF34BE">
              <w:rPr>
                <w:lang w:val="en-US"/>
              </w:rPr>
              <w:t>Corresponding pfd at the horizon (dBW/m</w:t>
            </w:r>
            <w:r w:rsidRPr="00FF34BE">
              <w:rPr>
                <w:vertAlign w:val="superscript"/>
                <w:lang w:val="en-US"/>
              </w:rPr>
              <w:t>2</w:t>
            </w:r>
            <w:r w:rsidRPr="00FF34BE">
              <w:rPr>
                <w:lang w:val="en-US"/>
              </w:rPr>
              <w:t>/MHz)</w:t>
            </w:r>
          </w:p>
        </w:tc>
        <w:tc>
          <w:tcPr>
            <w:tcW w:w="790"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142.0</w:t>
            </w:r>
          </w:p>
        </w:tc>
        <w:tc>
          <w:tcPr>
            <w:tcW w:w="900"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142.0</w:t>
            </w:r>
          </w:p>
        </w:tc>
        <w:tc>
          <w:tcPr>
            <w:tcW w:w="1124"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142.0</w:t>
            </w:r>
          </w:p>
        </w:tc>
      </w:tr>
      <w:tr w:rsidR="00D24B27" w:rsidRPr="00FF34BE" w:rsidTr="008A3F3B">
        <w:trPr>
          <w:trHeight w:val="255"/>
          <w:jc w:val="center"/>
        </w:trPr>
        <w:tc>
          <w:tcPr>
            <w:tcW w:w="5096" w:type="dxa"/>
            <w:tcBorders>
              <w:top w:val="nil"/>
              <w:left w:val="single" w:sz="4" w:space="0" w:color="auto"/>
              <w:bottom w:val="single" w:sz="4" w:space="0" w:color="auto"/>
              <w:right w:val="single" w:sz="4" w:space="0" w:color="auto"/>
            </w:tcBorders>
          </w:tcPr>
          <w:p w:rsidR="00D24B27" w:rsidRPr="00FF34BE" w:rsidRDefault="00D24B27" w:rsidP="008A3F3B">
            <w:pPr>
              <w:pStyle w:val="Tabletext"/>
              <w:jc w:val="left"/>
              <w:rPr>
                <w:lang w:val="en-US"/>
              </w:rPr>
            </w:pPr>
            <w:r w:rsidRPr="00FF34BE">
              <w:rPr>
                <w:lang w:val="en-US"/>
              </w:rPr>
              <w:t>Corresponding pfd at zenith (dBW/m</w:t>
            </w:r>
            <w:r w:rsidRPr="00FF34BE">
              <w:rPr>
                <w:vertAlign w:val="superscript"/>
                <w:lang w:val="en-US"/>
              </w:rPr>
              <w:t>2</w:t>
            </w:r>
            <w:r w:rsidRPr="00FF34BE">
              <w:rPr>
                <w:lang w:val="en-US"/>
              </w:rPr>
              <w:t>/MHz)</w:t>
            </w:r>
          </w:p>
        </w:tc>
        <w:tc>
          <w:tcPr>
            <w:tcW w:w="790"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82.0</w:t>
            </w:r>
          </w:p>
        </w:tc>
        <w:tc>
          <w:tcPr>
            <w:tcW w:w="900"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82.0</w:t>
            </w:r>
          </w:p>
        </w:tc>
        <w:tc>
          <w:tcPr>
            <w:tcW w:w="1124" w:type="dxa"/>
            <w:tcBorders>
              <w:top w:val="nil"/>
              <w:left w:val="nil"/>
              <w:bottom w:val="single" w:sz="4" w:space="0" w:color="auto"/>
              <w:right w:val="single" w:sz="4" w:space="0" w:color="auto"/>
            </w:tcBorders>
            <w:noWrap/>
          </w:tcPr>
          <w:p w:rsidR="00D24B27" w:rsidRPr="00FF34BE" w:rsidRDefault="00D24B27" w:rsidP="008A3F3B">
            <w:pPr>
              <w:pStyle w:val="Tabletext"/>
              <w:jc w:val="center"/>
              <w:rPr>
                <w:bCs/>
                <w:lang w:val="en-US"/>
              </w:rPr>
            </w:pPr>
            <w:r w:rsidRPr="00FF34BE">
              <w:rPr>
                <w:lang w:val="en-US"/>
              </w:rPr>
              <w:sym w:font="Symbol" w:char="F02D"/>
            </w:r>
            <w:r w:rsidRPr="00FF34BE">
              <w:rPr>
                <w:bCs/>
                <w:lang w:val="en-US"/>
              </w:rPr>
              <w:t>82.0</w:t>
            </w:r>
          </w:p>
        </w:tc>
      </w:tr>
    </w:tbl>
    <w:p w:rsidR="00BE4CE0" w:rsidRPr="00FF34BE" w:rsidRDefault="00BE4CE0" w:rsidP="00BE4CE0">
      <w:pPr>
        <w:pStyle w:val="Tablefin"/>
        <w:rPr>
          <w:lang w:val="en-US"/>
        </w:rPr>
      </w:pPr>
    </w:p>
    <w:p w:rsidR="004622CA" w:rsidRPr="00FF34BE" w:rsidRDefault="004622CA" w:rsidP="004622CA">
      <w:pPr>
        <w:keepNext/>
        <w:rPr>
          <w:lang w:val="en-US"/>
        </w:rPr>
      </w:pPr>
      <w:bookmarkStart w:id="14" w:name="_Toc284424044"/>
      <w:bookmarkStart w:id="15" w:name="_Toc284425221"/>
      <w:bookmarkStart w:id="16" w:name="_Toc284425399"/>
      <w:r w:rsidRPr="00FF34BE">
        <w:rPr>
          <w:lang w:val="en-US"/>
        </w:rPr>
        <w:lastRenderedPageBreak/>
        <w:t>These systems also correspond to the worst case in terms of e.i.r.p. and impact on the AMS.</w:t>
      </w:r>
    </w:p>
    <w:p w:rsidR="004622CA" w:rsidRPr="00FF34BE" w:rsidRDefault="004622CA" w:rsidP="004622CA">
      <w:pPr>
        <w:rPr>
          <w:lang w:val="en-US"/>
        </w:rPr>
      </w:pPr>
      <w:r w:rsidRPr="00FF34BE">
        <w:rPr>
          <w:lang w:val="en-US"/>
        </w:rPr>
        <w:t xml:space="preserve">In addition to the nominal long-term interference criterion given in this table, which is associated with a percentage of time of 20%, it is proposed to retain a short-term criterion based on </w:t>
      </w:r>
      <w:r w:rsidRPr="00FF34BE">
        <w:rPr>
          <w:i/>
          <w:lang w:val="en-US"/>
        </w:rPr>
        <w:t>I</w:t>
      </w:r>
      <w:r w:rsidRPr="00FF34BE">
        <w:rPr>
          <w:iCs/>
          <w:lang w:val="en-US"/>
        </w:rPr>
        <w:t>/</w:t>
      </w:r>
      <w:r w:rsidRPr="00FF34BE">
        <w:rPr>
          <w:i/>
          <w:lang w:val="en-US"/>
        </w:rPr>
        <w:t>N</w:t>
      </w:r>
      <w:r w:rsidRPr="00FF34BE">
        <w:rPr>
          <w:lang w:val="en-US"/>
        </w:rPr>
        <w:t xml:space="preserve"> of +10 dB associated with a percentage of time of 0.013% based on Recommendation ITU</w:t>
      </w:r>
      <w:r w:rsidRPr="00FF34BE">
        <w:rPr>
          <w:lang w:val="en-US"/>
        </w:rPr>
        <w:noBreakHyphen/>
        <w:t xml:space="preserve">R F.1606. </w:t>
      </w:r>
    </w:p>
    <w:p w:rsidR="004622CA" w:rsidRPr="00FF34BE" w:rsidRDefault="004622CA" w:rsidP="004622CA">
      <w:pPr>
        <w:rPr>
          <w:szCs w:val="24"/>
          <w:lang w:val="en-US"/>
        </w:rPr>
      </w:pPr>
      <w:r w:rsidRPr="00FF34BE">
        <w:rPr>
          <w:szCs w:val="24"/>
          <w:lang w:val="en-US"/>
        </w:rPr>
        <w:t>It should be noted that the corresponding pfd given in the table are not to be used as such for the definition of a pfd mask, since they are associated with a percentage of time of 20%.</w:t>
      </w:r>
    </w:p>
    <w:p w:rsidR="00D24B27" w:rsidRPr="00FF34BE" w:rsidRDefault="00D24B27" w:rsidP="00D24B27">
      <w:pPr>
        <w:pStyle w:val="Heading1"/>
        <w:rPr>
          <w:lang w:val="en-US"/>
        </w:rPr>
      </w:pPr>
      <w:r w:rsidRPr="00FF34BE">
        <w:rPr>
          <w:lang w:val="en-US"/>
        </w:rPr>
        <w:t>3</w:t>
      </w:r>
      <w:r w:rsidRPr="00FF34BE">
        <w:rPr>
          <w:lang w:val="en-US"/>
        </w:rPr>
        <w:tab/>
        <w:t>Deployment of FS stations in the 38 GHz band in one country</w:t>
      </w:r>
      <w:bookmarkEnd w:id="14"/>
      <w:bookmarkEnd w:id="15"/>
      <w:bookmarkEnd w:id="16"/>
      <w:r w:rsidRPr="00FF34BE">
        <w:rPr>
          <w:lang w:val="en-US"/>
        </w:rPr>
        <w:t xml:space="preserve"> </w:t>
      </w:r>
    </w:p>
    <w:p w:rsidR="00D24B27" w:rsidRPr="00FF34BE" w:rsidRDefault="00D24B27" w:rsidP="00EB7B75">
      <w:pPr>
        <w:rPr>
          <w:szCs w:val="24"/>
          <w:lang w:val="en-US"/>
        </w:rPr>
      </w:pPr>
      <w:r w:rsidRPr="00FF34BE">
        <w:rPr>
          <w:szCs w:val="24"/>
          <w:lang w:val="en-US"/>
        </w:rPr>
        <w:t>The 38 GHz band, together with the 23 GHz band, are extensively used for the capillary network linking the mobile network base stations to the high-capacity fixed links in the lower bands or fibre optic networks. The result is a very large number of small star networks using the 23 GHz and 38 GHz bands, the former for the longer links, and the latter for the shorter links. The total number of stations deployed in the 38 GHz band is 15 792 stations (used in 7 896 links)</w:t>
      </w:r>
      <w:r w:rsidR="00EB7B75" w:rsidRPr="00FF34BE">
        <w:rPr>
          <w:rStyle w:val="FootnoteReference"/>
          <w:szCs w:val="24"/>
          <w:lang w:val="en-US"/>
        </w:rPr>
        <w:footnoteReference w:id="2"/>
      </w:r>
      <w:r w:rsidRPr="00FF34BE">
        <w:rPr>
          <w:szCs w:val="24"/>
          <w:lang w:val="en-US"/>
        </w:rPr>
        <w:t>, which shows the importance of the deployment. 11 864 of these stations are deployed in the 37-38 GHz band. Information was received from one single operator that about 4 200 of his stations use two different blocks of 28 MHz (56 MHz total).</w:t>
      </w:r>
    </w:p>
    <w:p w:rsidR="00D24B27" w:rsidRPr="00FF34BE" w:rsidRDefault="00D24B27" w:rsidP="00800863">
      <w:pPr>
        <w:rPr>
          <w:szCs w:val="24"/>
          <w:lang w:val="en-US"/>
        </w:rPr>
      </w:pPr>
      <w:r w:rsidRPr="00FF34BE">
        <w:rPr>
          <w:szCs w:val="24"/>
          <w:lang w:val="en-US"/>
        </w:rPr>
        <w:t>Table 2 gives the distribution of elevation angles of FS stations deployed in the band</w:t>
      </w:r>
      <w:r w:rsidR="00800863" w:rsidRPr="00FF34BE">
        <w:rPr>
          <w:szCs w:val="24"/>
          <w:lang w:val="en-US"/>
        </w:rPr>
        <w:t> </w:t>
      </w:r>
      <w:r w:rsidRPr="00FF34BE">
        <w:rPr>
          <w:szCs w:val="24"/>
          <w:lang w:val="en-US"/>
        </w:rPr>
        <w:t>37</w:t>
      </w:r>
      <w:r w:rsidR="00EB7B75" w:rsidRPr="00FF34BE">
        <w:rPr>
          <w:szCs w:val="24"/>
          <w:lang w:val="en-US"/>
        </w:rPr>
        <w:noBreakHyphen/>
      </w:r>
      <w:r w:rsidRPr="00FF34BE">
        <w:rPr>
          <w:szCs w:val="24"/>
          <w:lang w:val="en-US"/>
        </w:rPr>
        <w:t>39.5 GHz in one country.</w:t>
      </w:r>
    </w:p>
    <w:p w:rsidR="00D24B27" w:rsidRPr="00FF34BE" w:rsidRDefault="00D24B27" w:rsidP="00EB7B75">
      <w:pPr>
        <w:pStyle w:val="TableNo"/>
        <w:keepLines/>
        <w:rPr>
          <w:szCs w:val="24"/>
          <w:lang w:val="en-US"/>
        </w:rPr>
      </w:pPr>
      <w:r w:rsidRPr="00FF34BE">
        <w:rPr>
          <w:szCs w:val="24"/>
          <w:lang w:val="en-US"/>
        </w:rPr>
        <w:t>TABLE 2</w:t>
      </w:r>
    </w:p>
    <w:p w:rsidR="004622CA" w:rsidRPr="00FF34BE" w:rsidRDefault="004622CA" w:rsidP="004622CA">
      <w:pPr>
        <w:rPr>
          <w:lang w:val="en-US"/>
        </w:rPr>
      </w:pPr>
    </w:p>
    <w:p w:rsidR="00D24B27" w:rsidRPr="00FF34BE" w:rsidRDefault="00D24B27" w:rsidP="00EB7B75">
      <w:pPr>
        <w:pStyle w:val="Tabletitle"/>
        <w:keepLines/>
        <w:rPr>
          <w:szCs w:val="24"/>
          <w:lang w:val="en-US"/>
        </w:rPr>
      </w:pPr>
      <w:r w:rsidRPr="00FF34BE">
        <w:rPr>
          <w:szCs w:val="24"/>
          <w:lang w:val="en-US"/>
        </w:rPr>
        <w:t>Elevation angle distribution for fixed service stations in the 38 GHz band in one country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59"/>
      </w:tblGrid>
      <w:tr w:rsidR="00D24B27" w:rsidRPr="00FF34BE" w:rsidTr="008A3F3B">
        <w:trPr>
          <w:jc w:val="center"/>
        </w:trPr>
        <w:tc>
          <w:tcPr>
            <w:tcW w:w="2840" w:type="dxa"/>
          </w:tcPr>
          <w:p w:rsidR="00D24B27" w:rsidRPr="00FF34BE" w:rsidRDefault="00D24B27" w:rsidP="00811E29">
            <w:pPr>
              <w:pStyle w:val="Tablehead"/>
              <w:rPr>
                <w:lang w:val="en-US"/>
              </w:rPr>
            </w:pPr>
            <w:r w:rsidRPr="00FF34BE">
              <w:rPr>
                <w:lang w:val="en-US"/>
              </w:rPr>
              <w:t xml:space="preserve">Elevation angle </w:t>
            </w:r>
            <w:r w:rsidR="00800863" w:rsidRPr="00FF34BE">
              <w:rPr>
                <w:lang w:val="en-US"/>
              </w:rPr>
              <w:br/>
            </w:r>
            <w:r w:rsidRPr="00FF34BE">
              <w:rPr>
                <w:lang w:val="en-US"/>
              </w:rPr>
              <w:t>(deg</w:t>
            </w:r>
            <w:r w:rsidR="00800863" w:rsidRPr="00FF34BE">
              <w:rPr>
                <w:lang w:val="en-US"/>
              </w:rPr>
              <w:t>rees</w:t>
            </w:r>
            <w:r w:rsidRPr="00FF34BE">
              <w:rPr>
                <w:lang w:val="en-US"/>
              </w:rPr>
              <w:t>)</w:t>
            </w:r>
          </w:p>
        </w:tc>
        <w:tc>
          <w:tcPr>
            <w:tcW w:w="2841" w:type="dxa"/>
          </w:tcPr>
          <w:p w:rsidR="00D24B27" w:rsidRPr="00FF34BE" w:rsidRDefault="00D24B27" w:rsidP="00811E29">
            <w:pPr>
              <w:pStyle w:val="Tablehead"/>
              <w:rPr>
                <w:lang w:val="en-US"/>
              </w:rPr>
            </w:pPr>
            <w:r w:rsidRPr="00FF34BE">
              <w:rPr>
                <w:lang w:val="en-US"/>
              </w:rPr>
              <w:t>Number of stations</w:t>
            </w:r>
          </w:p>
        </w:tc>
        <w:tc>
          <w:tcPr>
            <w:tcW w:w="3259" w:type="dxa"/>
          </w:tcPr>
          <w:p w:rsidR="00811E29" w:rsidRPr="00FF34BE" w:rsidRDefault="00FF34BE" w:rsidP="008A3F3B">
            <w:pPr>
              <w:pStyle w:val="Tablehead"/>
              <w:rPr>
                <w:lang w:val="en-US"/>
              </w:rPr>
            </w:pPr>
            <w:r w:rsidRPr="00FF34BE">
              <w:rPr>
                <w:lang w:val="en-US"/>
              </w:rPr>
              <w:t>Percentage</w:t>
            </w:r>
            <w:r w:rsidR="00D24B27" w:rsidRPr="00FF34BE">
              <w:rPr>
                <w:lang w:val="en-US"/>
              </w:rPr>
              <w:t xml:space="preserve"> of stations </w:t>
            </w:r>
            <w:r w:rsidR="008A3F3B" w:rsidRPr="00FF34BE">
              <w:rPr>
                <w:lang w:val="en-US"/>
              </w:rPr>
              <w:br/>
            </w:r>
            <w:r w:rsidR="00D24B27" w:rsidRPr="00FF34BE">
              <w:rPr>
                <w:lang w:val="en-US"/>
              </w:rPr>
              <w:t>in the band</w:t>
            </w:r>
            <w:r w:rsidR="00811E29" w:rsidRPr="00FF34BE">
              <w:rPr>
                <w:lang w:val="en-US"/>
              </w:rPr>
              <w:br/>
              <w:t>(%)</w:t>
            </w:r>
          </w:p>
        </w:tc>
      </w:tr>
      <w:tr w:rsidR="00D24B27" w:rsidRPr="00FF34BE" w:rsidTr="008A3F3B">
        <w:trPr>
          <w:jc w:val="center"/>
        </w:trPr>
        <w:tc>
          <w:tcPr>
            <w:tcW w:w="2840" w:type="dxa"/>
          </w:tcPr>
          <w:p w:rsidR="00D24B27" w:rsidRPr="00FF34BE" w:rsidRDefault="00D24B27" w:rsidP="00811E29">
            <w:pPr>
              <w:pStyle w:val="Tabletext"/>
              <w:keepNext/>
              <w:keepLines/>
              <w:jc w:val="center"/>
              <w:rPr>
                <w:lang w:val="en-US"/>
              </w:rPr>
            </w:pPr>
            <w:r w:rsidRPr="00FF34BE">
              <w:rPr>
                <w:lang w:val="en-US"/>
              </w:rPr>
              <w:t>0 and below</w:t>
            </w:r>
          </w:p>
        </w:tc>
        <w:tc>
          <w:tcPr>
            <w:tcW w:w="2841" w:type="dxa"/>
          </w:tcPr>
          <w:p w:rsidR="00D24B27" w:rsidRPr="00FF34BE" w:rsidRDefault="00D24B27" w:rsidP="00800863">
            <w:pPr>
              <w:pStyle w:val="Tabletext"/>
              <w:keepNext/>
              <w:keepLines/>
              <w:jc w:val="center"/>
              <w:rPr>
                <w:lang w:val="en-US"/>
              </w:rPr>
            </w:pPr>
            <w:r w:rsidRPr="00FF34BE">
              <w:rPr>
                <w:lang w:val="en-US"/>
              </w:rPr>
              <w:t>7 860</w:t>
            </w:r>
          </w:p>
        </w:tc>
        <w:tc>
          <w:tcPr>
            <w:tcW w:w="3259" w:type="dxa"/>
          </w:tcPr>
          <w:p w:rsidR="00D24B27" w:rsidRPr="00FF34BE" w:rsidRDefault="00D24B27" w:rsidP="00811E29">
            <w:pPr>
              <w:pStyle w:val="Tabletext"/>
              <w:keepNext/>
              <w:keepLines/>
              <w:jc w:val="center"/>
              <w:rPr>
                <w:lang w:val="en-US"/>
              </w:rPr>
            </w:pPr>
            <w:r w:rsidRPr="00FF34BE">
              <w:rPr>
                <w:lang w:val="en-US"/>
              </w:rPr>
              <w:t>49.77</w:t>
            </w:r>
          </w:p>
        </w:tc>
      </w:tr>
      <w:tr w:rsidR="00D24B27" w:rsidRPr="00FF34BE" w:rsidTr="008A3F3B">
        <w:trPr>
          <w:jc w:val="center"/>
        </w:trPr>
        <w:tc>
          <w:tcPr>
            <w:tcW w:w="2840" w:type="dxa"/>
          </w:tcPr>
          <w:p w:rsidR="00D24B27" w:rsidRPr="00FF34BE" w:rsidRDefault="00D24B27" w:rsidP="00800863">
            <w:pPr>
              <w:pStyle w:val="Tabletext"/>
              <w:keepNext/>
              <w:keepLines/>
              <w:jc w:val="center"/>
              <w:rPr>
                <w:lang w:val="en-US"/>
              </w:rPr>
            </w:pPr>
            <w:r w:rsidRPr="00FF34BE">
              <w:rPr>
                <w:lang w:val="en-US"/>
              </w:rPr>
              <w:t>0-5</w:t>
            </w:r>
          </w:p>
        </w:tc>
        <w:tc>
          <w:tcPr>
            <w:tcW w:w="2841" w:type="dxa"/>
          </w:tcPr>
          <w:p w:rsidR="00D24B27" w:rsidRPr="00FF34BE" w:rsidRDefault="00D24B27" w:rsidP="00800863">
            <w:pPr>
              <w:pStyle w:val="Tabletext"/>
              <w:keepNext/>
              <w:keepLines/>
              <w:jc w:val="center"/>
              <w:rPr>
                <w:lang w:val="en-US"/>
              </w:rPr>
            </w:pPr>
            <w:r w:rsidRPr="00FF34BE">
              <w:rPr>
                <w:lang w:val="en-US"/>
              </w:rPr>
              <w:t>7 509</w:t>
            </w:r>
          </w:p>
        </w:tc>
        <w:tc>
          <w:tcPr>
            <w:tcW w:w="3259" w:type="dxa"/>
          </w:tcPr>
          <w:p w:rsidR="00D24B27" w:rsidRPr="00FF34BE" w:rsidRDefault="00811E29" w:rsidP="00800863">
            <w:pPr>
              <w:pStyle w:val="Tabletext"/>
              <w:keepNext/>
              <w:keepLines/>
              <w:jc w:val="center"/>
              <w:rPr>
                <w:lang w:val="en-US"/>
              </w:rPr>
            </w:pPr>
            <w:r w:rsidRPr="00FF34BE">
              <w:rPr>
                <w:lang w:val="en-US"/>
              </w:rPr>
              <w:t>47.54</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5-10</w:t>
            </w:r>
          </w:p>
        </w:tc>
        <w:tc>
          <w:tcPr>
            <w:tcW w:w="2841" w:type="dxa"/>
          </w:tcPr>
          <w:p w:rsidR="00D24B27" w:rsidRPr="00FF34BE" w:rsidRDefault="00D24B27" w:rsidP="00800863">
            <w:pPr>
              <w:pStyle w:val="Tabletext"/>
              <w:jc w:val="center"/>
              <w:rPr>
                <w:lang w:val="en-US"/>
              </w:rPr>
            </w:pPr>
            <w:r w:rsidRPr="00FF34BE">
              <w:rPr>
                <w:lang w:val="en-US"/>
              </w:rPr>
              <w:t>279</w:t>
            </w:r>
          </w:p>
        </w:tc>
        <w:tc>
          <w:tcPr>
            <w:tcW w:w="3259" w:type="dxa"/>
          </w:tcPr>
          <w:p w:rsidR="00D24B27" w:rsidRPr="00FF34BE" w:rsidRDefault="00D24B27" w:rsidP="00811E29">
            <w:pPr>
              <w:pStyle w:val="Tabletext"/>
              <w:jc w:val="center"/>
              <w:rPr>
                <w:lang w:val="en-US"/>
              </w:rPr>
            </w:pPr>
            <w:r w:rsidRPr="00FF34BE">
              <w:rPr>
                <w:lang w:val="en-US"/>
              </w:rPr>
              <w:t>1.76</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10-15</w:t>
            </w:r>
          </w:p>
        </w:tc>
        <w:tc>
          <w:tcPr>
            <w:tcW w:w="2841" w:type="dxa"/>
          </w:tcPr>
          <w:p w:rsidR="00D24B27" w:rsidRPr="00FF34BE" w:rsidRDefault="00D24B27" w:rsidP="00800863">
            <w:pPr>
              <w:pStyle w:val="Tabletext"/>
              <w:jc w:val="center"/>
              <w:rPr>
                <w:lang w:val="en-US"/>
              </w:rPr>
            </w:pPr>
            <w:r w:rsidRPr="00FF34BE">
              <w:rPr>
                <w:lang w:val="en-US"/>
              </w:rPr>
              <w:t>95</w:t>
            </w:r>
          </w:p>
        </w:tc>
        <w:tc>
          <w:tcPr>
            <w:tcW w:w="3259" w:type="dxa"/>
          </w:tcPr>
          <w:p w:rsidR="00D24B27" w:rsidRPr="00FF34BE" w:rsidRDefault="00D24B27" w:rsidP="00811E29">
            <w:pPr>
              <w:pStyle w:val="Tabletext"/>
              <w:jc w:val="center"/>
              <w:rPr>
                <w:lang w:val="en-US"/>
              </w:rPr>
            </w:pPr>
            <w:r w:rsidRPr="00FF34BE">
              <w:rPr>
                <w:lang w:val="en-US"/>
              </w:rPr>
              <w:t>0.60</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15-20</w:t>
            </w:r>
          </w:p>
        </w:tc>
        <w:tc>
          <w:tcPr>
            <w:tcW w:w="2841" w:type="dxa"/>
          </w:tcPr>
          <w:p w:rsidR="00D24B27" w:rsidRPr="00FF34BE" w:rsidRDefault="00D24B27" w:rsidP="00800863">
            <w:pPr>
              <w:pStyle w:val="Tabletext"/>
              <w:jc w:val="center"/>
              <w:rPr>
                <w:lang w:val="en-US"/>
              </w:rPr>
            </w:pPr>
            <w:r w:rsidRPr="00FF34BE">
              <w:rPr>
                <w:lang w:val="en-US"/>
              </w:rPr>
              <w:t>29</w:t>
            </w:r>
          </w:p>
        </w:tc>
        <w:tc>
          <w:tcPr>
            <w:tcW w:w="3259" w:type="dxa"/>
          </w:tcPr>
          <w:p w:rsidR="00D24B27" w:rsidRPr="00FF34BE" w:rsidRDefault="00D24B27" w:rsidP="00811E29">
            <w:pPr>
              <w:pStyle w:val="Tabletext"/>
              <w:jc w:val="center"/>
              <w:rPr>
                <w:lang w:val="en-US"/>
              </w:rPr>
            </w:pPr>
            <w:r w:rsidRPr="00FF34BE">
              <w:rPr>
                <w:lang w:val="en-US"/>
              </w:rPr>
              <w:t>0.18</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20-25</w:t>
            </w:r>
          </w:p>
        </w:tc>
        <w:tc>
          <w:tcPr>
            <w:tcW w:w="2841" w:type="dxa"/>
          </w:tcPr>
          <w:p w:rsidR="00D24B27" w:rsidRPr="00FF34BE" w:rsidRDefault="00D24B27" w:rsidP="00800863">
            <w:pPr>
              <w:pStyle w:val="Tabletext"/>
              <w:jc w:val="center"/>
              <w:rPr>
                <w:lang w:val="en-US"/>
              </w:rPr>
            </w:pPr>
            <w:r w:rsidRPr="00FF34BE">
              <w:rPr>
                <w:lang w:val="en-US"/>
              </w:rPr>
              <w:t>12</w:t>
            </w:r>
          </w:p>
        </w:tc>
        <w:tc>
          <w:tcPr>
            <w:tcW w:w="3259" w:type="dxa"/>
          </w:tcPr>
          <w:p w:rsidR="00D24B27" w:rsidRPr="00FF34BE" w:rsidRDefault="00D24B27" w:rsidP="00811E29">
            <w:pPr>
              <w:pStyle w:val="Tabletext"/>
              <w:jc w:val="center"/>
              <w:rPr>
                <w:lang w:val="en-US"/>
              </w:rPr>
            </w:pPr>
            <w:r w:rsidRPr="00FF34BE">
              <w:rPr>
                <w:lang w:val="en-US"/>
              </w:rPr>
              <w:t>0.075</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25-30</w:t>
            </w:r>
          </w:p>
        </w:tc>
        <w:tc>
          <w:tcPr>
            <w:tcW w:w="2841" w:type="dxa"/>
          </w:tcPr>
          <w:p w:rsidR="00D24B27" w:rsidRPr="00FF34BE" w:rsidRDefault="00D24B27" w:rsidP="00800863">
            <w:pPr>
              <w:pStyle w:val="Tabletext"/>
              <w:jc w:val="center"/>
              <w:rPr>
                <w:lang w:val="en-US"/>
              </w:rPr>
            </w:pPr>
            <w:r w:rsidRPr="00FF34BE">
              <w:rPr>
                <w:lang w:val="en-US"/>
              </w:rPr>
              <w:t>4</w:t>
            </w:r>
          </w:p>
        </w:tc>
        <w:tc>
          <w:tcPr>
            <w:tcW w:w="3259" w:type="dxa"/>
          </w:tcPr>
          <w:p w:rsidR="00D24B27" w:rsidRPr="00FF34BE" w:rsidRDefault="00D24B27" w:rsidP="00811E29">
            <w:pPr>
              <w:pStyle w:val="Tabletext"/>
              <w:jc w:val="center"/>
              <w:rPr>
                <w:lang w:val="en-US"/>
              </w:rPr>
            </w:pPr>
            <w:r w:rsidRPr="00FF34BE">
              <w:rPr>
                <w:lang w:val="en-US"/>
              </w:rPr>
              <w:t>0.025</w:t>
            </w:r>
          </w:p>
        </w:tc>
      </w:tr>
      <w:tr w:rsidR="00D24B27" w:rsidRPr="00FF34BE" w:rsidTr="008A3F3B">
        <w:trPr>
          <w:jc w:val="center"/>
        </w:trPr>
        <w:tc>
          <w:tcPr>
            <w:tcW w:w="2840" w:type="dxa"/>
          </w:tcPr>
          <w:p w:rsidR="00D24B27" w:rsidRPr="00FF34BE" w:rsidRDefault="00D24B27" w:rsidP="00800863">
            <w:pPr>
              <w:pStyle w:val="Tabletext"/>
              <w:jc w:val="center"/>
              <w:rPr>
                <w:lang w:val="en-US"/>
              </w:rPr>
            </w:pPr>
            <w:r w:rsidRPr="00FF34BE">
              <w:rPr>
                <w:lang w:val="en-US"/>
              </w:rPr>
              <w:t>30-90</w:t>
            </w:r>
          </w:p>
        </w:tc>
        <w:tc>
          <w:tcPr>
            <w:tcW w:w="2841" w:type="dxa"/>
          </w:tcPr>
          <w:p w:rsidR="00D24B27" w:rsidRPr="00FF34BE" w:rsidRDefault="00D24B27" w:rsidP="00800863">
            <w:pPr>
              <w:pStyle w:val="Tabletext"/>
              <w:jc w:val="center"/>
              <w:rPr>
                <w:lang w:val="en-US"/>
              </w:rPr>
            </w:pPr>
            <w:r w:rsidRPr="00FF34BE">
              <w:rPr>
                <w:lang w:val="en-US"/>
              </w:rPr>
              <w:t>4</w:t>
            </w:r>
          </w:p>
        </w:tc>
        <w:tc>
          <w:tcPr>
            <w:tcW w:w="3259" w:type="dxa"/>
          </w:tcPr>
          <w:p w:rsidR="00D24B27" w:rsidRPr="00FF34BE" w:rsidRDefault="00D24B27" w:rsidP="00811E29">
            <w:pPr>
              <w:pStyle w:val="Tabletext"/>
              <w:jc w:val="center"/>
              <w:rPr>
                <w:lang w:val="en-US"/>
              </w:rPr>
            </w:pPr>
            <w:r w:rsidRPr="00FF34BE">
              <w:rPr>
                <w:lang w:val="en-US"/>
              </w:rPr>
              <w:t>0.025</w:t>
            </w:r>
          </w:p>
        </w:tc>
      </w:tr>
    </w:tbl>
    <w:p w:rsidR="00D24B27" w:rsidRPr="00FF34BE" w:rsidRDefault="00D24B27" w:rsidP="00811E29">
      <w:pPr>
        <w:pStyle w:val="Tablefin"/>
        <w:rPr>
          <w:lang w:val="en-US"/>
        </w:rPr>
      </w:pPr>
    </w:p>
    <w:p w:rsidR="004622CA" w:rsidRPr="00FF34BE" w:rsidRDefault="004622CA" w:rsidP="004622CA">
      <w:pPr>
        <w:pStyle w:val="Heading1"/>
        <w:rPr>
          <w:lang w:val="en-US"/>
        </w:rPr>
      </w:pPr>
      <w:bookmarkStart w:id="17" w:name="_Toc284424045"/>
      <w:bookmarkStart w:id="18" w:name="_Toc284425222"/>
      <w:bookmarkStart w:id="19" w:name="_Toc284425400"/>
      <w:r w:rsidRPr="00FF34BE">
        <w:rPr>
          <w:lang w:val="en-US"/>
        </w:rPr>
        <w:t>4</w:t>
      </w:r>
      <w:r w:rsidRPr="00FF34BE">
        <w:rPr>
          <w:lang w:val="en-US"/>
        </w:rPr>
        <w:tab/>
        <w:t>Determination of an AMS pfd mask for the protection of FS</w:t>
      </w:r>
      <w:bookmarkEnd w:id="17"/>
      <w:bookmarkEnd w:id="18"/>
      <w:bookmarkEnd w:id="19"/>
    </w:p>
    <w:p w:rsidR="004622CA" w:rsidRPr="00FF34BE" w:rsidRDefault="004622CA" w:rsidP="004622CA">
      <w:pPr>
        <w:pStyle w:val="Heading2"/>
        <w:rPr>
          <w:lang w:val="en-US"/>
        </w:rPr>
      </w:pPr>
      <w:bookmarkStart w:id="20" w:name="_Toc284424046"/>
      <w:bookmarkStart w:id="21" w:name="_Toc284425223"/>
      <w:bookmarkStart w:id="22" w:name="_Toc284425401"/>
      <w:r w:rsidRPr="00FF34BE">
        <w:rPr>
          <w:lang w:val="en-US"/>
        </w:rPr>
        <w:t>4.1</w:t>
      </w:r>
      <w:r w:rsidRPr="00FF34BE">
        <w:rPr>
          <w:lang w:val="en-US"/>
        </w:rPr>
        <w:tab/>
        <w:t>Existing mask in RR Article 21</w:t>
      </w:r>
      <w:bookmarkEnd w:id="20"/>
      <w:bookmarkEnd w:id="21"/>
      <w:bookmarkEnd w:id="22"/>
    </w:p>
    <w:p w:rsidR="004622CA" w:rsidRPr="00FF34BE" w:rsidRDefault="004622CA" w:rsidP="004622CA">
      <w:pPr>
        <w:rPr>
          <w:lang w:val="en-US"/>
        </w:rPr>
      </w:pPr>
      <w:r w:rsidRPr="00FF34BE">
        <w:rPr>
          <w:lang w:val="en-US"/>
        </w:rPr>
        <w:t>RR Article 21 gives, for the 37-38 GHz band, a pfd mask for the protection of the fixed service from GSO and non-GSO FSS, MSS and SRS satellites. The pfd mask related to non</w:t>
      </w:r>
      <w:r w:rsidRPr="00FF34BE">
        <w:rPr>
          <w:lang w:val="en-US"/>
        </w:rPr>
        <w:noBreakHyphen/>
        <w:t>GSO satellites is reproduced in Fig. 2.</w:t>
      </w:r>
    </w:p>
    <w:p w:rsidR="00D24B27" w:rsidRPr="00FF34BE" w:rsidRDefault="00D24B27" w:rsidP="008A3F3B">
      <w:pPr>
        <w:pStyle w:val="FigureNo"/>
        <w:rPr>
          <w:lang w:val="en-US"/>
        </w:rPr>
      </w:pPr>
      <w:r w:rsidRPr="00FF34BE">
        <w:rPr>
          <w:lang w:val="en-US"/>
        </w:rPr>
        <w:lastRenderedPageBreak/>
        <w:t>Figure 1</w:t>
      </w:r>
    </w:p>
    <w:p w:rsidR="00D24B27" w:rsidRPr="00FF34BE" w:rsidRDefault="00D24B27" w:rsidP="008A3F3B">
      <w:pPr>
        <w:pStyle w:val="Figuretitle"/>
        <w:rPr>
          <w:lang w:val="en-US"/>
        </w:rPr>
      </w:pPr>
      <w:r w:rsidRPr="00FF34BE">
        <w:rPr>
          <w:lang w:val="en-US"/>
        </w:rPr>
        <w:t>Distribution of FS stations elevation angles in one country at 38 GHz</w:t>
      </w:r>
    </w:p>
    <w:p w:rsidR="00D24B27" w:rsidRPr="00FF34BE" w:rsidRDefault="00D24B27" w:rsidP="00811E29">
      <w:pPr>
        <w:pStyle w:val="Figure"/>
        <w:rPr>
          <w:lang w:val="en-US"/>
        </w:rPr>
      </w:pPr>
      <w:r w:rsidRPr="00FF34BE">
        <w:rPr>
          <w:noProof/>
          <w:lang w:val="en-US" w:eastAsia="zh-CN"/>
        </w:rPr>
        <w:drawing>
          <wp:inline distT="0" distB="0" distL="0" distR="0">
            <wp:extent cx="5756275" cy="355219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3552190"/>
                    </a:xfrm>
                    <a:prstGeom prst="rect">
                      <a:avLst/>
                    </a:prstGeom>
                    <a:noFill/>
                    <a:ln>
                      <a:noFill/>
                    </a:ln>
                  </pic:spPr>
                </pic:pic>
              </a:graphicData>
            </a:graphic>
          </wp:inline>
        </w:drawing>
      </w:r>
    </w:p>
    <w:p w:rsidR="00811E29" w:rsidRPr="00FF34BE" w:rsidRDefault="00811E29" w:rsidP="00811E29">
      <w:pPr>
        <w:rPr>
          <w:lang w:val="en-US"/>
        </w:rPr>
      </w:pPr>
    </w:p>
    <w:p w:rsidR="00D24B27" w:rsidRPr="00FF34BE" w:rsidRDefault="00D24B27" w:rsidP="008A3F3B">
      <w:pPr>
        <w:pStyle w:val="FigureNo"/>
        <w:rPr>
          <w:lang w:val="en-US"/>
        </w:rPr>
      </w:pPr>
      <w:r w:rsidRPr="00FF34BE">
        <w:rPr>
          <w:lang w:val="en-US"/>
        </w:rPr>
        <w:t>Figure 2</w:t>
      </w:r>
    </w:p>
    <w:p w:rsidR="00D24B27" w:rsidRPr="00FF34BE" w:rsidRDefault="00D24B27" w:rsidP="008A3F3B">
      <w:pPr>
        <w:pStyle w:val="Figuretitle"/>
        <w:rPr>
          <w:lang w:val="en-US"/>
        </w:rPr>
      </w:pPr>
      <w:r w:rsidRPr="00FF34BE">
        <w:rPr>
          <w:lang w:val="en-US"/>
        </w:rPr>
        <w:t>RR Article 21 pfd mask related to non-GSO satellite in the band 37-38 GHz</w:t>
      </w:r>
    </w:p>
    <w:p w:rsidR="00D24B27" w:rsidRPr="00FF34BE" w:rsidRDefault="00D24B27" w:rsidP="00811E29">
      <w:pPr>
        <w:pStyle w:val="Figure"/>
        <w:rPr>
          <w:lang w:val="en-US"/>
        </w:rPr>
      </w:pPr>
      <w:r w:rsidRPr="00FF34BE">
        <w:rPr>
          <w:noProof/>
          <w:lang w:val="en-US" w:eastAsia="zh-CN"/>
        </w:rPr>
        <w:drawing>
          <wp:inline distT="0" distB="0" distL="0" distR="0">
            <wp:extent cx="5255895" cy="3796030"/>
            <wp:effectExtent l="0" t="0" r="1905" b="0"/>
            <wp:docPr id="4" name="Picture 4" descr="pfd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dmask"/>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5895" cy="3796030"/>
                    </a:xfrm>
                    <a:prstGeom prst="rect">
                      <a:avLst/>
                    </a:prstGeom>
                    <a:noFill/>
                    <a:ln>
                      <a:noFill/>
                    </a:ln>
                  </pic:spPr>
                </pic:pic>
              </a:graphicData>
            </a:graphic>
          </wp:inline>
        </w:drawing>
      </w:r>
    </w:p>
    <w:p w:rsidR="00D24B27" w:rsidRPr="00FF34BE" w:rsidRDefault="00D24B27" w:rsidP="00811E29">
      <w:pPr>
        <w:rPr>
          <w:lang w:val="en-US"/>
        </w:rPr>
      </w:pPr>
      <w:r w:rsidRPr="00FF34BE">
        <w:rPr>
          <w:lang w:val="en-US"/>
        </w:rPr>
        <w:lastRenderedPageBreak/>
        <w:t>It is proposed to retain as a tentative the same pfd mask for the protection of FS from AMS. As this mask relates to the power flux-density that would be obtained assuming free-space loss, an additional attenuation due to atmospheric loss factors will be added in the dynamic simulation.</w:t>
      </w:r>
    </w:p>
    <w:p w:rsidR="00D24B27" w:rsidRPr="00FF34BE" w:rsidRDefault="00D24B27" w:rsidP="00D24B27">
      <w:pPr>
        <w:pStyle w:val="Heading2"/>
        <w:rPr>
          <w:szCs w:val="24"/>
          <w:lang w:val="en-US"/>
        </w:rPr>
      </w:pPr>
      <w:bookmarkStart w:id="23" w:name="_Toc284424047"/>
      <w:bookmarkStart w:id="24" w:name="_Toc284425224"/>
      <w:bookmarkStart w:id="25" w:name="_Toc284425402"/>
      <w:r w:rsidRPr="00FF34BE">
        <w:rPr>
          <w:szCs w:val="24"/>
          <w:lang w:val="en-US"/>
        </w:rPr>
        <w:t>4.2</w:t>
      </w:r>
      <w:r w:rsidRPr="00FF34BE">
        <w:rPr>
          <w:szCs w:val="24"/>
          <w:lang w:val="en-US"/>
        </w:rPr>
        <w:tab/>
        <w:t>Dynamic analysis</w:t>
      </w:r>
      <w:bookmarkEnd w:id="23"/>
      <w:bookmarkEnd w:id="24"/>
      <w:bookmarkEnd w:id="25"/>
    </w:p>
    <w:p w:rsidR="00D24B27" w:rsidRPr="00FF34BE" w:rsidRDefault="00D24B27" w:rsidP="00811E29">
      <w:pPr>
        <w:rPr>
          <w:szCs w:val="24"/>
          <w:lang w:val="en-US"/>
        </w:rPr>
      </w:pPr>
      <w:r w:rsidRPr="00FF34BE">
        <w:rPr>
          <w:szCs w:val="24"/>
          <w:lang w:val="en-US"/>
        </w:rPr>
        <w:t xml:space="preserve">It is necessary to verify that the mask defined in </w:t>
      </w:r>
      <w:r w:rsidR="00811E29" w:rsidRPr="00FF34BE">
        <w:rPr>
          <w:szCs w:val="24"/>
          <w:lang w:val="en-US"/>
        </w:rPr>
        <w:t>§</w:t>
      </w:r>
      <w:r w:rsidRPr="00FF34BE">
        <w:rPr>
          <w:szCs w:val="24"/>
          <w:lang w:val="en-US"/>
        </w:rPr>
        <w:t xml:space="preserve"> 4.1 is sufficient to protect the fixed service from harmful interference from AMS, in particular for the long term through a dynamic simulation. This is done through the same kind of simulation that was used for the AMSS at 14 GHz before </w:t>
      </w:r>
      <w:smartTag w:uri="urn:schemas-microsoft-com:office:smarttags" w:element="metricconverter">
        <w:smartTagPr>
          <w:attr w:name="ProductID" w:val="10 in"/>
        </w:smartTagPr>
        <w:r w:rsidRPr="00FF34BE">
          <w:rPr>
            <w:szCs w:val="24"/>
            <w:lang w:val="en-US"/>
          </w:rPr>
          <w:t>2003. In</w:t>
        </w:r>
      </w:smartTag>
      <w:r w:rsidRPr="00FF34BE">
        <w:rPr>
          <w:szCs w:val="24"/>
          <w:lang w:val="en-US"/>
        </w:rPr>
        <w:t xml:space="preserve"> particular, the air-traffic assumptions are the same as in the sharing study between AMSS and FS and between AMSS and RAS before 2003. </w:t>
      </w:r>
    </w:p>
    <w:p w:rsidR="00D24B27" w:rsidRPr="00FF34BE" w:rsidRDefault="00D24B27" w:rsidP="00D24B27">
      <w:pPr>
        <w:rPr>
          <w:szCs w:val="24"/>
          <w:lang w:val="en-US"/>
        </w:rPr>
      </w:pPr>
      <w:r w:rsidRPr="00FF34BE">
        <w:rPr>
          <w:szCs w:val="24"/>
          <w:lang w:val="en-US"/>
        </w:rPr>
        <w:t xml:space="preserve">Fifty aircraft are deployed on air routes above the </w:t>
      </w:r>
      <w:smartTag w:uri="urn:schemas-microsoft-com:office:smarttags" w:element="metricconverter">
        <w:smartTagPr>
          <w:attr w:name="ProductID" w:val="10 in"/>
        </w:smartTagPr>
        <w:smartTag w:uri="urn:schemas-microsoft-com:office:smarttags" w:element="metricconverter">
          <w:smartTagPr>
            <w:attr w:name="ProductID" w:val="10 in"/>
          </w:smartTagPr>
          <w:r w:rsidRPr="00FF34BE">
            <w:rPr>
              <w:szCs w:val="24"/>
              <w:lang w:val="en-US"/>
            </w:rPr>
            <w:t>territory</w:t>
          </w:r>
        </w:smartTag>
        <w:r w:rsidRPr="00FF34BE">
          <w:rPr>
            <w:szCs w:val="24"/>
            <w:lang w:val="en-US"/>
          </w:rPr>
          <w:t xml:space="preserve"> of </w:t>
        </w:r>
        <w:smartTag w:uri="urn:schemas-microsoft-com:office:smarttags" w:element="metricconverter">
          <w:smartTagPr>
            <w:attr w:name="ProductID" w:val="10 in"/>
          </w:smartTagPr>
          <w:r w:rsidRPr="00FF34BE">
            <w:rPr>
              <w:szCs w:val="24"/>
              <w:lang w:val="en-US"/>
            </w:rPr>
            <w:t>France</w:t>
          </w:r>
        </w:smartTag>
      </w:smartTag>
      <w:r w:rsidRPr="00FF34BE">
        <w:rPr>
          <w:szCs w:val="24"/>
          <w:lang w:val="en-US"/>
        </w:rPr>
        <w:t xml:space="preserve">. Their altitude is either 1 000, 5 000 or </w:t>
      </w:r>
      <w:smartTag w:uri="urn:schemas-microsoft-com:office:smarttags" w:element="metricconverter">
        <w:smartTagPr>
          <w:attr w:name="ProductID" w:val="10 in"/>
        </w:smartTagPr>
        <w:r w:rsidRPr="00FF34BE">
          <w:rPr>
            <w:szCs w:val="24"/>
            <w:lang w:val="en-US"/>
          </w:rPr>
          <w:t>10 000 m</w:t>
        </w:r>
      </w:smartTag>
      <w:r w:rsidRPr="00FF34BE">
        <w:rPr>
          <w:szCs w:val="24"/>
          <w:lang w:val="en-US"/>
        </w:rPr>
        <w:t xml:space="preserve">, and their speed </w:t>
      </w:r>
      <w:smartTag w:uri="urn:schemas-microsoft-com:office:smarttags" w:element="metricconverter">
        <w:smartTagPr>
          <w:attr w:name="ProductID" w:val="10 in"/>
        </w:smartTagPr>
        <w:r w:rsidRPr="00FF34BE">
          <w:rPr>
            <w:szCs w:val="24"/>
            <w:lang w:val="en-US"/>
          </w:rPr>
          <w:t>800 km/h</w:t>
        </w:r>
      </w:smartTag>
      <w:r w:rsidRPr="00FF34BE">
        <w:rPr>
          <w:szCs w:val="24"/>
          <w:lang w:val="en-US"/>
        </w:rPr>
        <w:t>. Figure 3 shows the air routes simulated.</w:t>
      </w:r>
    </w:p>
    <w:p w:rsidR="00D24B27" w:rsidRPr="00FF34BE" w:rsidRDefault="00D24B27" w:rsidP="008A3F3B">
      <w:pPr>
        <w:pStyle w:val="FigureNo"/>
        <w:rPr>
          <w:lang w:val="en-US"/>
        </w:rPr>
      </w:pPr>
      <w:r w:rsidRPr="00FF34BE">
        <w:rPr>
          <w:lang w:val="en-US"/>
        </w:rPr>
        <w:t>Figure 3</w:t>
      </w:r>
    </w:p>
    <w:p w:rsidR="00D24B27" w:rsidRPr="00FF34BE" w:rsidRDefault="00D24B27" w:rsidP="008A3F3B">
      <w:pPr>
        <w:pStyle w:val="Figuretitle"/>
        <w:rPr>
          <w:lang w:val="en-US"/>
        </w:rPr>
      </w:pPr>
      <w:bookmarkStart w:id="26" w:name="_Toc195519760"/>
      <w:r w:rsidRPr="00FF34BE">
        <w:rPr>
          <w:lang w:val="en-US"/>
        </w:rPr>
        <w:t>Air routes considered for simulation</w:t>
      </w:r>
      <w:bookmarkEnd w:id="26"/>
    </w:p>
    <w:p w:rsidR="00D24B27" w:rsidRPr="00FF34BE" w:rsidRDefault="00D24B27" w:rsidP="00811E29">
      <w:pPr>
        <w:pStyle w:val="Figure"/>
        <w:rPr>
          <w:lang w:val="en-US"/>
        </w:rPr>
      </w:pPr>
      <w:r w:rsidRPr="00FF34BE">
        <w:rPr>
          <w:noProof/>
          <w:lang w:val="en-US" w:eastAsia="zh-CN"/>
        </w:rPr>
        <w:drawing>
          <wp:inline distT="0" distB="0" distL="0" distR="0">
            <wp:extent cx="6012815" cy="4124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68" b="4768"/>
                    <a:stretch>
                      <a:fillRect/>
                    </a:stretch>
                  </pic:blipFill>
                  <pic:spPr bwMode="auto">
                    <a:xfrm>
                      <a:off x="0" y="0"/>
                      <a:ext cx="6012815" cy="4124960"/>
                    </a:xfrm>
                    <a:prstGeom prst="rect">
                      <a:avLst/>
                    </a:prstGeom>
                    <a:noFill/>
                    <a:ln>
                      <a:noFill/>
                    </a:ln>
                  </pic:spPr>
                </pic:pic>
              </a:graphicData>
            </a:graphic>
          </wp:inline>
        </w:drawing>
      </w:r>
    </w:p>
    <w:p w:rsidR="00D24B27" w:rsidRPr="00FF34BE" w:rsidRDefault="00D24B27" w:rsidP="00811E29">
      <w:pPr>
        <w:rPr>
          <w:lang w:val="en-US"/>
        </w:rPr>
      </w:pPr>
      <w:r w:rsidRPr="00FF34BE">
        <w:rPr>
          <w:lang w:val="en-US"/>
        </w:rPr>
        <w:t>Two hundred and twenty-five FS stations are then deployed for each half degree of longitude and latitude between −1° and 6° of longitude and 43° and 50° of latitude. The FS station elevation angle is fixed (either 0.5 or 10°). The azimuth pointing angle is random with a uniform distribution. The maximum antenna gain is 47 dBi and the antenna pattern used follows Recommendation ITU</w:t>
      </w:r>
      <w:r w:rsidRPr="00FF34BE">
        <w:rPr>
          <w:lang w:val="en-US"/>
        </w:rPr>
        <w:noBreakHyphen/>
        <w:t>R F.1245.</w:t>
      </w:r>
    </w:p>
    <w:p w:rsidR="00D24B27" w:rsidRPr="00FF34BE" w:rsidRDefault="00D24B27" w:rsidP="00811E29">
      <w:pPr>
        <w:rPr>
          <w:szCs w:val="24"/>
          <w:lang w:val="en-US"/>
        </w:rPr>
      </w:pPr>
      <w:r w:rsidRPr="00FF34BE">
        <w:rPr>
          <w:szCs w:val="24"/>
          <w:lang w:val="en-US"/>
        </w:rPr>
        <w:t xml:space="preserve">The fractional degradation of performance (FDP) parameter is then calculated over one hour with a time step of </w:t>
      </w:r>
      <w:r w:rsidR="00811E29" w:rsidRPr="00FF34BE">
        <w:rPr>
          <w:szCs w:val="24"/>
          <w:lang w:val="en-US"/>
        </w:rPr>
        <w:t>one</w:t>
      </w:r>
      <w:r w:rsidRPr="00FF34BE">
        <w:rPr>
          <w:szCs w:val="24"/>
          <w:lang w:val="en-US"/>
        </w:rPr>
        <w:t xml:space="preserve"> second while the aircraft are moving over the air routes. The results are given in Table 3 for the 225 stations pointing at an elevation angle of 0°, Table 4 for the 225 stations pointing at an elevation angle of 5° and in Table 5 for an elevation angle of 10°.</w:t>
      </w:r>
    </w:p>
    <w:p w:rsidR="00D24B27" w:rsidRPr="00FF34BE" w:rsidRDefault="00D24B27" w:rsidP="007D4A05">
      <w:pPr>
        <w:pStyle w:val="TableNo"/>
        <w:keepLines/>
        <w:rPr>
          <w:sz w:val="22"/>
          <w:szCs w:val="22"/>
          <w:lang w:val="en-US"/>
        </w:rPr>
      </w:pPr>
      <w:r w:rsidRPr="00FF34BE">
        <w:rPr>
          <w:sz w:val="22"/>
          <w:szCs w:val="22"/>
          <w:lang w:val="en-US"/>
        </w:rPr>
        <w:lastRenderedPageBreak/>
        <w:t>TABLE 3</w:t>
      </w:r>
    </w:p>
    <w:p w:rsidR="00D24B27" w:rsidRPr="00FF34BE" w:rsidRDefault="00D24B27" w:rsidP="007D4A05">
      <w:pPr>
        <w:pStyle w:val="Tabletitle"/>
        <w:keepLines/>
        <w:rPr>
          <w:szCs w:val="24"/>
          <w:lang w:val="en-US"/>
        </w:rPr>
      </w:pPr>
      <w:r w:rsidRPr="00FF34BE">
        <w:rPr>
          <w:sz w:val="22"/>
          <w:szCs w:val="22"/>
          <w:lang w:val="en-US"/>
        </w:rPr>
        <w:t>FDP values obtained for the 64 FS stations (in percentage) for the elevation 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643"/>
        <w:gridCol w:w="642"/>
        <w:gridCol w:w="643"/>
        <w:gridCol w:w="643"/>
        <w:gridCol w:w="642"/>
        <w:gridCol w:w="643"/>
        <w:gridCol w:w="642"/>
        <w:gridCol w:w="643"/>
        <w:gridCol w:w="643"/>
        <w:gridCol w:w="642"/>
        <w:gridCol w:w="643"/>
        <w:gridCol w:w="642"/>
        <w:gridCol w:w="643"/>
        <w:gridCol w:w="643"/>
      </w:tblGrid>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0.19</w:t>
            </w:r>
          </w:p>
        </w:tc>
      </w:tr>
      <w:tr w:rsidR="00D24B27" w:rsidRPr="00FF34BE" w:rsidTr="00811E29">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b/>
                <w:sz w:val="20"/>
                <w:lang w:val="en-US" w:eastAsia="fr-FR"/>
              </w:rPr>
            </w:pPr>
            <w:r w:rsidRPr="00FF34BE">
              <w:rPr>
                <w:b/>
                <w:sz w:val="20"/>
                <w:lang w:val="en-US" w:eastAsia="fr-FR"/>
              </w:rPr>
              <w:t>0.08</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811E29">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bl>
    <w:p w:rsidR="00811E29" w:rsidRPr="00FF34BE" w:rsidRDefault="00811E29" w:rsidP="00811E29">
      <w:pPr>
        <w:pStyle w:val="Tablefin"/>
        <w:rPr>
          <w:lang w:val="en-US"/>
        </w:rPr>
      </w:pPr>
    </w:p>
    <w:p w:rsidR="004622CA" w:rsidRPr="00FF34BE" w:rsidRDefault="004622CA" w:rsidP="004622CA">
      <w:pPr>
        <w:rPr>
          <w:lang w:val="en-US"/>
        </w:rPr>
      </w:pPr>
    </w:p>
    <w:p w:rsidR="004622CA" w:rsidRPr="00FF34BE" w:rsidRDefault="004622CA" w:rsidP="004622CA">
      <w:pPr>
        <w:rPr>
          <w:lang w:val="en-US"/>
        </w:rPr>
      </w:pPr>
    </w:p>
    <w:p w:rsidR="004622CA" w:rsidRPr="00FF34BE" w:rsidRDefault="004622CA" w:rsidP="004622CA">
      <w:pPr>
        <w:rPr>
          <w:lang w:val="en-US"/>
        </w:rPr>
      </w:pPr>
    </w:p>
    <w:p w:rsidR="004622CA" w:rsidRPr="00FF34BE" w:rsidRDefault="004622CA" w:rsidP="004622CA">
      <w:pPr>
        <w:rPr>
          <w:lang w:val="en-US"/>
        </w:rPr>
      </w:pPr>
    </w:p>
    <w:p w:rsidR="00D24B27" w:rsidRPr="00FF34BE" w:rsidRDefault="00D24B27" w:rsidP="007D4A05">
      <w:pPr>
        <w:pStyle w:val="TableNo"/>
        <w:rPr>
          <w:sz w:val="22"/>
          <w:szCs w:val="22"/>
          <w:lang w:val="en-US"/>
        </w:rPr>
      </w:pPr>
      <w:r w:rsidRPr="00FF34BE">
        <w:rPr>
          <w:sz w:val="22"/>
          <w:szCs w:val="22"/>
          <w:lang w:val="en-US"/>
        </w:rPr>
        <w:t>TABLE 4</w:t>
      </w:r>
    </w:p>
    <w:p w:rsidR="00D24B27" w:rsidRPr="00FF34BE" w:rsidRDefault="00D24B27" w:rsidP="00D24B27">
      <w:pPr>
        <w:pStyle w:val="Tabletitle"/>
        <w:rPr>
          <w:sz w:val="22"/>
          <w:szCs w:val="22"/>
          <w:lang w:val="en-US"/>
        </w:rPr>
      </w:pPr>
      <w:r w:rsidRPr="00FF34BE">
        <w:rPr>
          <w:sz w:val="22"/>
          <w:szCs w:val="22"/>
          <w:lang w:val="en-US"/>
        </w:rPr>
        <w:t>FDP values obtained for the 64 FS stations (in percentage) for the elevation 5°</w:t>
      </w:r>
    </w:p>
    <w:tbl>
      <w:tblPr>
        <w:tblW w:w="9639" w:type="dxa"/>
        <w:jc w:val="center"/>
        <w:tblLayout w:type="fixed"/>
        <w:tblLook w:val="0000"/>
      </w:tblPr>
      <w:tblGrid>
        <w:gridCol w:w="642"/>
        <w:gridCol w:w="643"/>
        <w:gridCol w:w="642"/>
        <w:gridCol w:w="643"/>
        <w:gridCol w:w="643"/>
        <w:gridCol w:w="642"/>
        <w:gridCol w:w="643"/>
        <w:gridCol w:w="642"/>
        <w:gridCol w:w="643"/>
        <w:gridCol w:w="643"/>
        <w:gridCol w:w="642"/>
        <w:gridCol w:w="643"/>
        <w:gridCol w:w="642"/>
        <w:gridCol w:w="643"/>
        <w:gridCol w:w="643"/>
      </w:tblGrid>
      <w:tr w:rsidR="00D24B27" w:rsidRPr="00FF34BE" w:rsidTr="000E1294">
        <w:trPr>
          <w:trHeight w:val="255"/>
          <w:jc w:val="center"/>
        </w:trPr>
        <w:tc>
          <w:tcPr>
            <w:tcW w:w="642"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0.27</w:t>
            </w:r>
          </w:p>
        </w:tc>
        <w:tc>
          <w:tcPr>
            <w:tcW w:w="642"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0.31</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single" w:sz="4" w:space="0" w:color="auto"/>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0.63</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0.41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2.32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0.09</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1.67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0.97</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0.79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1.16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0.39</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0.58</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0.64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0.75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0.13</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0.49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1.18</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0.52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0.64</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0.48</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0.74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0.86</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0.36</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0.64</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0.42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b/>
                <w:sz w:val="20"/>
                <w:lang w:val="en-US" w:eastAsia="fr-FR"/>
              </w:rPr>
            </w:pPr>
            <w:r w:rsidRPr="00FF34BE">
              <w:rPr>
                <w:b/>
                <w:sz w:val="20"/>
                <w:lang w:val="en-US" w:eastAsia="fr-FR"/>
              </w:rPr>
              <w:t>2.66</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1.60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0.52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1.37</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0.89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1.42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0.52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0.70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0.26</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0.20</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0.35</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0.83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0.29</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0.09</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0.18</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0.84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0.13</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0.24</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tcBorders>
              <w:top w:val="nil"/>
              <w:left w:val="single" w:sz="4" w:space="0" w:color="auto"/>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0.37</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0.22</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0.09</w:t>
            </w:r>
          </w:p>
        </w:tc>
        <w:tc>
          <w:tcPr>
            <w:tcW w:w="642"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bl>
    <w:p w:rsidR="00D24B27" w:rsidRPr="00FF34BE" w:rsidRDefault="00D24B27" w:rsidP="00811E29">
      <w:pPr>
        <w:pStyle w:val="Tablefin"/>
        <w:rPr>
          <w:lang w:val="en-US"/>
        </w:rPr>
      </w:pPr>
    </w:p>
    <w:p w:rsidR="00D24B27" w:rsidRPr="00FF34BE" w:rsidRDefault="00D24B27" w:rsidP="007D4A05">
      <w:pPr>
        <w:pStyle w:val="TableNo"/>
        <w:spacing w:before="240"/>
        <w:rPr>
          <w:sz w:val="22"/>
          <w:szCs w:val="22"/>
          <w:lang w:val="en-US"/>
        </w:rPr>
      </w:pPr>
      <w:r w:rsidRPr="00FF34BE">
        <w:rPr>
          <w:sz w:val="22"/>
          <w:szCs w:val="22"/>
          <w:lang w:val="en-US"/>
        </w:rPr>
        <w:lastRenderedPageBreak/>
        <w:t>TABLE 5</w:t>
      </w:r>
    </w:p>
    <w:p w:rsidR="00D24B27" w:rsidRPr="00FF34BE" w:rsidRDefault="00D24B27" w:rsidP="007D4A05">
      <w:pPr>
        <w:pStyle w:val="Tabletitle"/>
        <w:keepLines/>
        <w:rPr>
          <w:sz w:val="22"/>
          <w:szCs w:val="22"/>
          <w:lang w:val="en-US"/>
        </w:rPr>
      </w:pPr>
      <w:r w:rsidRPr="00FF34BE">
        <w:rPr>
          <w:sz w:val="22"/>
          <w:szCs w:val="22"/>
          <w:lang w:val="en-US"/>
        </w:rPr>
        <w:t>FDP values obtained for the 225 FS stations (in percentage) for the elevation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643"/>
        <w:gridCol w:w="642"/>
        <w:gridCol w:w="643"/>
        <w:gridCol w:w="643"/>
        <w:gridCol w:w="642"/>
        <w:gridCol w:w="643"/>
        <w:gridCol w:w="642"/>
        <w:gridCol w:w="643"/>
        <w:gridCol w:w="643"/>
        <w:gridCol w:w="642"/>
        <w:gridCol w:w="643"/>
        <w:gridCol w:w="642"/>
        <w:gridCol w:w="643"/>
        <w:gridCol w:w="643"/>
      </w:tblGrid>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1.29</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0.29</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0.17</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0.22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0.09</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2.86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0.43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0.34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1.78</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0.21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1.81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0.67</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3.22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0.31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0.48</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0.18</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0.33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3.70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0.44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0.07</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0.04</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2.35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0.63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0.09</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keepNext/>
              <w:keepLines/>
              <w:jc w:val="center"/>
              <w:rPr>
                <w:b/>
                <w:sz w:val="20"/>
                <w:lang w:val="en-US" w:eastAsia="fr-FR"/>
              </w:rPr>
            </w:pPr>
            <w:r w:rsidRPr="00FF34BE">
              <w:rPr>
                <w:b/>
                <w:sz w:val="20"/>
                <w:lang w:val="en-US" w:eastAsia="fr-FR"/>
              </w:rPr>
              <w:t>4.35</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0.07</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r>
      <w:tr w:rsidR="00D24B27" w:rsidRPr="00FF34BE" w:rsidTr="000E1294">
        <w:trPr>
          <w:trHeight w:val="255"/>
          <w:jc w:val="center"/>
        </w:trPr>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0.10</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0.07</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0.08</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2.23</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0.33</w:t>
            </w:r>
          </w:p>
        </w:tc>
        <w:tc>
          <w:tcPr>
            <w:tcW w:w="642"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0.70</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keepNext/>
              <w:keepLines/>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1.21</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0.06</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0.04</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0.59</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0.11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0.24</w:t>
            </w:r>
          </w:p>
        </w:tc>
      </w:tr>
      <w:tr w:rsidR="00D24B27" w:rsidRPr="00FF34BE" w:rsidTr="000E1294">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0.54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2.25</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0.10</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0.09</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0.41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0.33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0.01</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0.07</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2.40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0.19</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r w:rsidR="00D24B27" w:rsidRPr="00FF34BE" w:rsidTr="000E1294">
        <w:trPr>
          <w:trHeight w:val="255"/>
          <w:jc w:val="center"/>
        </w:trPr>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0.03</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0.14</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0.05</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0.08</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0.15</w:t>
            </w:r>
          </w:p>
        </w:tc>
        <w:tc>
          <w:tcPr>
            <w:tcW w:w="642"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0.02</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c>
          <w:tcPr>
            <w:tcW w:w="643" w:type="dxa"/>
            <w:noWrap/>
            <w:vAlign w:val="bottom"/>
          </w:tcPr>
          <w:p w:rsidR="00D24B27" w:rsidRPr="00FF34BE" w:rsidRDefault="00D24B27" w:rsidP="007D4A05">
            <w:pPr>
              <w:pStyle w:val="Tabletext"/>
              <w:jc w:val="center"/>
              <w:rPr>
                <w:sz w:val="20"/>
                <w:lang w:val="en-US" w:eastAsia="fr-FR"/>
              </w:rPr>
            </w:pPr>
            <w:r w:rsidRPr="00FF34BE">
              <w:rPr>
                <w:sz w:val="20"/>
                <w:lang w:val="en-US" w:eastAsia="fr-FR"/>
              </w:rPr>
              <w:t>0.00</w:t>
            </w:r>
          </w:p>
        </w:tc>
      </w:tr>
    </w:tbl>
    <w:p w:rsidR="00811E29" w:rsidRPr="00FF34BE" w:rsidRDefault="00811E29" w:rsidP="00811E29">
      <w:pPr>
        <w:pStyle w:val="Tablefin"/>
        <w:rPr>
          <w:lang w:val="en-US"/>
        </w:rPr>
      </w:pPr>
    </w:p>
    <w:p w:rsidR="00D24B27" w:rsidRPr="00FF34BE" w:rsidRDefault="00D24B27" w:rsidP="00811E29">
      <w:pPr>
        <w:rPr>
          <w:lang w:val="en-US"/>
        </w:rPr>
      </w:pPr>
      <w:r w:rsidRPr="00FF34BE">
        <w:rPr>
          <w:lang w:val="en-US"/>
        </w:rPr>
        <w:t xml:space="preserve">According to Recommendation ITU-R F.1094, the maximum allowable performance degradation should be divided into 89% for the fixed service, 10% for sharing with primary services, and 1% for all other sources of interference, including secondary services and unwanted emissions. In this case, the FDP must therefore stay below the value of 10%. </w:t>
      </w:r>
    </w:p>
    <w:p w:rsidR="00D24B27" w:rsidRPr="00FF34BE" w:rsidRDefault="00D24B27" w:rsidP="00D24B27">
      <w:pPr>
        <w:rPr>
          <w:szCs w:val="24"/>
          <w:lang w:val="en-US"/>
        </w:rPr>
      </w:pPr>
      <w:r w:rsidRPr="00FF34BE">
        <w:rPr>
          <w:szCs w:val="24"/>
          <w:lang w:val="en-US"/>
        </w:rPr>
        <w:t>Further simulations have been conducted assuming a different altitude for aircraft. With all aircraft at an altitude of 5 000 m the following results were obtained for the elevation angle of 5°.</w:t>
      </w:r>
    </w:p>
    <w:p w:rsidR="00D24B27" w:rsidRPr="00FF34BE" w:rsidRDefault="00D24B27" w:rsidP="00D24B27">
      <w:pPr>
        <w:pStyle w:val="TableNo"/>
        <w:rPr>
          <w:sz w:val="22"/>
          <w:szCs w:val="22"/>
          <w:lang w:val="en-US"/>
        </w:rPr>
      </w:pPr>
      <w:r w:rsidRPr="00FF34BE">
        <w:rPr>
          <w:sz w:val="22"/>
          <w:szCs w:val="22"/>
          <w:lang w:val="en-US"/>
        </w:rPr>
        <w:t>TABLE 6</w:t>
      </w:r>
    </w:p>
    <w:p w:rsidR="00D24B27" w:rsidRPr="00FF34BE" w:rsidRDefault="00D24B27" w:rsidP="00D24B27">
      <w:pPr>
        <w:pStyle w:val="Tabletitle"/>
        <w:rPr>
          <w:sz w:val="22"/>
          <w:szCs w:val="22"/>
          <w:lang w:val="en-US"/>
        </w:rPr>
      </w:pPr>
      <w:r w:rsidRPr="00FF34BE">
        <w:rPr>
          <w:sz w:val="22"/>
          <w:szCs w:val="22"/>
          <w:lang w:val="en-US"/>
        </w:rPr>
        <w:t>FDP values obtained for the 64 FS stations (in percentage) for the elevation 5°</w:t>
      </w:r>
      <w:r w:rsidRPr="00FF34BE">
        <w:rPr>
          <w:sz w:val="22"/>
          <w:szCs w:val="22"/>
          <w:lang w:val="en-US"/>
        </w:rPr>
        <w:br/>
        <w:t>and all aircraft at 5 000 m altitude</w:t>
      </w:r>
    </w:p>
    <w:tbl>
      <w:tblPr>
        <w:tblW w:w="9639" w:type="dxa"/>
        <w:jc w:val="center"/>
        <w:tblLayout w:type="fixed"/>
        <w:tblLook w:val="0000"/>
      </w:tblPr>
      <w:tblGrid>
        <w:gridCol w:w="642"/>
        <w:gridCol w:w="643"/>
        <w:gridCol w:w="642"/>
        <w:gridCol w:w="643"/>
        <w:gridCol w:w="643"/>
        <w:gridCol w:w="642"/>
        <w:gridCol w:w="643"/>
        <w:gridCol w:w="642"/>
        <w:gridCol w:w="643"/>
        <w:gridCol w:w="643"/>
        <w:gridCol w:w="642"/>
        <w:gridCol w:w="643"/>
        <w:gridCol w:w="642"/>
        <w:gridCol w:w="643"/>
        <w:gridCol w:w="643"/>
      </w:tblGrid>
      <w:tr w:rsidR="00D24B27" w:rsidRPr="00FF34BE" w:rsidTr="00D533D2">
        <w:trPr>
          <w:trHeight w:val="255"/>
          <w:jc w:val="center"/>
        </w:trPr>
        <w:tc>
          <w:tcPr>
            <w:tcW w:w="642" w:type="dxa"/>
            <w:tcBorders>
              <w:top w:val="single" w:sz="4" w:space="0" w:color="auto"/>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1.11</w:t>
            </w:r>
          </w:p>
        </w:tc>
        <w:tc>
          <w:tcPr>
            <w:tcW w:w="642"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2"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0.03</w:t>
            </w:r>
          </w:p>
        </w:tc>
        <w:tc>
          <w:tcPr>
            <w:tcW w:w="642"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single" w:sz="4" w:space="0" w:color="auto"/>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0.85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0.18</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1.19</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0.43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0.28</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0.22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1.55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0.14</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0.41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0.60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0.62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0.56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1.36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0.09</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0.08</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0.84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6.94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2.34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0.65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1.67</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2.28</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0.60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0.09</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0.29</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2.34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2.03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b/>
                <w:sz w:val="20"/>
                <w:lang w:val="en-US" w:eastAsia="fr-FR"/>
              </w:rPr>
            </w:pPr>
            <w:r w:rsidRPr="00FF34BE">
              <w:rPr>
                <w:b/>
                <w:sz w:val="20"/>
                <w:lang w:val="en-US" w:eastAsia="fr-FR"/>
              </w:rPr>
              <w:t>10.44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0.17</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0.14</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0.19</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0.25</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2" w:type="dxa"/>
            <w:tcBorders>
              <w:top w:val="nil"/>
              <w:left w:val="single" w:sz="4" w:space="0" w:color="auto"/>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0.36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0.13</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0.01</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0.06</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0.10</w:t>
            </w:r>
          </w:p>
        </w:tc>
        <w:tc>
          <w:tcPr>
            <w:tcW w:w="642"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0.14</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3" w:type="dxa"/>
            <w:tcBorders>
              <w:top w:val="nil"/>
              <w:left w:val="nil"/>
              <w:bottom w:val="single" w:sz="4" w:space="0" w:color="auto"/>
              <w:right w:val="single" w:sz="4" w:space="0" w:color="auto"/>
            </w:tcBorders>
            <w:noWrap/>
          </w:tcPr>
          <w:p w:rsidR="00D24B27" w:rsidRPr="00FF34BE" w:rsidRDefault="00D24B27" w:rsidP="00D533D2">
            <w:pPr>
              <w:pStyle w:val="Tabletext"/>
              <w:jc w:val="center"/>
              <w:rPr>
                <w:sz w:val="20"/>
                <w:lang w:val="en-US" w:eastAsia="fr-FR"/>
              </w:rPr>
            </w:pPr>
            <w:r w:rsidRPr="00FF34BE">
              <w:rPr>
                <w:sz w:val="20"/>
                <w:lang w:val="en-US" w:eastAsia="fr-FR"/>
              </w:rPr>
              <w:t>0.00</w:t>
            </w:r>
          </w:p>
        </w:tc>
      </w:tr>
    </w:tbl>
    <w:p w:rsidR="007D4A05" w:rsidRPr="00FF34BE" w:rsidRDefault="007D4A05" w:rsidP="007D4A05">
      <w:pPr>
        <w:pStyle w:val="Tablefin"/>
        <w:rPr>
          <w:lang w:val="en-US"/>
        </w:rPr>
      </w:pPr>
    </w:p>
    <w:p w:rsidR="00D24B27" w:rsidRPr="00FF34BE" w:rsidRDefault="00D24B27" w:rsidP="007D4A05">
      <w:pPr>
        <w:rPr>
          <w:lang w:val="en-US"/>
        </w:rPr>
      </w:pPr>
      <w:r w:rsidRPr="00FF34BE">
        <w:rPr>
          <w:lang w:val="en-US"/>
        </w:rPr>
        <w:lastRenderedPageBreak/>
        <w:t>The same with all aircraft at 1 000 m.</w:t>
      </w:r>
    </w:p>
    <w:p w:rsidR="00D24B27" w:rsidRPr="00FF34BE" w:rsidRDefault="00D24B27" w:rsidP="00D24B27">
      <w:pPr>
        <w:pStyle w:val="TableNo"/>
        <w:rPr>
          <w:sz w:val="22"/>
          <w:szCs w:val="22"/>
          <w:lang w:val="en-US"/>
        </w:rPr>
      </w:pPr>
      <w:r w:rsidRPr="00FF34BE">
        <w:rPr>
          <w:sz w:val="22"/>
          <w:szCs w:val="22"/>
          <w:lang w:val="en-US"/>
        </w:rPr>
        <w:t>TABLE 7</w:t>
      </w:r>
    </w:p>
    <w:p w:rsidR="00D24B27" w:rsidRPr="00FF34BE" w:rsidRDefault="00D24B27" w:rsidP="00D24B27">
      <w:pPr>
        <w:pStyle w:val="Tabletitle"/>
        <w:rPr>
          <w:szCs w:val="24"/>
          <w:lang w:val="en-US"/>
        </w:rPr>
      </w:pPr>
      <w:r w:rsidRPr="00FF34BE">
        <w:rPr>
          <w:sz w:val="22"/>
          <w:szCs w:val="22"/>
          <w:lang w:val="en-US"/>
        </w:rPr>
        <w:t>FDP values obtained for the 64 FS stations (in percentage) for the elevation 5°</w:t>
      </w:r>
      <w:r w:rsidRPr="00FF34BE">
        <w:rPr>
          <w:sz w:val="22"/>
          <w:szCs w:val="22"/>
          <w:lang w:val="en-US"/>
        </w:rPr>
        <w:br/>
        <w:t>and all aircraft at 1</w:t>
      </w:r>
      <w:r w:rsidR="00D533D2" w:rsidRPr="00FF34BE">
        <w:rPr>
          <w:sz w:val="22"/>
          <w:szCs w:val="22"/>
          <w:lang w:val="en-US"/>
        </w:rPr>
        <w:t xml:space="preserve"> </w:t>
      </w:r>
      <w:r w:rsidRPr="00FF34BE">
        <w:rPr>
          <w:sz w:val="22"/>
          <w:szCs w:val="22"/>
          <w:lang w:val="en-US"/>
        </w:rPr>
        <w:t>000 m altitude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641"/>
        <w:gridCol w:w="641"/>
        <w:gridCol w:w="641"/>
        <w:gridCol w:w="641"/>
        <w:gridCol w:w="641"/>
        <w:gridCol w:w="641"/>
        <w:gridCol w:w="641"/>
        <w:gridCol w:w="641"/>
        <w:gridCol w:w="641"/>
        <w:gridCol w:w="641"/>
        <w:gridCol w:w="641"/>
        <w:gridCol w:w="641"/>
        <w:gridCol w:w="641"/>
        <w:gridCol w:w="641"/>
      </w:tblGrid>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0.10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0.13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ind w:left="-57" w:right="-57"/>
              <w:jc w:val="center"/>
              <w:rPr>
                <w:b/>
                <w:bCs/>
                <w:sz w:val="20"/>
                <w:lang w:val="en-US" w:eastAsia="fr-FR"/>
              </w:rPr>
            </w:pPr>
            <w:r w:rsidRPr="00FF34BE">
              <w:rPr>
                <w:b/>
                <w:bCs/>
                <w:sz w:val="20"/>
                <w:lang w:val="en-US" w:eastAsia="fr-FR"/>
              </w:rPr>
              <w:t>16.54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0.11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0.20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0.14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0.05</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0.07</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0.15</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0.08</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0.34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0.21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0.13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0.06</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0.20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0.05</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0.03</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0.02</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r w:rsidR="00D24B27" w:rsidRPr="00FF34BE" w:rsidTr="00D533D2">
        <w:trPr>
          <w:trHeight w:val="255"/>
          <w:jc w:val="center"/>
        </w:trPr>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ind w:left="-57" w:right="-57"/>
              <w:jc w:val="center"/>
              <w:rPr>
                <w:sz w:val="20"/>
                <w:lang w:val="en-US" w:eastAsia="fr-FR"/>
              </w:rPr>
            </w:pPr>
            <w:r w:rsidRPr="00FF34BE">
              <w:rPr>
                <w:sz w:val="20"/>
                <w:lang w:val="en-US" w:eastAsia="fr-FR"/>
              </w:rPr>
              <w:t>0.05</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0.04</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0.08</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0.01</w:t>
            </w:r>
          </w:p>
        </w:tc>
        <w:tc>
          <w:tcPr>
            <w:tcW w:w="641" w:type="dxa"/>
            <w:noWrap/>
          </w:tcPr>
          <w:p w:rsidR="00D24B27" w:rsidRPr="00FF34BE" w:rsidRDefault="00D24B27" w:rsidP="00D533D2">
            <w:pPr>
              <w:pStyle w:val="Tabletext"/>
              <w:jc w:val="center"/>
              <w:rPr>
                <w:sz w:val="20"/>
                <w:lang w:val="en-US" w:eastAsia="fr-FR"/>
              </w:rPr>
            </w:pPr>
            <w:r w:rsidRPr="00FF34BE">
              <w:rPr>
                <w:sz w:val="20"/>
                <w:lang w:val="en-US" w:eastAsia="fr-FR"/>
              </w:rPr>
              <w:t>0.00</w:t>
            </w:r>
          </w:p>
        </w:tc>
      </w:tr>
    </w:tbl>
    <w:p w:rsidR="00D533D2" w:rsidRPr="00FF34BE" w:rsidRDefault="00D533D2" w:rsidP="00D533D2">
      <w:pPr>
        <w:pStyle w:val="Tablefin"/>
        <w:rPr>
          <w:lang w:val="en-US"/>
        </w:rPr>
      </w:pPr>
    </w:p>
    <w:p w:rsidR="00D24B27" w:rsidRPr="00FF34BE" w:rsidRDefault="00D24B27" w:rsidP="00D533D2">
      <w:pPr>
        <w:rPr>
          <w:lang w:val="en-US"/>
        </w:rPr>
      </w:pPr>
      <w:r w:rsidRPr="00FF34BE">
        <w:rPr>
          <w:lang w:val="en-US"/>
        </w:rPr>
        <w:t>With this pfd mask, the FDP values calculated by simulation are all below the criterion of 10%, with the exception of one particular case for the altitude of 1 000 m. It has, however, to be pointed out that this does not correspond to a cruise altitude for an aircraft.</w:t>
      </w:r>
    </w:p>
    <w:p w:rsidR="00D24B27" w:rsidRPr="00FF34BE" w:rsidRDefault="00D24B27" w:rsidP="00D24B27">
      <w:pPr>
        <w:pStyle w:val="Heading1"/>
        <w:rPr>
          <w:lang w:val="en-US"/>
        </w:rPr>
      </w:pPr>
      <w:bookmarkStart w:id="27" w:name="_Toc284424048"/>
      <w:bookmarkStart w:id="28" w:name="_Toc284425225"/>
      <w:bookmarkStart w:id="29" w:name="_Toc284425403"/>
      <w:r w:rsidRPr="00FF34BE">
        <w:rPr>
          <w:lang w:val="en-US"/>
        </w:rPr>
        <w:t>4.3</w:t>
      </w:r>
      <w:r w:rsidRPr="00FF34BE">
        <w:rPr>
          <w:lang w:val="en-US"/>
        </w:rPr>
        <w:tab/>
        <w:t>Definition of a “combined” pfd mask FS/SRS</w:t>
      </w:r>
      <w:bookmarkEnd w:id="27"/>
      <w:bookmarkEnd w:id="28"/>
      <w:bookmarkEnd w:id="29"/>
    </w:p>
    <w:p w:rsidR="00D24B27" w:rsidRPr="00FF34BE" w:rsidRDefault="00D24B27" w:rsidP="00D533D2">
      <w:pPr>
        <w:rPr>
          <w:szCs w:val="24"/>
          <w:lang w:val="en-US"/>
        </w:rPr>
      </w:pPr>
      <w:r w:rsidRPr="00FF34BE">
        <w:rPr>
          <w:szCs w:val="24"/>
          <w:lang w:val="en-US"/>
        </w:rPr>
        <w:t xml:space="preserve">The pfd mask derived from Fig. 2 for the protection of </w:t>
      </w:r>
      <w:r w:rsidR="00D533D2" w:rsidRPr="00FF34BE">
        <w:rPr>
          <w:szCs w:val="24"/>
          <w:lang w:val="en-US"/>
        </w:rPr>
        <w:t>P-P</w:t>
      </w:r>
      <w:r w:rsidRPr="00FF34BE">
        <w:rPr>
          <w:szCs w:val="24"/>
          <w:lang w:val="en-US"/>
        </w:rPr>
        <w:t xml:space="preserve"> fixed service stations operating in the band 37-38 GHz from interference that may occur from aircraft station transmitters operating under the mobile service in the same band may be expressed by the following: </w:t>
      </w:r>
    </w:p>
    <w:p w:rsidR="00E427AA" w:rsidRPr="00FF34BE" w:rsidRDefault="00E427AA" w:rsidP="00E427AA">
      <w:pPr>
        <w:pStyle w:val="Blanc"/>
        <w:rPr>
          <w:lang w:val="en-US"/>
        </w:rPr>
      </w:pPr>
    </w:p>
    <w:p w:rsidR="00D24B27" w:rsidRPr="00FF34BE" w:rsidRDefault="00D24B27" w:rsidP="00D533D2">
      <w:pPr>
        <w:pStyle w:val="Equation"/>
        <w:tabs>
          <w:tab w:val="left" w:pos="5812"/>
          <w:tab w:val="left" w:pos="6663"/>
          <w:tab w:val="left" w:pos="7088"/>
          <w:tab w:val="left" w:pos="7371"/>
          <w:tab w:val="left" w:pos="7655"/>
          <w:tab w:val="left" w:pos="7938"/>
        </w:tabs>
        <w:rPr>
          <w:lang w:val="en-US"/>
        </w:rPr>
      </w:pPr>
      <w:r w:rsidRPr="00FF34BE">
        <w:rPr>
          <w:lang w:val="en-US"/>
        </w:rPr>
        <w:tab/>
        <w:t>–120</w:t>
      </w:r>
      <w:r w:rsidR="00D533D2" w:rsidRPr="00FF34BE">
        <w:rPr>
          <w:lang w:val="en-US"/>
        </w:rPr>
        <w:t> </w:t>
      </w:r>
      <w:r w:rsidRPr="00FF34BE">
        <w:rPr>
          <w:lang w:val="en-US"/>
        </w:rPr>
        <w:t>dB(W/(m</w:t>
      </w:r>
      <w:r w:rsidRPr="00FF34BE">
        <w:rPr>
          <w:vertAlign w:val="superscript"/>
          <w:lang w:val="en-US"/>
        </w:rPr>
        <w:t>2</w:t>
      </w:r>
      <w:r w:rsidRPr="00FF34BE">
        <w:rPr>
          <w:lang w:val="en-US"/>
        </w:rPr>
        <w:t> · MHz))</w:t>
      </w:r>
      <w:r w:rsidR="00D533D2" w:rsidRPr="00FF34BE">
        <w:rPr>
          <w:lang w:val="en-US"/>
        </w:rPr>
        <w:tab/>
      </w:r>
      <w:r w:rsidR="00D533D2" w:rsidRPr="00FF34BE">
        <w:rPr>
          <w:lang w:val="en-US"/>
        </w:rPr>
        <w:tab/>
      </w:r>
      <w:r w:rsidRPr="00FF34BE">
        <w:rPr>
          <w:lang w:val="en-US"/>
        </w:rPr>
        <w:t>for</w:t>
      </w:r>
      <w:r w:rsidRPr="00FF34BE">
        <w:rPr>
          <w:lang w:val="en-US"/>
        </w:rPr>
        <w:tab/>
      </w:r>
      <w:r w:rsidRPr="00FF34BE">
        <w:rPr>
          <w:lang w:val="en-US"/>
        </w:rPr>
        <w:tab/>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r>
      <w:r w:rsidR="008C7CF8">
        <w:rPr>
          <w:lang w:val="en-US"/>
        </w:rPr>
        <w:t xml:space="preserve">  </w:t>
      </w:r>
      <w:r w:rsidRPr="00FF34BE">
        <w:rPr>
          <w:lang w:val="en-US"/>
        </w:rPr>
        <w:t>5</w:t>
      </w:r>
      <w:r w:rsidRPr="00FF34BE">
        <w:rPr>
          <w:lang w:val="en-US"/>
        </w:rPr>
        <w:sym w:font="Symbol" w:char="F0B0"/>
      </w:r>
    </w:p>
    <w:p w:rsidR="00D24B27" w:rsidRPr="00FF34BE" w:rsidRDefault="00D24B27" w:rsidP="00406262">
      <w:pPr>
        <w:pStyle w:val="Equation"/>
        <w:tabs>
          <w:tab w:val="left" w:pos="5812"/>
          <w:tab w:val="left" w:pos="6663"/>
          <w:tab w:val="left" w:pos="7088"/>
          <w:tab w:val="left" w:pos="7371"/>
          <w:tab w:val="left" w:pos="7655"/>
          <w:tab w:val="left" w:pos="7938"/>
        </w:tabs>
        <w:rPr>
          <w:lang w:val="en-US"/>
        </w:rPr>
      </w:pPr>
      <w:r w:rsidRPr="00FF34BE">
        <w:rPr>
          <w:lang w:val="en-US"/>
        </w:rPr>
        <w:tab/>
        <w:t>–120 + 0.75 · (</w:t>
      </w:r>
      <w:r w:rsidRPr="00FF34BE">
        <w:rPr>
          <w:lang w:val="en-US"/>
        </w:rPr>
        <w:sym w:font="Symbol" w:char="F071"/>
      </w:r>
      <w:r w:rsidRPr="00FF34BE">
        <w:rPr>
          <w:lang w:val="en-US"/>
        </w:rPr>
        <w:t> − 5)</w:t>
      </w:r>
      <w:r w:rsidR="00D533D2" w:rsidRPr="00FF34BE">
        <w:rPr>
          <w:lang w:val="en-US"/>
        </w:rPr>
        <w:t> </w:t>
      </w:r>
      <w:r w:rsidRPr="00FF34BE">
        <w:rPr>
          <w:lang w:val="en-US"/>
        </w:rPr>
        <w:t>dB(W/(m</w:t>
      </w:r>
      <w:r w:rsidRPr="00FF34BE">
        <w:rPr>
          <w:vertAlign w:val="superscript"/>
          <w:lang w:val="en-US"/>
        </w:rPr>
        <w:t>2</w:t>
      </w:r>
      <w:r w:rsidRPr="00FF34BE">
        <w:rPr>
          <w:lang w:val="en-US"/>
        </w:rPr>
        <w:t> · MHz))</w:t>
      </w:r>
      <w:r w:rsidR="00406262">
        <w:rPr>
          <w:lang w:val="en-US"/>
        </w:rPr>
        <w:tab/>
      </w:r>
      <w:r w:rsidR="00D533D2" w:rsidRPr="00FF34BE">
        <w:rPr>
          <w:lang w:val="en-US"/>
        </w:rPr>
        <w:tab/>
      </w:r>
      <w:r w:rsidRPr="00FF34BE">
        <w:rPr>
          <w:lang w:val="en-US"/>
        </w:rPr>
        <w:t>for</w:t>
      </w:r>
      <w:r w:rsidRPr="00FF34BE">
        <w:rPr>
          <w:lang w:val="en-US"/>
        </w:rPr>
        <w:tab/>
      </w:r>
      <w:r w:rsidR="008C7CF8">
        <w:rPr>
          <w:lang w:val="en-US"/>
        </w:rPr>
        <w:t xml:space="preserve">  </w:t>
      </w:r>
      <w:r w:rsidRPr="00FF34BE">
        <w:rPr>
          <w:lang w:val="en-US"/>
        </w:rPr>
        <w:t>5</w:t>
      </w:r>
      <w:r w:rsidRPr="00FF34BE">
        <w:rPr>
          <w:lang w:val="en-US"/>
        </w:rPr>
        <w:sym w:font="Symbol" w:char="F0B0"/>
      </w:r>
      <w:r w:rsidRPr="00FF34BE">
        <w:rPr>
          <w:lang w:val="en-US"/>
        </w:rPr>
        <w:tab/>
      </w:r>
      <w:r w:rsidRPr="00FF34BE">
        <w:rPr>
          <w:rFonts w:ascii="Symbol" w:hAnsi="Symbol"/>
          <w:lang w:val="en-US"/>
        </w:rPr>
        <w:t></w:t>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t>25</w:t>
      </w:r>
      <w:r w:rsidRPr="00FF34BE">
        <w:rPr>
          <w:lang w:val="en-US"/>
        </w:rPr>
        <w:sym w:font="Symbol" w:char="F0B0"/>
      </w:r>
    </w:p>
    <w:p w:rsidR="00D24B27" w:rsidRPr="00FF34BE" w:rsidRDefault="00D24B27" w:rsidP="00D533D2">
      <w:pPr>
        <w:pStyle w:val="Equation"/>
        <w:tabs>
          <w:tab w:val="left" w:pos="5812"/>
          <w:tab w:val="left" w:pos="6663"/>
          <w:tab w:val="left" w:pos="7088"/>
          <w:tab w:val="left" w:pos="7371"/>
          <w:tab w:val="left" w:pos="7655"/>
          <w:tab w:val="left" w:pos="7938"/>
        </w:tabs>
        <w:rPr>
          <w:lang w:val="en-US"/>
        </w:rPr>
      </w:pPr>
      <w:r w:rsidRPr="00FF34BE">
        <w:rPr>
          <w:lang w:val="en-US"/>
        </w:rPr>
        <w:tab/>
        <w:t>–105</w:t>
      </w:r>
      <w:r w:rsidR="00D533D2" w:rsidRPr="00FF34BE">
        <w:rPr>
          <w:lang w:val="en-US"/>
        </w:rPr>
        <w:t> </w:t>
      </w:r>
      <w:r w:rsidRPr="00FF34BE">
        <w:rPr>
          <w:lang w:val="en-US"/>
        </w:rPr>
        <w:t>dB(W/(m</w:t>
      </w:r>
      <w:r w:rsidRPr="00FF34BE">
        <w:rPr>
          <w:vertAlign w:val="superscript"/>
          <w:lang w:val="en-US"/>
        </w:rPr>
        <w:t>2</w:t>
      </w:r>
      <w:r w:rsidRPr="00FF34BE">
        <w:rPr>
          <w:lang w:val="en-US"/>
        </w:rPr>
        <w:t> · MHz))</w:t>
      </w:r>
      <w:r w:rsidR="00D533D2" w:rsidRPr="00FF34BE">
        <w:rPr>
          <w:lang w:val="en-US"/>
        </w:rPr>
        <w:t xml:space="preserve"> </w:t>
      </w:r>
      <w:r w:rsidR="00D533D2" w:rsidRPr="00FF34BE">
        <w:rPr>
          <w:lang w:val="en-US"/>
        </w:rPr>
        <w:tab/>
      </w:r>
      <w:r w:rsidR="00D533D2" w:rsidRPr="00FF34BE">
        <w:rPr>
          <w:lang w:val="en-US"/>
        </w:rPr>
        <w:tab/>
      </w:r>
      <w:r w:rsidRPr="00FF34BE">
        <w:rPr>
          <w:lang w:val="en-US"/>
        </w:rPr>
        <w:t>for</w:t>
      </w:r>
      <w:r w:rsidRPr="00FF34BE">
        <w:rPr>
          <w:lang w:val="en-US"/>
        </w:rPr>
        <w:tab/>
        <w:t>25</w:t>
      </w:r>
      <w:r w:rsidRPr="00FF34BE">
        <w:rPr>
          <w:lang w:val="en-US"/>
        </w:rPr>
        <w:sym w:font="Symbol" w:char="F0B0"/>
      </w:r>
      <w:r w:rsidRPr="00FF34BE">
        <w:rPr>
          <w:lang w:val="en-US"/>
        </w:rPr>
        <w:tab/>
      </w:r>
      <w:r w:rsidRPr="00FF34BE">
        <w:rPr>
          <w:rFonts w:ascii="Symbol" w:hAnsi="Symbol"/>
          <w:lang w:val="en-US"/>
        </w:rPr>
        <w:t></w:t>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t>90</w:t>
      </w:r>
      <w:r w:rsidRPr="00FF34BE">
        <w:rPr>
          <w:lang w:val="en-US"/>
        </w:rPr>
        <w:sym w:font="Symbol" w:char="F0B0"/>
      </w:r>
    </w:p>
    <w:p w:rsidR="00E427AA" w:rsidRPr="00FF34BE" w:rsidRDefault="00E427AA" w:rsidP="00E427AA">
      <w:pPr>
        <w:pStyle w:val="Blanc"/>
        <w:rPr>
          <w:lang w:val="en-US"/>
        </w:rPr>
      </w:pPr>
    </w:p>
    <w:p w:rsidR="00D24B27" w:rsidRPr="00FF34BE" w:rsidRDefault="00D24B27" w:rsidP="00D24B27">
      <w:pPr>
        <w:rPr>
          <w:szCs w:val="24"/>
          <w:lang w:val="en-US"/>
        </w:rPr>
      </w:pPr>
      <w:r w:rsidRPr="00FF34BE">
        <w:rPr>
          <w:szCs w:val="24"/>
          <w:lang w:val="en-US"/>
        </w:rPr>
        <w:t xml:space="preserve">where </w:t>
      </w:r>
      <w:r w:rsidRPr="00FF34BE">
        <w:rPr>
          <w:szCs w:val="24"/>
          <w:lang w:val="en-US"/>
        </w:rPr>
        <w:sym w:font="Symbol" w:char="F071"/>
      </w:r>
      <w:r w:rsidRPr="00FF34BE">
        <w:rPr>
          <w:szCs w:val="24"/>
          <w:lang w:val="en-US"/>
        </w:rPr>
        <w:t xml:space="preserve"> is the angle of arrival of the radio-frequency wave (degrees above the horizontal). </w:t>
      </w:r>
    </w:p>
    <w:p w:rsidR="00D24B27" w:rsidRPr="00FF34BE" w:rsidRDefault="00D24B27" w:rsidP="00D24B27">
      <w:pPr>
        <w:rPr>
          <w:lang w:val="en-US"/>
        </w:rPr>
      </w:pPr>
      <w:r w:rsidRPr="00FF34BE">
        <w:rPr>
          <w:lang w:val="en-US"/>
        </w:rPr>
        <w:t>However, the pfd mask defined for the protection of FS should be considered in conjunction with the pfd mask defined for the protection of the space research service that will also have to be applied worldwide. This pfd mask is defined in the Report ITU</w:t>
      </w:r>
      <w:r w:rsidRPr="00FF34BE">
        <w:rPr>
          <w:lang w:val="en-US"/>
        </w:rPr>
        <w:noBreakHyphen/>
        <w:t>R SA.2190 as follows:</w:t>
      </w:r>
    </w:p>
    <w:p w:rsidR="00E427AA" w:rsidRPr="00FF34BE" w:rsidRDefault="00E427AA" w:rsidP="00E427AA">
      <w:pPr>
        <w:pStyle w:val="Blanc"/>
        <w:rPr>
          <w:lang w:val="en-US"/>
        </w:rPr>
      </w:pPr>
    </w:p>
    <w:p w:rsidR="00D24B27" w:rsidRPr="00FF34BE" w:rsidRDefault="00D24B27" w:rsidP="00406262">
      <w:pPr>
        <w:pStyle w:val="Equation"/>
        <w:tabs>
          <w:tab w:val="left" w:pos="2552"/>
          <w:tab w:val="left" w:pos="5812"/>
          <w:tab w:val="left" w:pos="6663"/>
          <w:tab w:val="left" w:pos="7088"/>
          <w:tab w:val="left" w:pos="7371"/>
          <w:tab w:val="left" w:pos="7655"/>
          <w:tab w:val="left" w:pos="7938"/>
        </w:tabs>
        <w:rPr>
          <w:lang w:val="en-US"/>
        </w:rPr>
      </w:pPr>
      <w:r w:rsidRPr="00FF34BE">
        <w:rPr>
          <w:lang w:val="en-US"/>
        </w:rPr>
        <w:tab/>
        <w:t>–174 – 10.6 · </w:t>
      </w:r>
      <w:r w:rsidRPr="00FF34BE">
        <w:rPr>
          <w:szCs w:val="24"/>
          <w:lang w:val="en-US"/>
        </w:rPr>
        <w:sym w:font="Symbol" w:char="F071"/>
      </w:r>
      <w:r w:rsidR="00406262">
        <w:rPr>
          <w:lang w:val="en-US"/>
        </w:rPr>
        <w:t xml:space="preserve"> </w:t>
      </w:r>
      <w:r w:rsidRPr="00FF34BE">
        <w:rPr>
          <w:lang w:val="en-US"/>
        </w:rPr>
        <w:t>dB(W/(m</w:t>
      </w:r>
      <w:r w:rsidRPr="00FF34BE">
        <w:rPr>
          <w:vertAlign w:val="superscript"/>
          <w:lang w:val="en-US"/>
        </w:rPr>
        <w:t>2</w:t>
      </w:r>
      <w:r w:rsidRPr="00FF34BE">
        <w:rPr>
          <w:lang w:val="en-US"/>
        </w:rPr>
        <w:t> · Hz))</w:t>
      </w:r>
      <w:r w:rsidRPr="00FF34BE">
        <w:rPr>
          <w:lang w:val="en-US"/>
        </w:rPr>
        <w:tab/>
      </w:r>
      <w:r w:rsidR="00D533D2" w:rsidRPr="00FF34BE">
        <w:rPr>
          <w:lang w:val="en-US"/>
        </w:rPr>
        <w:tab/>
      </w:r>
      <w:r w:rsidRPr="00FF34BE">
        <w:rPr>
          <w:lang w:val="en-US"/>
        </w:rPr>
        <w:t>for</w:t>
      </w:r>
      <w:r w:rsidRPr="00FF34BE">
        <w:rPr>
          <w:lang w:val="en-US"/>
        </w:rPr>
        <w:tab/>
      </w:r>
      <w:r w:rsidR="00E427AA" w:rsidRPr="00FF34BE">
        <w:rPr>
          <w:lang w:val="en-US"/>
        </w:rPr>
        <w:tab/>
      </w:r>
      <w:r w:rsidR="00E427AA" w:rsidRPr="00FF34BE">
        <w:rPr>
          <w:lang w:val="en-US"/>
        </w:rPr>
        <w:tab/>
      </w:r>
      <w:r w:rsidRPr="00FF34BE">
        <w:rPr>
          <w:szCs w:val="24"/>
          <w:lang w:val="en-US"/>
        </w:rPr>
        <w:sym w:font="Symbol" w:char="F071"/>
      </w:r>
      <w:r w:rsidRPr="00FF34BE">
        <w:rPr>
          <w:lang w:val="en-US"/>
        </w:rPr>
        <w:tab/>
      </w:r>
      <w:r w:rsidRPr="00FF34BE">
        <w:rPr>
          <w:szCs w:val="24"/>
          <w:lang w:val="en-US"/>
        </w:rPr>
        <w:sym w:font="Symbol" w:char="F0A3"/>
      </w:r>
      <w:r w:rsidRPr="00FF34BE">
        <w:rPr>
          <w:lang w:val="en-US"/>
        </w:rPr>
        <w:tab/>
      </w:r>
      <w:r w:rsidR="008C7CF8">
        <w:rPr>
          <w:lang w:val="en-US"/>
        </w:rPr>
        <w:t xml:space="preserve">  </w:t>
      </w:r>
      <w:r w:rsidRPr="00FF34BE">
        <w:rPr>
          <w:lang w:val="en-US"/>
        </w:rPr>
        <w:t>5</w:t>
      </w:r>
      <w:r w:rsidRPr="00FF34BE">
        <w:rPr>
          <w:szCs w:val="24"/>
          <w:lang w:val="en-US"/>
        </w:rPr>
        <w:sym w:font="Symbol" w:char="F0B0"/>
      </w:r>
    </w:p>
    <w:p w:rsidR="00D24B27" w:rsidRPr="00FF34BE" w:rsidRDefault="00D24B27" w:rsidP="00406262">
      <w:pPr>
        <w:pStyle w:val="Equation"/>
        <w:tabs>
          <w:tab w:val="left" w:pos="2552"/>
          <w:tab w:val="left" w:pos="5812"/>
          <w:tab w:val="left" w:pos="6663"/>
          <w:tab w:val="left" w:pos="7088"/>
          <w:tab w:val="left" w:pos="7371"/>
          <w:tab w:val="left" w:pos="7655"/>
          <w:tab w:val="left" w:pos="7938"/>
        </w:tabs>
        <w:rPr>
          <w:lang w:val="en-US"/>
        </w:rPr>
      </w:pPr>
      <w:r w:rsidRPr="00FF34BE">
        <w:rPr>
          <w:lang w:val="en-US"/>
        </w:rPr>
        <w:tab/>
        <w:t>–227</w:t>
      </w:r>
      <w:r w:rsidR="00406262">
        <w:rPr>
          <w:lang w:val="en-US"/>
        </w:rPr>
        <w:t xml:space="preserve"> </w:t>
      </w:r>
      <w:r w:rsidRPr="00FF34BE">
        <w:rPr>
          <w:lang w:val="en-US"/>
        </w:rPr>
        <w:t>dB(W/(m</w:t>
      </w:r>
      <w:r w:rsidRPr="00FF34BE">
        <w:rPr>
          <w:vertAlign w:val="superscript"/>
          <w:lang w:val="en-US"/>
        </w:rPr>
        <w:t>2</w:t>
      </w:r>
      <w:r w:rsidRPr="00FF34BE">
        <w:rPr>
          <w:lang w:val="en-US"/>
        </w:rPr>
        <w:t> · Hz))</w:t>
      </w:r>
      <w:r w:rsidRPr="00FF34BE">
        <w:rPr>
          <w:lang w:val="en-US"/>
        </w:rPr>
        <w:tab/>
      </w:r>
      <w:r w:rsidR="00D533D2" w:rsidRPr="00FF34BE">
        <w:rPr>
          <w:lang w:val="en-US"/>
        </w:rPr>
        <w:tab/>
      </w:r>
      <w:r w:rsidRPr="00FF34BE">
        <w:rPr>
          <w:lang w:val="en-US"/>
        </w:rPr>
        <w:t>for</w:t>
      </w:r>
      <w:r w:rsidRPr="00FF34BE">
        <w:rPr>
          <w:lang w:val="en-US"/>
        </w:rPr>
        <w:tab/>
        <w:t>5</w:t>
      </w:r>
      <w:r w:rsidRPr="00FF34BE">
        <w:rPr>
          <w:szCs w:val="24"/>
          <w:lang w:val="en-US"/>
        </w:rPr>
        <w:sym w:font="Symbol" w:char="F0B0"/>
      </w:r>
      <w:r w:rsidRPr="00FF34BE">
        <w:rPr>
          <w:lang w:val="en-US"/>
        </w:rPr>
        <w:tab/>
      </w:r>
      <w:r w:rsidRPr="00FF34BE">
        <w:rPr>
          <w:rFonts w:ascii="Symbol" w:hAnsi="Symbol"/>
          <w:lang w:val="en-US"/>
        </w:rPr>
        <w:t></w:t>
      </w:r>
      <w:r w:rsidRPr="00FF34BE">
        <w:rPr>
          <w:lang w:val="en-US"/>
        </w:rPr>
        <w:tab/>
      </w:r>
      <w:r w:rsidRPr="00FF34BE">
        <w:rPr>
          <w:szCs w:val="24"/>
          <w:lang w:val="en-US"/>
        </w:rPr>
        <w:sym w:font="Symbol" w:char="F071"/>
      </w:r>
      <w:r w:rsidRPr="00FF34BE">
        <w:rPr>
          <w:lang w:val="en-US"/>
        </w:rPr>
        <w:tab/>
      </w:r>
      <w:r w:rsidRPr="00FF34BE">
        <w:rPr>
          <w:szCs w:val="24"/>
          <w:lang w:val="en-US"/>
        </w:rPr>
        <w:sym w:font="Symbol" w:char="F0A3"/>
      </w:r>
      <w:r w:rsidRPr="00FF34BE">
        <w:rPr>
          <w:lang w:val="en-US"/>
        </w:rPr>
        <w:tab/>
        <w:t>90</w:t>
      </w:r>
      <w:r w:rsidRPr="00FF34BE">
        <w:rPr>
          <w:szCs w:val="24"/>
          <w:lang w:val="en-US"/>
        </w:rPr>
        <w:sym w:font="Symbol" w:char="F0B0"/>
      </w:r>
    </w:p>
    <w:p w:rsidR="00E427AA" w:rsidRPr="00FF34BE" w:rsidRDefault="00E427AA" w:rsidP="00E427AA">
      <w:pPr>
        <w:pStyle w:val="Blanc"/>
        <w:rPr>
          <w:lang w:val="en-US"/>
        </w:rPr>
      </w:pPr>
    </w:p>
    <w:p w:rsidR="00D24B27" w:rsidRPr="00FF34BE" w:rsidRDefault="00D24B27" w:rsidP="00D24B27">
      <w:pPr>
        <w:rPr>
          <w:lang w:val="en-US"/>
        </w:rPr>
      </w:pPr>
      <w:r w:rsidRPr="00FF34BE">
        <w:rPr>
          <w:lang w:val="en-US"/>
        </w:rPr>
        <w:t xml:space="preserve">where </w:t>
      </w:r>
      <w:r w:rsidRPr="00FF34BE">
        <w:rPr>
          <w:szCs w:val="24"/>
          <w:lang w:val="en-US"/>
        </w:rPr>
        <w:sym w:font="Symbol" w:char="F071"/>
      </w:r>
      <w:r w:rsidRPr="00FF34BE">
        <w:rPr>
          <w:lang w:val="en-US"/>
        </w:rPr>
        <w:t xml:space="preserve"> is the angle of arrival of the radio-frequency wave (degrees above the horizontal).</w:t>
      </w:r>
    </w:p>
    <w:p w:rsidR="00D24B27" w:rsidRPr="00FF34BE" w:rsidRDefault="00D24B27" w:rsidP="00D24B27">
      <w:pPr>
        <w:rPr>
          <w:lang w:val="en-US"/>
        </w:rPr>
      </w:pPr>
      <w:r w:rsidRPr="00FF34BE">
        <w:rPr>
          <w:lang w:val="en-US"/>
        </w:rPr>
        <w:lastRenderedPageBreak/>
        <w:t>The combined pfd mask would be:</w:t>
      </w:r>
    </w:p>
    <w:p w:rsidR="004B3806" w:rsidRPr="00FF34BE" w:rsidRDefault="004B3806" w:rsidP="004B3806">
      <w:pPr>
        <w:pStyle w:val="Blanc"/>
        <w:rPr>
          <w:lang w:val="en-US"/>
        </w:rPr>
      </w:pPr>
    </w:p>
    <w:p w:rsidR="00D24B27" w:rsidRPr="00FF34BE" w:rsidRDefault="00E427AA" w:rsidP="00406262">
      <w:pPr>
        <w:pStyle w:val="Equation"/>
        <w:tabs>
          <w:tab w:val="left" w:pos="2552"/>
          <w:tab w:val="left" w:pos="5812"/>
          <w:tab w:val="left" w:pos="6663"/>
          <w:tab w:val="left" w:pos="7088"/>
          <w:tab w:val="left" w:pos="7371"/>
          <w:tab w:val="left" w:pos="7655"/>
          <w:tab w:val="left" w:pos="7938"/>
        </w:tabs>
        <w:rPr>
          <w:lang w:val="en-US"/>
        </w:rPr>
      </w:pPr>
      <w:r w:rsidRPr="00FF34BE">
        <w:rPr>
          <w:lang w:val="en-US"/>
        </w:rPr>
        <w:tab/>
      </w:r>
      <w:r w:rsidR="00D24B27" w:rsidRPr="00FF34BE">
        <w:rPr>
          <w:lang w:val="en-US"/>
        </w:rPr>
        <w:t>–180 – 9.4 · θ</w:t>
      </w:r>
      <w:r w:rsidR="00406262">
        <w:rPr>
          <w:lang w:val="en-US"/>
        </w:rPr>
        <w:t xml:space="preserve"> </w:t>
      </w:r>
      <w:r w:rsidR="00D24B27" w:rsidRPr="00FF34BE">
        <w:rPr>
          <w:lang w:val="en-US"/>
        </w:rPr>
        <w:t>dB (W/(m</w:t>
      </w:r>
      <w:r w:rsidR="00D24B27" w:rsidRPr="00FF34BE">
        <w:rPr>
          <w:vertAlign w:val="superscript"/>
          <w:lang w:val="en-US"/>
        </w:rPr>
        <w:t xml:space="preserve">2 </w:t>
      </w:r>
      <w:r w:rsidR="00D24B27" w:rsidRPr="00FF34BE">
        <w:rPr>
          <w:lang w:val="en-US"/>
        </w:rPr>
        <w:t xml:space="preserve">· </w:t>
      </w:r>
      <w:r w:rsidR="00D24B27" w:rsidRPr="00FF34BE">
        <w:rPr>
          <w:szCs w:val="24"/>
          <w:lang w:val="en-US"/>
        </w:rPr>
        <w:t>Hz)</w:t>
      </w:r>
      <w:r w:rsidR="00D24B27" w:rsidRPr="00FF34BE">
        <w:rPr>
          <w:lang w:val="en-US"/>
        </w:rPr>
        <w:t>)</w:t>
      </w:r>
      <w:r w:rsidR="00D24B27" w:rsidRPr="00FF34BE">
        <w:rPr>
          <w:lang w:val="en-US"/>
        </w:rPr>
        <w:tab/>
      </w:r>
      <w:r w:rsidRPr="00FF34BE">
        <w:rPr>
          <w:lang w:val="en-US"/>
        </w:rPr>
        <w:tab/>
      </w:r>
      <w:r w:rsidR="00D24B27" w:rsidRPr="00FF34BE">
        <w:rPr>
          <w:lang w:val="en-US"/>
        </w:rPr>
        <w:t>for</w:t>
      </w:r>
      <w:r w:rsidRPr="00FF34BE">
        <w:rPr>
          <w:lang w:val="en-US"/>
        </w:rPr>
        <w:tab/>
      </w:r>
      <w:r w:rsidR="00D24B27" w:rsidRPr="00FF34BE">
        <w:rPr>
          <w:lang w:val="en-US"/>
        </w:rPr>
        <w:t>0˚</w:t>
      </w:r>
      <w:r w:rsidRPr="00FF34BE">
        <w:rPr>
          <w:lang w:val="en-US"/>
        </w:rPr>
        <w:tab/>
      </w:r>
      <w:r w:rsidRPr="00FF34BE">
        <w:rPr>
          <w:szCs w:val="24"/>
          <w:lang w:val="en-US"/>
        </w:rPr>
        <w:sym w:font="Symbol" w:char="F0A3"/>
      </w:r>
      <w:r w:rsidRPr="00FF34BE">
        <w:rPr>
          <w:szCs w:val="24"/>
          <w:lang w:val="en-US"/>
        </w:rPr>
        <w:tab/>
      </w:r>
      <w:r w:rsidRPr="00FF34BE">
        <w:rPr>
          <w:lang w:val="en-US"/>
        </w:rPr>
        <w:t>θ</w:t>
      </w:r>
      <w:r w:rsidRPr="00FF34BE">
        <w:rPr>
          <w:lang w:val="en-US"/>
        </w:rPr>
        <w:tab/>
      </w:r>
      <w:r w:rsidRPr="00FF34BE">
        <w:rPr>
          <w:szCs w:val="24"/>
          <w:lang w:val="en-US"/>
        </w:rPr>
        <w:sym w:font="Symbol" w:char="F0A3"/>
      </w:r>
      <w:r w:rsidRPr="00FF34BE">
        <w:rPr>
          <w:lang w:val="en-US"/>
        </w:rPr>
        <w:tab/>
      </w:r>
      <w:r w:rsidR="00D24B27" w:rsidRPr="00FF34BE">
        <w:rPr>
          <w:lang w:val="en-US"/>
        </w:rPr>
        <w:t>5˚</w:t>
      </w:r>
    </w:p>
    <w:p w:rsidR="00D24B27" w:rsidRPr="00FF34BE" w:rsidRDefault="00E427AA" w:rsidP="00406262">
      <w:pPr>
        <w:pStyle w:val="Equation"/>
        <w:tabs>
          <w:tab w:val="left" w:pos="2552"/>
          <w:tab w:val="left" w:pos="5812"/>
          <w:tab w:val="left" w:pos="6663"/>
          <w:tab w:val="left" w:pos="7088"/>
          <w:tab w:val="left" w:pos="7371"/>
          <w:tab w:val="left" w:pos="7655"/>
        </w:tabs>
        <w:rPr>
          <w:lang w:val="en-US"/>
        </w:rPr>
      </w:pPr>
      <w:r w:rsidRPr="00FF34BE">
        <w:rPr>
          <w:lang w:val="en-US"/>
        </w:rPr>
        <w:tab/>
      </w:r>
      <w:r w:rsidR="00D24B27" w:rsidRPr="00FF34BE">
        <w:rPr>
          <w:lang w:val="en-US"/>
        </w:rPr>
        <w:t>–227 dB (W/(m</w:t>
      </w:r>
      <w:r w:rsidR="00D24B27" w:rsidRPr="00FF34BE">
        <w:rPr>
          <w:vertAlign w:val="superscript"/>
          <w:lang w:val="en-US"/>
        </w:rPr>
        <w:t xml:space="preserve">2 </w:t>
      </w:r>
      <w:r w:rsidR="00D24B27" w:rsidRPr="00FF34BE">
        <w:rPr>
          <w:lang w:val="en-US"/>
        </w:rPr>
        <w:t xml:space="preserve">· </w:t>
      </w:r>
      <w:r w:rsidR="00D24B27" w:rsidRPr="00FF34BE">
        <w:rPr>
          <w:szCs w:val="24"/>
          <w:lang w:val="en-US"/>
        </w:rPr>
        <w:t>Hz)</w:t>
      </w:r>
      <w:r w:rsidR="00D24B27" w:rsidRPr="00FF34BE">
        <w:rPr>
          <w:lang w:val="en-US"/>
        </w:rPr>
        <w:t>)</w:t>
      </w:r>
      <w:r w:rsidR="00D24B27" w:rsidRPr="00FF34BE">
        <w:rPr>
          <w:lang w:val="en-US"/>
        </w:rPr>
        <w:tab/>
      </w:r>
      <w:r w:rsidRPr="00FF34BE">
        <w:rPr>
          <w:lang w:val="en-US"/>
        </w:rPr>
        <w:tab/>
      </w:r>
      <w:r w:rsidR="00D24B27" w:rsidRPr="00FF34BE">
        <w:rPr>
          <w:lang w:val="en-US"/>
        </w:rPr>
        <w:t>for</w:t>
      </w:r>
      <w:r w:rsidRPr="00FF34BE">
        <w:rPr>
          <w:lang w:val="en-US"/>
        </w:rPr>
        <w:tab/>
      </w:r>
      <w:r w:rsidR="00D24B27" w:rsidRPr="00FF34BE">
        <w:rPr>
          <w:lang w:val="en-US"/>
        </w:rPr>
        <w:t>5˚</w:t>
      </w:r>
      <w:r w:rsidRPr="00FF34BE">
        <w:rPr>
          <w:lang w:val="en-US"/>
        </w:rPr>
        <w:tab/>
      </w:r>
      <w:r w:rsidR="00D24B27" w:rsidRPr="00FF34BE">
        <w:rPr>
          <w:lang w:val="en-US"/>
        </w:rPr>
        <w:t>&lt;</w:t>
      </w:r>
      <w:r w:rsidRPr="00FF34BE">
        <w:rPr>
          <w:lang w:val="en-US"/>
        </w:rPr>
        <w:tab/>
      </w:r>
      <w:r w:rsidR="00D24B27" w:rsidRPr="00FF34BE">
        <w:rPr>
          <w:lang w:val="en-US"/>
        </w:rPr>
        <w:t>θ</w:t>
      </w:r>
    </w:p>
    <w:p w:rsidR="004B3806" w:rsidRPr="00FF34BE" w:rsidRDefault="004B3806" w:rsidP="004B3806">
      <w:pPr>
        <w:pStyle w:val="Blanc"/>
        <w:rPr>
          <w:lang w:val="en-US"/>
        </w:rPr>
      </w:pPr>
    </w:p>
    <w:p w:rsidR="00D24B27" w:rsidRPr="00FF34BE" w:rsidRDefault="00D24B27" w:rsidP="00D24B27">
      <w:pPr>
        <w:rPr>
          <w:lang w:val="en-US"/>
        </w:rPr>
      </w:pPr>
      <w:r w:rsidRPr="00FF34BE">
        <w:rPr>
          <w:lang w:val="en-US"/>
        </w:rPr>
        <w:t>where θ is the angle of arrival of the incident wave above the horizontal plane at the space research service earth station, in degrees, or in a 1 MHz reference bandwidth:</w:t>
      </w:r>
    </w:p>
    <w:p w:rsidR="00036E76" w:rsidRPr="00FF34BE" w:rsidRDefault="00036E76" w:rsidP="00036E76">
      <w:pPr>
        <w:pStyle w:val="Blanc"/>
        <w:rPr>
          <w:lang w:val="en-US"/>
        </w:rPr>
      </w:pPr>
    </w:p>
    <w:p w:rsidR="00D24B27" w:rsidRPr="00FF34BE" w:rsidRDefault="004B3806" w:rsidP="00406262">
      <w:pPr>
        <w:pStyle w:val="Equation"/>
        <w:tabs>
          <w:tab w:val="left" w:pos="2552"/>
          <w:tab w:val="left" w:pos="5812"/>
          <w:tab w:val="left" w:pos="6663"/>
          <w:tab w:val="left" w:pos="7088"/>
          <w:tab w:val="left" w:pos="7371"/>
          <w:tab w:val="left" w:pos="7655"/>
          <w:tab w:val="left" w:pos="7938"/>
        </w:tabs>
        <w:rPr>
          <w:lang w:val="en-US"/>
        </w:rPr>
      </w:pPr>
      <w:r w:rsidRPr="00FF34BE">
        <w:rPr>
          <w:lang w:val="en-US"/>
        </w:rPr>
        <w:tab/>
      </w:r>
      <w:r w:rsidR="00D24B27" w:rsidRPr="00FF34BE">
        <w:rPr>
          <w:lang w:val="en-US"/>
        </w:rPr>
        <w:t>–120 – 9.4 · θ</w:t>
      </w:r>
      <w:r w:rsidR="00406262">
        <w:rPr>
          <w:lang w:val="en-US"/>
        </w:rPr>
        <w:t xml:space="preserve"> </w:t>
      </w:r>
      <w:r w:rsidR="00D24B27" w:rsidRPr="00FF34BE">
        <w:rPr>
          <w:lang w:val="en-US"/>
        </w:rPr>
        <w:t>dB (W/(m</w:t>
      </w:r>
      <w:r w:rsidR="00D24B27" w:rsidRPr="00FF34BE">
        <w:rPr>
          <w:vertAlign w:val="superscript"/>
          <w:lang w:val="en-US"/>
        </w:rPr>
        <w:t xml:space="preserve">2 </w:t>
      </w:r>
      <w:r w:rsidR="00D24B27" w:rsidRPr="00FF34BE">
        <w:rPr>
          <w:lang w:val="en-US"/>
        </w:rPr>
        <w:t xml:space="preserve">· </w:t>
      </w:r>
      <w:r w:rsidR="00D24B27" w:rsidRPr="00FF34BE">
        <w:rPr>
          <w:szCs w:val="24"/>
          <w:lang w:val="en-US"/>
        </w:rPr>
        <w:t>MHz)</w:t>
      </w:r>
      <w:r w:rsidR="00D24B27" w:rsidRPr="00FF34BE">
        <w:rPr>
          <w:lang w:val="en-US"/>
        </w:rPr>
        <w:t>)</w:t>
      </w:r>
      <w:r w:rsidR="00D24B27" w:rsidRPr="00FF34BE">
        <w:rPr>
          <w:lang w:val="en-US"/>
        </w:rPr>
        <w:tab/>
      </w:r>
      <w:r w:rsidRPr="00FF34BE">
        <w:rPr>
          <w:lang w:val="en-US"/>
        </w:rPr>
        <w:tab/>
      </w:r>
      <w:r w:rsidR="00D24B27" w:rsidRPr="00FF34BE">
        <w:rPr>
          <w:lang w:val="en-US"/>
        </w:rPr>
        <w:t>for</w:t>
      </w:r>
      <w:r w:rsidRPr="00FF34BE">
        <w:rPr>
          <w:lang w:val="en-US"/>
        </w:rPr>
        <w:tab/>
      </w:r>
      <w:r w:rsidR="00D24B27" w:rsidRPr="00FF34BE">
        <w:rPr>
          <w:lang w:val="en-US"/>
        </w:rPr>
        <w:t>0˚</w:t>
      </w:r>
      <w:r w:rsidRPr="00FF34BE">
        <w:rPr>
          <w:lang w:val="en-US"/>
        </w:rPr>
        <w:tab/>
      </w:r>
      <w:r w:rsidR="00AE0ED1" w:rsidRPr="00FF34BE">
        <w:rPr>
          <w:szCs w:val="24"/>
          <w:lang w:val="en-US"/>
        </w:rPr>
        <w:sym w:font="Symbol" w:char="F0A3"/>
      </w:r>
      <w:r w:rsidRPr="00FF34BE">
        <w:rPr>
          <w:lang w:val="en-US"/>
        </w:rPr>
        <w:tab/>
      </w:r>
      <w:r w:rsidR="00D24B27" w:rsidRPr="00FF34BE">
        <w:rPr>
          <w:lang w:val="en-US"/>
        </w:rPr>
        <w:t>θ</w:t>
      </w:r>
      <w:r w:rsidRPr="00FF34BE">
        <w:rPr>
          <w:lang w:val="en-US"/>
        </w:rPr>
        <w:tab/>
      </w:r>
      <w:r w:rsidR="00AE0ED1" w:rsidRPr="00FF34BE">
        <w:rPr>
          <w:szCs w:val="24"/>
          <w:lang w:val="en-US"/>
        </w:rPr>
        <w:sym w:font="Symbol" w:char="F0A3"/>
      </w:r>
      <w:r w:rsidRPr="00FF34BE">
        <w:rPr>
          <w:lang w:val="en-US"/>
        </w:rPr>
        <w:tab/>
      </w:r>
      <w:r w:rsidR="00D24B27" w:rsidRPr="00FF34BE">
        <w:rPr>
          <w:lang w:val="en-US"/>
        </w:rPr>
        <w:t>5˚</w:t>
      </w:r>
    </w:p>
    <w:p w:rsidR="00D24B27" w:rsidRPr="00FF34BE" w:rsidRDefault="004B3806" w:rsidP="00406262">
      <w:pPr>
        <w:pStyle w:val="Equation"/>
        <w:tabs>
          <w:tab w:val="left" w:pos="2552"/>
          <w:tab w:val="left" w:pos="5812"/>
          <w:tab w:val="left" w:pos="6663"/>
          <w:tab w:val="left" w:pos="7088"/>
          <w:tab w:val="left" w:pos="7371"/>
          <w:tab w:val="left" w:pos="7655"/>
          <w:tab w:val="left" w:pos="7938"/>
        </w:tabs>
        <w:rPr>
          <w:lang w:val="en-US"/>
        </w:rPr>
      </w:pPr>
      <w:r w:rsidRPr="00FF34BE">
        <w:rPr>
          <w:lang w:val="en-US"/>
        </w:rPr>
        <w:tab/>
      </w:r>
      <w:r w:rsidR="00D24B27" w:rsidRPr="00FF34BE">
        <w:rPr>
          <w:lang w:val="en-US"/>
        </w:rPr>
        <w:t>–167 dB (W/(m</w:t>
      </w:r>
      <w:r w:rsidR="00D24B27" w:rsidRPr="00FF34BE">
        <w:rPr>
          <w:vertAlign w:val="superscript"/>
          <w:lang w:val="en-US"/>
        </w:rPr>
        <w:t xml:space="preserve">2 </w:t>
      </w:r>
      <w:r w:rsidR="00D24B27" w:rsidRPr="00FF34BE">
        <w:rPr>
          <w:lang w:val="en-US"/>
        </w:rPr>
        <w:t xml:space="preserve">· </w:t>
      </w:r>
      <w:r w:rsidR="00D24B27" w:rsidRPr="00FF34BE">
        <w:rPr>
          <w:szCs w:val="24"/>
          <w:lang w:val="en-US"/>
        </w:rPr>
        <w:t>MHz)</w:t>
      </w:r>
      <w:r w:rsidR="00D24B27" w:rsidRPr="00FF34BE">
        <w:rPr>
          <w:lang w:val="en-US"/>
        </w:rPr>
        <w:t>)</w:t>
      </w:r>
      <w:r w:rsidRPr="00FF34BE">
        <w:rPr>
          <w:lang w:val="en-US"/>
        </w:rPr>
        <w:tab/>
      </w:r>
      <w:r w:rsidR="00D24B27" w:rsidRPr="00FF34BE">
        <w:rPr>
          <w:lang w:val="en-US"/>
        </w:rPr>
        <w:tab/>
        <w:t>for</w:t>
      </w:r>
      <w:r w:rsidRPr="00FF34BE">
        <w:rPr>
          <w:lang w:val="en-US"/>
        </w:rPr>
        <w:tab/>
      </w:r>
      <w:r w:rsidR="00D24B27" w:rsidRPr="00FF34BE">
        <w:rPr>
          <w:lang w:val="en-US"/>
        </w:rPr>
        <w:t>5˚</w:t>
      </w:r>
      <w:r w:rsidRPr="00FF34BE">
        <w:rPr>
          <w:lang w:val="en-US"/>
        </w:rPr>
        <w:tab/>
      </w:r>
      <w:r w:rsidR="00D24B27" w:rsidRPr="00FF34BE">
        <w:rPr>
          <w:lang w:val="en-US"/>
        </w:rPr>
        <w:t>&lt;</w:t>
      </w:r>
      <w:r w:rsidRPr="00FF34BE">
        <w:rPr>
          <w:lang w:val="en-US"/>
        </w:rPr>
        <w:tab/>
      </w:r>
      <w:r w:rsidR="00D24B27" w:rsidRPr="00FF34BE">
        <w:rPr>
          <w:lang w:val="en-US"/>
        </w:rPr>
        <w:t>θ</w:t>
      </w:r>
    </w:p>
    <w:p w:rsidR="00036E76" w:rsidRPr="00FF34BE" w:rsidRDefault="00036E76" w:rsidP="00036E76">
      <w:pPr>
        <w:pStyle w:val="Blanc"/>
        <w:rPr>
          <w:lang w:val="en-US"/>
        </w:rPr>
      </w:pPr>
    </w:p>
    <w:p w:rsidR="00D24B27" w:rsidRPr="00FF34BE" w:rsidRDefault="00D24B27" w:rsidP="00036E76">
      <w:pPr>
        <w:pStyle w:val="Heading2"/>
        <w:rPr>
          <w:lang w:val="en-US"/>
        </w:rPr>
      </w:pPr>
      <w:bookmarkStart w:id="30" w:name="_Toc284424049"/>
      <w:bookmarkStart w:id="31" w:name="_Toc284425226"/>
      <w:bookmarkStart w:id="32" w:name="_Toc284425404"/>
      <w:r w:rsidRPr="00FF34BE">
        <w:rPr>
          <w:lang w:val="en-US"/>
        </w:rPr>
        <w:t>4.4</w:t>
      </w:r>
      <w:r w:rsidRPr="00FF34BE">
        <w:rPr>
          <w:lang w:val="en-US"/>
        </w:rPr>
        <w:tab/>
        <w:t>FS short-term criterion</w:t>
      </w:r>
      <w:bookmarkEnd w:id="30"/>
      <w:bookmarkEnd w:id="31"/>
      <w:bookmarkEnd w:id="32"/>
    </w:p>
    <w:p w:rsidR="00D24B27" w:rsidRPr="00FF34BE" w:rsidRDefault="00D24B27" w:rsidP="00D24B27">
      <w:pPr>
        <w:rPr>
          <w:lang w:val="en-US"/>
        </w:rPr>
      </w:pPr>
      <w:r w:rsidRPr="00FF34BE">
        <w:rPr>
          <w:lang w:val="en-US"/>
        </w:rPr>
        <w:t>Using this pfd mask for an aircraft flying overhead a FS station with the characteristics given in the first column of Table 1, the maximum power that would be received by the FS station pointing at a 0° elevation angle would be, function of the elevation angle of the aircraft:</w:t>
      </w:r>
    </w:p>
    <w:p w:rsidR="004622CA" w:rsidRPr="00FF34BE" w:rsidRDefault="004622CA" w:rsidP="00D24B27">
      <w:pPr>
        <w:rPr>
          <w:lang w:val="en-US"/>
        </w:rPr>
      </w:pPr>
    </w:p>
    <w:p w:rsidR="00D24B27" w:rsidRPr="00FF34BE" w:rsidRDefault="00D24B27" w:rsidP="00D24B27">
      <w:pPr>
        <w:pStyle w:val="TableNo"/>
        <w:rPr>
          <w:szCs w:val="24"/>
          <w:lang w:val="en-US"/>
        </w:rPr>
      </w:pPr>
      <w:r w:rsidRPr="00FF34BE">
        <w:rPr>
          <w:szCs w:val="24"/>
          <w:lang w:val="en-US"/>
        </w:rPr>
        <w:t>TABLE 8</w:t>
      </w:r>
    </w:p>
    <w:p w:rsidR="00D24B27" w:rsidRPr="00FF34BE" w:rsidRDefault="00D24B27" w:rsidP="00AE0ED1">
      <w:pPr>
        <w:pStyle w:val="Tabletitle"/>
        <w:rPr>
          <w:lang w:val="en-US"/>
        </w:rPr>
      </w:pPr>
      <w:r w:rsidRPr="00FF34BE">
        <w:rPr>
          <w:bCs/>
          <w:i/>
          <w:iCs/>
          <w:lang w:val="en-US"/>
        </w:rPr>
        <w:t>I</w:t>
      </w:r>
      <w:r w:rsidRPr="00FF34BE">
        <w:rPr>
          <w:bCs/>
          <w:lang w:val="en-US"/>
        </w:rPr>
        <w:t>/</w:t>
      </w:r>
      <w:r w:rsidRPr="00FF34BE">
        <w:rPr>
          <w:bCs/>
          <w:i/>
          <w:iCs/>
          <w:lang w:val="en-US"/>
        </w:rPr>
        <w:t>N</w:t>
      </w:r>
      <w:r w:rsidRPr="00FF34BE">
        <w:rPr>
          <w:lang w:val="en-US"/>
        </w:rPr>
        <w:t xml:space="preserve"> values received by a P-P FS station pointing at 0° elevation</w:t>
      </w:r>
    </w:p>
    <w:tbl>
      <w:tblPr>
        <w:tblW w:w="8505" w:type="dxa"/>
        <w:jc w:val="center"/>
        <w:tblLayout w:type="fixed"/>
        <w:tblLook w:val="0000"/>
      </w:tblPr>
      <w:tblGrid>
        <w:gridCol w:w="1418"/>
        <w:gridCol w:w="1276"/>
        <w:gridCol w:w="1134"/>
        <w:gridCol w:w="1984"/>
        <w:gridCol w:w="1418"/>
        <w:gridCol w:w="1275"/>
      </w:tblGrid>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tcPr>
          <w:p w:rsidR="00D24B27" w:rsidRPr="00FF34BE" w:rsidRDefault="00D24B27" w:rsidP="00036E76">
            <w:pPr>
              <w:pStyle w:val="Tablehead"/>
              <w:rPr>
                <w:lang w:val="en-US" w:eastAsia="fr-FR"/>
              </w:rPr>
            </w:pPr>
            <w:r w:rsidRPr="00FF34BE">
              <w:rPr>
                <w:lang w:val="en-US"/>
              </w:rPr>
              <w:t>Elevation (</w:t>
            </w:r>
            <w:r w:rsidR="00036E76" w:rsidRPr="00FF34BE">
              <w:rPr>
                <w:lang w:val="en-US"/>
              </w:rPr>
              <w:t>degrees</w:t>
            </w:r>
            <w:r w:rsidRPr="00FF34BE">
              <w:rPr>
                <w:lang w:val="en-US"/>
              </w:rPr>
              <w:t>)</w:t>
            </w:r>
          </w:p>
        </w:tc>
        <w:tc>
          <w:tcPr>
            <w:tcW w:w="1276" w:type="dxa"/>
            <w:tcBorders>
              <w:top w:val="single" w:sz="4" w:space="0" w:color="auto"/>
              <w:left w:val="nil"/>
              <w:bottom w:val="single" w:sz="4" w:space="0" w:color="auto"/>
              <w:right w:val="single" w:sz="4" w:space="0" w:color="auto"/>
            </w:tcBorders>
            <w:noWrap/>
          </w:tcPr>
          <w:p w:rsidR="00D24B27" w:rsidRPr="00FF34BE" w:rsidRDefault="00D24B27" w:rsidP="00036E76">
            <w:pPr>
              <w:pStyle w:val="Tablehead"/>
              <w:rPr>
                <w:lang w:val="en-US" w:eastAsia="fr-FR"/>
              </w:rPr>
            </w:pPr>
            <w:r w:rsidRPr="00FF34BE">
              <w:rPr>
                <w:lang w:val="en-US"/>
              </w:rPr>
              <w:t xml:space="preserve">pfd </w:t>
            </w:r>
            <w:r w:rsidR="00036E76" w:rsidRPr="00FF34BE">
              <w:rPr>
                <w:lang w:val="en-US"/>
              </w:rPr>
              <w:br/>
            </w:r>
            <w:r w:rsidRPr="00FF34BE">
              <w:rPr>
                <w:lang w:val="en-US"/>
              </w:rPr>
              <w:t>(dBW/m</w:t>
            </w:r>
            <w:r w:rsidRPr="00FF34BE">
              <w:rPr>
                <w:vertAlign w:val="superscript"/>
                <w:lang w:val="en-US"/>
              </w:rPr>
              <w:t>2</w:t>
            </w:r>
            <w:r w:rsidRPr="00FF34BE">
              <w:rPr>
                <w:lang w:val="en-US"/>
              </w:rPr>
              <w:t>)</w:t>
            </w:r>
          </w:p>
        </w:tc>
        <w:tc>
          <w:tcPr>
            <w:tcW w:w="1134" w:type="dxa"/>
            <w:tcBorders>
              <w:top w:val="single" w:sz="4" w:space="0" w:color="auto"/>
              <w:left w:val="nil"/>
              <w:bottom w:val="single" w:sz="4" w:space="0" w:color="auto"/>
              <w:right w:val="single" w:sz="4" w:space="0" w:color="auto"/>
            </w:tcBorders>
            <w:noWrap/>
          </w:tcPr>
          <w:p w:rsidR="00D24B27" w:rsidRPr="00FF34BE" w:rsidRDefault="00D24B27" w:rsidP="00036E76">
            <w:pPr>
              <w:pStyle w:val="Tablehead"/>
              <w:rPr>
                <w:lang w:val="en-US" w:eastAsia="fr-FR"/>
              </w:rPr>
            </w:pPr>
            <w:r w:rsidRPr="00FF34BE">
              <w:rPr>
                <w:lang w:val="en-US"/>
              </w:rPr>
              <w:t>Offset</w:t>
            </w:r>
          </w:p>
        </w:tc>
        <w:tc>
          <w:tcPr>
            <w:tcW w:w="1984" w:type="dxa"/>
            <w:tcBorders>
              <w:top w:val="single" w:sz="4" w:space="0" w:color="auto"/>
              <w:left w:val="nil"/>
              <w:bottom w:val="single" w:sz="4" w:space="0" w:color="auto"/>
              <w:right w:val="single" w:sz="4" w:space="0" w:color="auto"/>
            </w:tcBorders>
            <w:noWrap/>
          </w:tcPr>
          <w:p w:rsidR="00D24B27" w:rsidRPr="00FF34BE" w:rsidRDefault="00036E76" w:rsidP="00300955">
            <w:pPr>
              <w:pStyle w:val="Tablehead"/>
              <w:rPr>
                <w:lang w:val="en-US" w:eastAsia="fr-FR"/>
              </w:rPr>
            </w:pPr>
            <w:r w:rsidRPr="00FF34BE">
              <w:rPr>
                <w:lang w:val="en-US"/>
              </w:rPr>
              <w:t>Recommendation ITU-</w:t>
            </w:r>
            <w:r w:rsidR="00300955">
              <w:rPr>
                <w:lang w:val="en-US"/>
              </w:rPr>
              <w:t>R</w:t>
            </w:r>
            <w:r w:rsidRPr="00FF34BE">
              <w:rPr>
                <w:lang w:val="en-US"/>
              </w:rPr>
              <w:t xml:space="preserve"> </w:t>
            </w:r>
            <w:r w:rsidR="00D24B27" w:rsidRPr="00FF34BE">
              <w:rPr>
                <w:lang w:val="en-US"/>
              </w:rPr>
              <w:t>F.1245</w:t>
            </w:r>
          </w:p>
        </w:tc>
        <w:tc>
          <w:tcPr>
            <w:tcW w:w="1418" w:type="dxa"/>
            <w:tcBorders>
              <w:top w:val="single" w:sz="4" w:space="0" w:color="auto"/>
              <w:left w:val="nil"/>
              <w:bottom w:val="single" w:sz="4" w:space="0" w:color="auto"/>
              <w:right w:val="single" w:sz="4" w:space="0" w:color="auto"/>
            </w:tcBorders>
            <w:noWrap/>
          </w:tcPr>
          <w:p w:rsidR="00D24B27" w:rsidRPr="00FF34BE" w:rsidRDefault="00D24B27" w:rsidP="00036E76">
            <w:pPr>
              <w:pStyle w:val="Tablehead"/>
              <w:rPr>
                <w:bCs/>
                <w:i/>
                <w:iCs/>
                <w:lang w:val="en-US" w:eastAsia="fr-FR"/>
              </w:rPr>
            </w:pPr>
            <w:r w:rsidRPr="00FF34BE">
              <w:rPr>
                <w:bCs/>
                <w:i/>
                <w:iCs/>
                <w:lang w:val="en-US"/>
              </w:rPr>
              <w:t>Pr</w:t>
            </w:r>
          </w:p>
        </w:tc>
        <w:tc>
          <w:tcPr>
            <w:tcW w:w="1275" w:type="dxa"/>
            <w:tcBorders>
              <w:top w:val="single" w:sz="4" w:space="0" w:color="auto"/>
              <w:left w:val="nil"/>
              <w:bottom w:val="single" w:sz="4" w:space="0" w:color="auto"/>
              <w:right w:val="single" w:sz="4" w:space="0" w:color="auto"/>
            </w:tcBorders>
            <w:noWrap/>
          </w:tcPr>
          <w:p w:rsidR="00D24B27" w:rsidRPr="00FF34BE" w:rsidRDefault="00D24B27" w:rsidP="00036E76">
            <w:pPr>
              <w:pStyle w:val="Tablehead"/>
              <w:rPr>
                <w:bCs/>
                <w:i/>
                <w:iCs/>
                <w:lang w:val="en-US" w:eastAsia="fr-FR"/>
              </w:rPr>
            </w:pPr>
            <w:r w:rsidRPr="00FF34BE">
              <w:rPr>
                <w:bCs/>
                <w:i/>
                <w:iCs/>
                <w:lang w:val="en-US"/>
              </w:rPr>
              <w:t>I</w:t>
            </w:r>
            <w:r w:rsidRPr="00FF34BE">
              <w:rPr>
                <w:bCs/>
                <w:lang w:val="en-US"/>
              </w:rPr>
              <w:t>/</w:t>
            </w:r>
            <w:r w:rsidRPr="00FF34BE">
              <w:rPr>
                <w:bCs/>
                <w:i/>
                <w:iCs/>
                <w:lang w:val="en-US"/>
              </w:rPr>
              <w:t>N</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0</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–120</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0</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47.0</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–125.9</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12.0</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0.16</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–121.5</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0.16</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46.5</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–127.9</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10.0</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5</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5</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11.9</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–208.1</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–70.1</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10</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10</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4.3</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–215.6</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–77.6</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15</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15</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–0.1</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–220.0</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–82.0</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20</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20</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–3.2</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–223.1</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–85.2</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25</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25</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–5.6</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–225.5</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–87.6</w:t>
            </w:r>
          </w:p>
        </w:tc>
      </w:tr>
      <w:tr w:rsidR="00D24B27" w:rsidRPr="00FF34BE" w:rsidTr="008A3F3B">
        <w:trPr>
          <w:trHeight w:val="255"/>
          <w:jc w:val="center"/>
        </w:trPr>
        <w:tc>
          <w:tcPr>
            <w:tcW w:w="1418" w:type="dxa"/>
            <w:tcBorders>
              <w:top w:val="single" w:sz="4" w:space="0" w:color="auto"/>
              <w:left w:val="single" w:sz="4" w:space="0" w:color="auto"/>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30</w:t>
            </w:r>
          </w:p>
        </w:tc>
        <w:tc>
          <w:tcPr>
            <w:tcW w:w="1276"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–167</w:t>
            </w:r>
          </w:p>
        </w:tc>
        <w:tc>
          <w:tcPr>
            <w:tcW w:w="113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30</w:t>
            </w:r>
          </w:p>
        </w:tc>
        <w:tc>
          <w:tcPr>
            <w:tcW w:w="1984"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–7.6</w:t>
            </w:r>
          </w:p>
        </w:tc>
        <w:tc>
          <w:tcPr>
            <w:tcW w:w="1418"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–227.5</w:t>
            </w:r>
          </w:p>
        </w:tc>
        <w:tc>
          <w:tcPr>
            <w:tcW w:w="1275" w:type="dxa"/>
            <w:tcBorders>
              <w:top w:val="single" w:sz="4" w:space="0" w:color="auto"/>
              <w:left w:val="nil"/>
              <w:bottom w:val="single" w:sz="4" w:space="0" w:color="auto"/>
              <w:right w:val="single" w:sz="4" w:space="0" w:color="auto"/>
            </w:tcBorders>
            <w:noWrap/>
            <w:vAlign w:val="bottom"/>
          </w:tcPr>
          <w:p w:rsidR="00D24B27" w:rsidRPr="00FF34BE" w:rsidRDefault="00D24B27" w:rsidP="00036E76">
            <w:pPr>
              <w:pStyle w:val="Tabletext"/>
              <w:jc w:val="center"/>
              <w:rPr>
                <w:lang w:val="en-US" w:eastAsia="fr-FR"/>
              </w:rPr>
            </w:pPr>
            <w:r w:rsidRPr="00FF34BE">
              <w:rPr>
                <w:lang w:val="en-US"/>
              </w:rPr>
              <w:t>–89.6</w:t>
            </w:r>
          </w:p>
        </w:tc>
      </w:tr>
    </w:tbl>
    <w:p w:rsidR="00D24B27" w:rsidRPr="00FF34BE" w:rsidRDefault="00D24B27" w:rsidP="00036E76">
      <w:pPr>
        <w:pStyle w:val="Tablefin"/>
        <w:rPr>
          <w:lang w:val="en-US"/>
        </w:rPr>
      </w:pPr>
    </w:p>
    <w:p w:rsidR="004622CA" w:rsidRPr="00FF34BE" w:rsidRDefault="004622CA" w:rsidP="004622CA">
      <w:pPr>
        <w:rPr>
          <w:lang w:val="en-US"/>
        </w:rPr>
      </w:pPr>
    </w:p>
    <w:p w:rsidR="00D24B27" w:rsidRPr="00FF34BE" w:rsidRDefault="00D24B27" w:rsidP="00D24B27">
      <w:pPr>
        <w:rPr>
          <w:lang w:val="en-US"/>
        </w:rPr>
      </w:pPr>
      <w:r w:rsidRPr="00FF34BE">
        <w:rPr>
          <w:lang w:val="en-US"/>
        </w:rPr>
        <w:t xml:space="preserve">The </w:t>
      </w:r>
      <w:r w:rsidRPr="00FF34BE">
        <w:rPr>
          <w:i/>
          <w:iCs/>
          <w:lang w:val="en-US"/>
        </w:rPr>
        <w:t>I</w:t>
      </w:r>
      <w:r w:rsidRPr="00FF34BE">
        <w:rPr>
          <w:lang w:val="en-US"/>
        </w:rPr>
        <w:t>/</w:t>
      </w:r>
      <w:r w:rsidRPr="00FF34BE">
        <w:rPr>
          <w:i/>
          <w:iCs/>
          <w:lang w:val="en-US"/>
        </w:rPr>
        <w:t>N</w:t>
      </w:r>
      <w:r w:rsidRPr="00FF34BE">
        <w:rPr>
          <w:lang w:val="en-US"/>
        </w:rPr>
        <w:t xml:space="preserve"> short-term criterion would be exceeded only for elevation angles lower than 0.16° for this specific worst-case system. However, it should be noted that the atmospheric loss has to be taken out, and is important for low elevation angles due to the distance between the aircraft and the FS station. It is therefore expected that the short-term criterion will be met all time when considering this combined pfd mask.</w:t>
      </w:r>
    </w:p>
    <w:p w:rsidR="00D24B27" w:rsidRPr="00FF34BE" w:rsidRDefault="00D24B27" w:rsidP="00406262">
      <w:pPr>
        <w:pStyle w:val="Heading2"/>
        <w:rPr>
          <w:lang w:val="en-US"/>
        </w:rPr>
      </w:pPr>
      <w:bookmarkStart w:id="33" w:name="_Toc284424050"/>
      <w:bookmarkStart w:id="34" w:name="_Toc284425227"/>
      <w:bookmarkStart w:id="35" w:name="_Toc284425405"/>
      <w:r w:rsidRPr="00FF34BE">
        <w:rPr>
          <w:lang w:val="en-US"/>
        </w:rPr>
        <w:t>4.5</w:t>
      </w:r>
      <w:r w:rsidRPr="00FF34BE">
        <w:rPr>
          <w:lang w:val="en-US"/>
        </w:rPr>
        <w:tab/>
        <w:t xml:space="preserve">Protection of </w:t>
      </w:r>
      <w:r w:rsidR="00300955">
        <w:rPr>
          <w:lang w:val="en-US"/>
        </w:rPr>
        <w:t>point-to-multipoint</w:t>
      </w:r>
      <w:r w:rsidRPr="00FF34BE">
        <w:rPr>
          <w:lang w:val="en-US"/>
        </w:rPr>
        <w:t xml:space="preserve"> FS systems</w:t>
      </w:r>
      <w:bookmarkEnd w:id="33"/>
      <w:bookmarkEnd w:id="34"/>
      <w:bookmarkEnd w:id="35"/>
    </w:p>
    <w:p w:rsidR="00D24B27" w:rsidRPr="00FF34BE" w:rsidRDefault="00D24B27" w:rsidP="000B4B78">
      <w:pPr>
        <w:rPr>
          <w:lang w:val="en-US"/>
        </w:rPr>
      </w:pPr>
      <w:r w:rsidRPr="00FF34BE">
        <w:rPr>
          <w:lang w:val="en-US"/>
        </w:rPr>
        <w:t xml:space="preserve">It should be noted that the pfd mask defined in Fig. 2 would also afford protection to terminal stations in </w:t>
      </w:r>
      <w:r w:rsidR="00406262">
        <w:rPr>
          <w:lang w:val="en-US"/>
        </w:rPr>
        <w:t>point-to-multipoint (</w:t>
      </w:r>
      <w:r w:rsidR="000B4B78" w:rsidRPr="00FF34BE">
        <w:rPr>
          <w:lang w:val="en-US"/>
        </w:rPr>
        <w:t>P-MP</w:t>
      </w:r>
      <w:r w:rsidR="00406262">
        <w:rPr>
          <w:lang w:val="en-US"/>
        </w:rPr>
        <w:t>)</w:t>
      </w:r>
      <w:r w:rsidRPr="00FF34BE">
        <w:rPr>
          <w:lang w:val="en-US"/>
        </w:rPr>
        <w:t xml:space="preserve"> FS systems. </w:t>
      </w:r>
    </w:p>
    <w:p w:rsidR="00D24B27" w:rsidRPr="00FF34BE" w:rsidRDefault="00D24B27" w:rsidP="004622CA">
      <w:pPr>
        <w:keepNext/>
        <w:keepLines/>
        <w:rPr>
          <w:lang w:val="en-US"/>
        </w:rPr>
      </w:pPr>
      <w:r w:rsidRPr="00FF34BE">
        <w:rPr>
          <w:lang w:val="en-US"/>
        </w:rPr>
        <w:lastRenderedPageBreak/>
        <w:t xml:space="preserve">The maximum antenna gain of central or hub stations is between 14 and 20 dBi according to Recommendation ITU-R F.758-4. The noise level considering a 28 MHz bandwidth, and an 8 dB noise figure would be −121.5 dBW, or −136 dBW/MHz. With these characteristics, using the combined pfd mask defined in </w:t>
      </w:r>
      <w:r w:rsidR="00036E76" w:rsidRPr="00FF34BE">
        <w:rPr>
          <w:lang w:val="en-US"/>
        </w:rPr>
        <w:t>§ </w:t>
      </w:r>
      <w:r w:rsidRPr="00FF34BE">
        <w:rPr>
          <w:lang w:val="en-US"/>
        </w:rPr>
        <w:t xml:space="preserve">4.3, the maximum </w:t>
      </w:r>
      <w:r w:rsidRPr="00FF34BE">
        <w:rPr>
          <w:i/>
          <w:iCs/>
          <w:lang w:val="en-US"/>
        </w:rPr>
        <w:t>I</w:t>
      </w:r>
      <w:r w:rsidRPr="00FF34BE">
        <w:rPr>
          <w:lang w:val="en-US"/>
        </w:rPr>
        <w:t>/</w:t>
      </w:r>
      <w:r w:rsidRPr="00FF34BE">
        <w:rPr>
          <w:i/>
          <w:iCs/>
          <w:lang w:val="en-US"/>
        </w:rPr>
        <w:t>N</w:t>
      </w:r>
      <w:r w:rsidRPr="00FF34BE">
        <w:rPr>
          <w:lang w:val="en-US"/>
        </w:rPr>
        <w:t xml:space="preserve"> level in the FS station receiver would be without any atmospheric loss:</w:t>
      </w:r>
    </w:p>
    <w:p w:rsidR="004622CA" w:rsidRPr="00FF34BE" w:rsidRDefault="004622CA" w:rsidP="004622CA">
      <w:pPr>
        <w:keepNext/>
        <w:keepLines/>
        <w:rPr>
          <w:lang w:val="en-US"/>
        </w:rPr>
      </w:pPr>
    </w:p>
    <w:p w:rsidR="00D24B27" w:rsidRPr="00FF34BE" w:rsidRDefault="00D24B27" w:rsidP="00D24B27">
      <w:pPr>
        <w:pStyle w:val="TableNo"/>
        <w:rPr>
          <w:lang w:val="en-US"/>
        </w:rPr>
      </w:pPr>
      <w:r w:rsidRPr="00FF34BE">
        <w:rPr>
          <w:lang w:val="en-US"/>
        </w:rPr>
        <w:t>TABLE 9</w:t>
      </w:r>
    </w:p>
    <w:p w:rsidR="00D24B27" w:rsidRPr="00FF34BE" w:rsidRDefault="00D24B27" w:rsidP="00D24B27">
      <w:pPr>
        <w:pStyle w:val="Tabletitle"/>
        <w:rPr>
          <w:lang w:val="en-US"/>
        </w:rPr>
      </w:pPr>
      <w:r w:rsidRPr="00FF34BE">
        <w:rPr>
          <w:lang w:val="en-US"/>
        </w:rPr>
        <w:t>P-MP central station maximum interference</w:t>
      </w:r>
    </w:p>
    <w:tbl>
      <w:tblPr>
        <w:tblW w:w="4664" w:type="dxa"/>
        <w:jc w:val="center"/>
        <w:tblInd w:w="-1413" w:type="dxa"/>
        <w:tblLayout w:type="fixed"/>
        <w:tblLook w:val="0000"/>
      </w:tblPr>
      <w:tblGrid>
        <w:gridCol w:w="2729"/>
        <w:gridCol w:w="1935"/>
      </w:tblGrid>
      <w:tr w:rsidR="00AE0ED1" w:rsidRPr="00FF34BE" w:rsidTr="00AE0ED1">
        <w:trPr>
          <w:trHeight w:val="255"/>
          <w:jc w:val="center"/>
        </w:trPr>
        <w:tc>
          <w:tcPr>
            <w:tcW w:w="2729" w:type="dxa"/>
            <w:tcBorders>
              <w:top w:val="single" w:sz="4" w:space="0" w:color="auto"/>
              <w:left w:val="single" w:sz="4" w:space="0" w:color="auto"/>
              <w:bottom w:val="single" w:sz="4" w:space="0" w:color="auto"/>
              <w:right w:val="single" w:sz="4" w:space="0" w:color="auto"/>
            </w:tcBorders>
            <w:noWrap/>
            <w:vAlign w:val="bottom"/>
          </w:tcPr>
          <w:p w:rsidR="00AE0ED1" w:rsidRPr="00FF34BE" w:rsidRDefault="00AE0ED1" w:rsidP="00AE0ED1">
            <w:pPr>
              <w:pStyle w:val="Tabletext"/>
              <w:snapToGrid w:val="0"/>
              <w:rPr>
                <w:lang w:val="en-US" w:eastAsia="fr-FR"/>
              </w:rPr>
            </w:pPr>
            <w:r w:rsidRPr="00FF34BE">
              <w:rPr>
                <w:lang w:val="en-US" w:eastAsia="fr-FR"/>
              </w:rPr>
              <w:t>pfd (dBW/m²/MHz)</w:t>
            </w:r>
          </w:p>
        </w:tc>
        <w:tc>
          <w:tcPr>
            <w:tcW w:w="1935" w:type="dxa"/>
            <w:tcBorders>
              <w:top w:val="single" w:sz="4" w:space="0" w:color="auto"/>
              <w:left w:val="nil"/>
              <w:bottom w:val="single" w:sz="4" w:space="0" w:color="auto"/>
              <w:right w:val="single" w:sz="4" w:space="0" w:color="auto"/>
            </w:tcBorders>
            <w:noWrap/>
            <w:vAlign w:val="bottom"/>
          </w:tcPr>
          <w:p w:rsidR="00AE0ED1" w:rsidRPr="00FF34BE" w:rsidRDefault="00AE0ED1" w:rsidP="00AE0ED1">
            <w:pPr>
              <w:pStyle w:val="Tabletext"/>
              <w:snapToGrid w:val="0"/>
              <w:jc w:val="center"/>
              <w:rPr>
                <w:lang w:val="en-US" w:eastAsia="fr-FR"/>
              </w:rPr>
            </w:pPr>
            <w:r w:rsidRPr="00FF34BE">
              <w:rPr>
                <w:lang w:val="en-US" w:eastAsia="fr-FR"/>
              </w:rPr>
              <w:t>–120</w:t>
            </w:r>
          </w:p>
        </w:tc>
      </w:tr>
      <w:tr w:rsidR="00AE0ED1" w:rsidRPr="00FF34BE" w:rsidTr="00AE0ED1">
        <w:trPr>
          <w:trHeight w:val="255"/>
          <w:jc w:val="center"/>
        </w:trPr>
        <w:tc>
          <w:tcPr>
            <w:tcW w:w="2729" w:type="dxa"/>
            <w:tcBorders>
              <w:top w:val="nil"/>
              <w:left w:val="single" w:sz="4" w:space="0" w:color="auto"/>
              <w:bottom w:val="single" w:sz="4" w:space="0" w:color="auto"/>
              <w:right w:val="single" w:sz="4" w:space="0" w:color="auto"/>
            </w:tcBorders>
            <w:noWrap/>
            <w:vAlign w:val="bottom"/>
          </w:tcPr>
          <w:p w:rsidR="00AE0ED1" w:rsidRPr="00FF34BE" w:rsidRDefault="00AE0ED1" w:rsidP="00AE0ED1">
            <w:pPr>
              <w:pStyle w:val="Tabletext"/>
              <w:snapToGrid w:val="0"/>
              <w:rPr>
                <w:lang w:val="en-US"/>
              </w:rPr>
            </w:pPr>
            <w:r w:rsidRPr="00FF34BE">
              <w:rPr>
                <w:i/>
                <w:iCs/>
                <w:lang w:val="en-US"/>
              </w:rPr>
              <w:t xml:space="preserve">Gr </w:t>
            </w:r>
            <w:r w:rsidRPr="00FF34BE">
              <w:rPr>
                <w:lang w:val="en-US"/>
              </w:rPr>
              <w:t>(dBi)</w:t>
            </w:r>
          </w:p>
        </w:tc>
        <w:tc>
          <w:tcPr>
            <w:tcW w:w="1935" w:type="dxa"/>
            <w:tcBorders>
              <w:top w:val="nil"/>
              <w:left w:val="nil"/>
              <w:bottom w:val="single" w:sz="4" w:space="0" w:color="auto"/>
              <w:right w:val="single" w:sz="4" w:space="0" w:color="auto"/>
            </w:tcBorders>
            <w:noWrap/>
            <w:vAlign w:val="bottom"/>
          </w:tcPr>
          <w:p w:rsidR="00AE0ED1" w:rsidRPr="00FF34BE" w:rsidRDefault="00AE0ED1" w:rsidP="00AE0ED1">
            <w:pPr>
              <w:pStyle w:val="Tabletext"/>
              <w:snapToGrid w:val="0"/>
              <w:jc w:val="center"/>
              <w:rPr>
                <w:lang w:val="en-US"/>
              </w:rPr>
            </w:pPr>
            <w:r w:rsidRPr="00FF34BE">
              <w:rPr>
                <w:lang w:val="en-US"/>
              </w:rPr>
              <w:t>20</w:t>
            </w:r>
          </w:p>
        </w:tc>
      </w:tr>
      <w:tr w:rsidR="00AE0ED1" w:rsidRPr="00FF34BE" w:rsidTr="00AE0ED1">
        <w:trPr>
          <w:trHeight w:val="255"/>
          <w:jc w:val="center"/>
        </w:trPr>
        <w:tc>
          <w:tcPr>
            <w:tcW w:w="2729" w:type="dxa"/>
            <w:tcBorders>
              <w:top w:val="nil"/>
              <w:left w:val="single" w:sz="4" w:space="0" w:color="auto"/>
              <w:bottom w:val="single" w:sz="4" w:space="0" w:color="auto"/>
              <w:right w:val="single" w:sz="4" w:space="0" w:color="auto"/>
            </w:tcBorders>
            <w:noWrap/>
            <w:vAlign w:val="bottom"/>
          </w:tcPr>
          <w:p w:rsidR="00AE0ED1" w:rsidRPr="00FF34BE" w:rsidRDefault="00AE0ED1" w:rsidP="00AE0ED1">
            <w:pPr>
              <w:pStyle w:val="Tabletext"/>
              <w:snapToGrid w:val="0"/>
              <w:rPr>
                <w:lang w:val="en-US"/>
              </w:rPr>
            </w:pPr>
            <w:r w:rsidRPr="00FF34BE">
              <w:rPr>
                <w:i/>
                <w:iCs/>
                <w:lang w:val="en-US"/>
              </w:rPr>
              <w:t>f</w:t>
            </w:r>
            <w:r w:rsidRPr="00FF34BE">
              <w:rPr>
                <w:lang w:val="en-US"/>
              </w:rPr>
              <w:t xml:space="preserve"> (GHz)</w:t>
            </w:r>
          </w:p>
        </w:tc>
        <w:tc>
          <w:tcPr>
            <w:tcW w:w="1935" w:type="dxa"/>
            <w:tcBorders>
              <w:top w:val="nil"/>
              <w:left w:val="nil"/>
              <w:bottom w:val="single" w:sz="4" w:space="0" w:color="auto"/>
              <w:right w:val="single" w:sz="4" w:space="0" w:color="auto"/>
            </w:tcBorders>
            <w:noWrap/>
            <w:vAlign w:val="bottom"/>
          </w:tcPr>
          <w:p w:rsidR="00AE0ED1" w:rsidRPr="00FF34BE" w:rsidRDefault="00AE0ED1" w:rsidP="00AE0ED1">
            <w:pPr>
              <w:pStyle w:val="Tabletext"/>
              <w:snapToGrid w:val="0"/>
              <w:jc w:val="center"/>
              <w:rPr>
                <w:lang w:val="en-US"/>
              </w:rPr>
            </w:pPr>
            <w:r w:rsidRPr="00FF34BE">
              <w:rPr>
                <w:lang w:val="en-US"/>
              </w:rPr>
              <w:t>37</w:t>
            </w:r>
          </w:p>
        </w:tc>
      </w:tr>
      <w:tr w:rsidR="00AE0ED1" w:rsidRPr="00FF34BE" w:rsidTr="00AE0ED1">
        <w:trPr>
          <w:trHeight w:val="255"/>
          <w:jc w:val="center"/>
        </w:trPr>
        <w:tc>
          <w:tcPr>
            <w:tcW w:w="2729" w:type="dxa"/>
            <w:tcBorders>
              <w:top w:val="nil"/>
              <w:left w:val="single" w:sz="4" w:space="0" w:color="auto"/>
              <w:bottom w:val="single" w:sz="4" w:space="0" w:color="auto"/>
              <w:right w:val="single" w:sz="4" w:space="0" w:color="auto"/>
            </w:tcBorders>
            <w:noWrap/>
            <w:vAlign w:val="bottom"/>
          </w:tcPr>
          <w:p w:rsidR="00AE0ED1" w:rsidRPr="00FF34BE" w:rsidRDefault="00AE0ED1" w:rsidP="00AE0ED1">
            <w:pPr>
              <w:pStyle w:val="Tabletext"/>
              <w:snapToGrid w:val="0"/>
              <w:rPr>
                <w:lang w:val="en-US"/>
              </w:rPr>
            </w:pPr>
            <w:r w:rsidRPr="00FF34BE">
              <w:rPr>
                <w:i/>
                <w:iCs/>
                <w:lang w:val="en-US"/>
              </w:rPr>
              <w:t>I</w:t>
            </w:r>
            <w:r w:rsidRPr="00FF34BE">
              <w:rPr>
                <w:lang w:val="en-US"/>
              </w:rPr>
              <w:t xml:space="preserve"> (dBW/MHz)</w:t>
            </w:r>
          </w:p>
        </w:tc>
        <w:tc>
          <w:tcPr>
            <w:tcW w:w="1935" w:type="dxa"/>
            <w:tcBorders>
              <w:top w:val="nil"/>
              <w:left w:val="nil"/>
              <w:bottom w:val="single" w:sz="4" w:space="0" w:color="auto"/>
              <w:right w:val="single" w:sz="4" w:space="0" w:color="auto"/>
            </w:tcBorders>
            <w:noWrap/>
            <w:vAlign w:val="bottom"/>
          </w:tcPr>
          <w:p w:rsidR="00AE0ED1" w:rsidRPr="00FF34BE" w:rsidRDefault="00AE0ED1" w:rsidP="00AE0ED1">
            <w:pPr>
              <w:pStyle w:val="Tabletext"/>
              <w:snapToGrid w:val="0"/>
              <w:jc w:val="center"/>
              <w:rPr>
                <w:lang w:val="en-US"/>
              </w:rPr>
            </w:pPr>
            <w:r w:rsidRPr="00FF34BE">
              <w:rPr>
                <w:lang w:val="en-US"/>
              </w:rPr>
              <w:t>–152.8</w:t>
            </w:r>
          </w:p>
        </w:tc>
      </w:tr>
      <w:tr w:rsidR="00AE0ED1" w:rsidRPr="00FF34BE" w:rsidTr="00AE0ED1">
        <w:trPr>
          <w:trHeight w:val="255"/>
          <w:jc w:val="center"/>
        </w:trPr>
        <w:tc>
          <w:tcPr>
            <w:tcW w:w="2729" w:type="dxa"/>
            <w:tcBorders>
              <w:top w:val="nil"/>
              <w:left w:val="single" w:sz="4" w:space="0" w:color="auto"/>
              <w:bottom w:val="single" w:sz="4" w:space="0" w:color="auto"/>
              <w:right w:val="single" w:sz="4" w:space="0" w:color="auto"/>
            </w:tcBorders>
            <w:noWrap/>
            <w:vAlign w:val="bottom"/>
          </w:tcPr>
          <w:p w:rsidR="00AE0ED1" w:rsidRPr="00FF34BE" w:rsidRDefault="00AE0ED1" w:rsidP="00AE0ED1">
            <w:pPr>
              <w:pStyle w:val="Tabletext"/>
              <w:snapToGrid w:val="0"/>
              <w:rPr>
                <w:lang w:val="en-US"/>
              </w:rPr>
            </w:pPr>
            <w:r w:rsidRPr="00FF34BE">
              <w:rPr>
                <w:i/>
                <w:iCs/>
                <w:lang w:val="en-US"/>
              </w:rPr>
              <w:t>N</w:t>
            </w:r>
            <w:r w:rsidRPr="00FF34BE">
              <w:rPr>
                <w:lang w:val="en-US"/>
              </w:rPr>
              <w:t xml:space="preserve"> (dBW/MHz)</w:t>
            </w:r>
          </w:p>
        </w:tc>
        <w:tc>
          <w:tcPr>
            <w:tcW w:w="1935" w:type="dxa"/>
            <w:tcBorders>
              <w:top w:val="nil"/>
              <w:left w:val="nil"/>
              <w:bottom w:val="single" w:sz="4" w:space="0" w:color="auto"/>
              <w:right w:val="single" w:sz="4" w:space="0" w:color="auto"/>
            </w:tcBorders>
            <w:noWrap/>
            <w:vAlign w:val="bottom"/>
          </w:tcPr>
          <w:p w:rsidR="00AE0ED1" w:rsidRPr="00FF34BE" w:rsidRDefault="00AE0ED1" w:rsidP="00AE0ED1">
            <w:pPr>
              <w:pStyle w:val="Tabletext"/>
              <w:snapToGrid w:val="0"/>
              <w:jc w:val="center"/>
              <w:rPr>
                <w:lang w:val="en-US"/>
              </w:rPr>
            </w:pPr>
            <w:r w:rsidRPr="00FF34BE">
              <w:rPr>
                <w:lang w:val="en-US"/>
              </w:rPr>
              <w:t>–136</w:t>
            </w:r>
          </w:p>
        </w:tc>
      </w:tr>
      <w:tr w:rsidR="00AE0ED1" w:rsidRPr="00FF34BE" w:rsidTr="00AE0ED1">
        <w:trPr>
          <w:trHeight w:val="255"/>
          <w:jc w:val="center"/>
        </w:trPr>
        <w:tc>
          <w:tcPr>
            <w:tcW w:w="2729" w:type="dxa"/>
            <w:tcBorders>
              <w:top w:val="nil"/>
              <w:left w:val="single" w:sz="4" w:space="0" w:color="auto"/>
              <w:bottom w:val="single" w:sz="4" w:space="0" w:color="auto"/>
              <w:right w:val="single" w:sz="4" w:space="0" w:color="auto"/>
            </w:tcBorders>
            <w:noWrap/>
            <w:vAlign w:val="bottom"/>
          </w:tcPr>
          <w:p w:rsidR="00AE0ED1" w:rsidRPr="00FF34BE" w:rsidRDefault="00AE0ED1" w:rsidP="00036E76">
            <w:pPr>
              <w:pStyle w:val="Tabletext"/>
              <w:rPr>
                <w:lang w:val="en-US"/>
              </w:rPr>
            </w:pPr>
            <w:r w:rsidRPr="00FF34BE">
              <w:rPr>
                <w:i/>
                <w:iCs/>
                <w:lang w:val="en-US"/>
              </w:rPr>
              <w:t>I</w:t>
            </w:r>
            <w:r w:rsidRPr="00FF34BE">
              <w:rPr>
                <w:lang w:val="en-US"/>
              </w:rPr>
              <w:t>/</w:t>
            </w:r>
            <w:r w:rsidRPr="00FF34BE">
              <w:rPr>
                <w:i/>
                <w:iCs/>
                <w:lang w:val="en-US"/>
              </w:rPr>
              <w:t>N</w:t>
            </w:r>
            <w:r w:rsidRPr="00FF34BE">
              <w:rPr>
                <w:lang w:val="en-US"/>
              </w:rPr>
              <w:t xml:space="preserve"> (dB)</w:t>
            </w:r>
          </w:p>
        </w:tc>
        <w:tc>
          <w:tcPr>
            <w:tcW w:w="1935" w:type="dxa"/>
            <w:tcBorders>
              <w:top w:val="nil"/>
              <w:left w:val="nil"/>
              <w:bottom w:val="single" w:sz="4" w:space="0" w:color="auto"/>
              <w:right w:val="single" w:sz="4" w:space="0" w:color="auto"/>
            </w:tcBorders>
            <w:noWrap/>
            <w:vAlign w:val="bottom"/>
          </w:tcPr>
          <w:p w:rsidR="00AE0ED1" w:rsidRPr="00FF34BE" w:rsidRDefault="00AE0ED1" w:rsidP="00AE0ED1">
            <w:pPr>
              <w:pStyle w:val="Tabletext"/>
              <w:jc w:val="center"/>
              <w:rPr>
                <w:lang w:val="en-US"/>
              </w:rPr>
            </w:pPr>
            <w:r w:rsidRPr="00FF34BE">
              <w:rPr>
                <w:lang w:val="en-US"/>
              </w:rPr>
              <w:t>–16.8</w:t>
            </w:r>
          </w:p>
        </w:tc>
      </w:tr>
    </w:tbl>
    <w:p w:rsidR="00AE0ED1" w:rsidRPr="00FF34BE" w:rsidRDefault="00AE0ED1" w:rsidP="00AE0ED1">
      <w:pPr>
        <w:pStyle w:val="Tablefin"/>
        <w:rPr>
          <w:lang w:val="en-US"/>
        </w:rPr>
      </w:pPr>
    </w:p>
    <w:p w:rsidR="004622CA" w:rsidRPr="00FF34BE" w:rsidRDefault="004622CA" w:rsidP="004622CA">
      <w:pPr>
        <w:rPr>
          <w:lang w:val="en-US"/>
        </w:rPr>
      </w:pPr>
    </w:p>
    <w:p w:rsidR="00D24B27" w:rsidRPr="00FF34BE" w:rsidRDefault="00D24B27" w:rsidP="00AE0ED1">
      <w:pPr>
        <w:rPr>
          <w:lang w:val="en-US"/>
        </w:rPr>
      </w:pPr>
      <w:r w:rsidRPr="00FF34BE">
        <w:rPr>
          <w:lang w:val="en-US"/>
        </w:rPr>
        <w:t xml:space="preserve">The combined pfd mask defined in </w:t>
      </w:r>
      <w:r w:rsidR="00AE0ED1" w:rsidRPr="00FF34BE">
        <w:rPr>
          <w:lang w:val="en-US"/>
        </w:rPr>
        <w:t xml:space="preserve">§ </w:t>
      </w:r>
      <w:r w:rsidRPr="00FF34BE">
        <w:rPr>
          <w:lang w:val="en-US"/>
        </w:rPr>
        <w:t xml:space="preserve">4.3 would also provide protection to </w:t>
      </w:r>
      <w:r w:rsidR="00AE0ED1" w:rsidRPr="00FF34BE">
        <w:rPr>
          <w:lang w:val="en-US"/>
        </w:rPr>
        <w:t>P-MP</w:t>
      </w:r>
      <w:r w:rsidRPr="00FF34BE">
        <w:rPr>
          <w:lang w:val="en-US"/>
        </w:rPr>
        <w:t xml:space="preserve"> FS stations with a margin of 7 dB with regard to the long-term criterion, and 27 dB with regard to the short-term criterion.</w:t>
      </w:r>
    </w:p>
    <w:p w:rsidR="00D24B27" w:rsidRPr="00FF34BE" w:rsidRDefault="00D24B27" w:rsidP="00AE0ED1">
      <w:pPr>
        <w:pStyle w:val="Heading1"/>
        <w:rPr>
          <w:lang w:val="en-US"/>
        </w:rPr>
      </w:pPr>
      <w:bookmarkStart w:id="36" w:name="_Toc284424051"/>
      <w:bookmarkStart w:id="37" w:name="_Toc284425228"/>
      <w:bookmarkStart w:id="38" w:name="_Toc284425406"/>
      <w:r w:rsidRPr="00FF34BE">
        <w:rPr>
          <w:lang w:val="en-US"/>
        </w:rPr>
        <w:t>5</w:t>
      </w:r>
      <w:r w:rsidRPr="00FF34BE">
        <w:rPr>
          <w:lang w:val="en-US"/>
        </w:rPr>
        <w:tab/>
        <w:t>Impact of the FS on AMS receivers</w:t>
      </w:r>
      <w:bookmarkEnd w:id="36"/>
      <w:bookmarkEnd w:id="37"/>
      <w:bookmarkEnd w:id="38"/>
    </w:p>
    <w:p w:rsidR="00D24B27" w:rsidRPr="00FF34BE" w:rsidRDefault="00D24B27" w:rsidP="00D24B27">
      <w:pPr>
        <w:rPr>
          <w:szCs w:val="24"/>
          <w:lang w:val="en-US"/>
        </w:rPr>
      </w:pPr>
      <w:r w:rsidRPr="00FF34BE">
        <w:rPr>
          <w:szCs w:val="24"/>
          <w:lang w:val="en-US"/>
        </w:rPr>
        <w:t xml:space="preserve">A simulation tool was used to assess the impact of FS stations deployed in one administration on an aircraft station over this administration. </w:t>
      </w:r>
    </w:p>
    <w:p w:rsidR="00D24B27" w:rsidRPr="00FF34BE" w:rsidRDefault="00D24B27" w:rsidP="00D24B27">
      <w:pPr>
        <w:pStyle w:val="Heading2"/>
        <w:rPr>
          <w:szCs w:val="24"/>
          <w:lang w:val="en-US"/>
        </w:rPr>
      </w:pPr>
      <w:bookmarkStart w:id="39" w:name="_Toc284424052"/>
      <w:bookmarkStart w:id="40" w:name="_Toc284425229"/>
      <w:bookmarkStart w:id="41" w:name="_Toc284425407"/>
      <w:r w:rsidRPr="00FF34BE">
        <w:rPr>
          <w:szCs w:val="24"/>
          <w:lang w:val="en-US"/>
        </w:rPr>
        <w:t>5.1</w:t>
      </w:r>
      <w:r w:rsidRPr="00FF34BE">
        <w:rPr>
          <w:szCs w:val="24"/>
          <w:lang w:val="en-US"/>
        </w:rPr>
        <w:tab/>
        <w:t>Aeronautical mobile service parameters</w:t>
      </w:r>
      <w:bookmarkEnd w:id="39"/>
      <w:bookmarkEnd w:id="40"/>
      <w:bookmarkEnd w:id="41"/>
    </w:p>
    <w:p w:rsidR="00D24B27" w:rsidRPr="00FF34BE" w:rsidRDefault="00D24B27" w:rsidP="00D24B27">
      <w:pPr>
        <w:rPr>
          <w:szCs w:val="24"/>
          <w:lang w:val="en-US"/>
        </w:rPr>
      </w:pPr>
      <w:r w:rsidRPr="00FF34BE">
        <w:rPr>
          <w:szCs w:val="24"/>
          <w:lang w:val="en-US"/>
        </w:rPr>
        <w:t>No information is available on AMS systems that may use the band 37-38 GHz. The following information was tentatively retained.</w:t>
      </w:r>
    </w:p>
    <w:p w:rsidR="004622CA" w:rsidRPr="00FF34BE" w:rsidRDefault="004622CA" w:rsidP="00D24B27">
      <w:pPr>
        <w:rPr>
          <w:szCs w:val="24"/>
          <w:lang w:val="en-US"/>
        </w:rPr>
      </w:pPr>
    </w:p>
    <w:p w:rsidR="00D24B27" w:rsidRPr="00FF34BE" w:rsidRDefault="00D24B27" w:rsidP="00D24B27">
      <w:pPr>
        <w:pStyle w:val="TableNo"/>
        <w:rPr>
          <w:lang w:val="en-US"/>
        </w:rPr>
      </w:pPr>
      <w:r w:rsidRPr="00FF34BE">
        <w:rPr>
          <w:lang w:val="en-US"/>
        </w:rPr>
        <w:t>TABLE 10</w:t>
      </w:r>
    </w:p>
    <w:p w:rsidR="00D24B27" w:rsidRPr="00FF34BE" w:rsidRDefault="00D24B27" w:rsidP="00D24B27">
      <w:pPr>
        <w:pStyle w:val="Tabletitle"/>
        <w:rPr>
          <w:lang w:val="en-US"/>
        </w:rPr>
      </w:pPr>
      <w:r w:rsidRPr="00FF34BE">
        <w:rPr>
          <w:lang w:val="en-US"/>
        </w:rPr>
        <w:t>AMS system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0"/>
        <w:gridCol w:w="3720"/>
      </w:tblGrid>
      <w:tr w:rsidR="00D24B27" w:rsidRPr="00FF34BE" w:rsidTr="00AE0ED1">
        <w:trPr>
          <w:jc w:val="center"/>
        </w:trPr>
        <w:tc>
          <w:tcPr>
            <w:tcW w:w="3720" w:type="dxa"/>
          </w:tcPr>
          <w:p w:rsidR="00D24B27" w:rsidRPr="00FF34BE" w:rsidRDefault="00D24B27" w:rsidP="00AE0ED1">
            <w:pPr>
              <w:pStyle w:val="Tablehead"/>
              <w:rPr>
                <w:lang w:val="en-US"/>
              </w:rPr>
            </w:pPr>
            <w:r w:rsidRPr="00FF34BE">
              <w:rPr>
                <w:lang w:val="en-US"/>
              </w:rPr>
              <w:t>Parameter</w:t>
            </w:r>
          </w:p>
        </w:tc>
        <w:tc>
          <w:tcPr>
            <w:tcW w:w="3720" w:type="dxa"/>
          </w:tcPr>
          <w:p w:rsidR="00D24B27" w:rsidRPr="00FF34BE" w:rsidRDefault="00D24B27" w:rsidP="00AE0ED1">
            <w:pPr>
              <w:pStyle w:val="Tablehead"/>
              <w:rPr>
                <w:lang w:val="en-US"/>
              </w:rPr>
            </w:pPr>
            <w:r w:rsidRPr="00FF34BE">
              <w:rPr>
                <w:lang w:val="en-US"/>
              </w:rPr>
              <w:t>Value</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Channel bandwidth</w:t>
            </w:r>
          </w:p>
        </w:tc>
        <w:tc>
          <w:tcPr>
            <w:tcW w:w="3720" w:type="dxa"/>
          </w:tcPr>
          <w:p w:rsidR="00D24B27" w:rsidRPr="00FF34BE" w:rsidRDefault="00D24B27" w:rsidP="00AE0ED1">
            <w:pPr>
              <w:pStyle w:val="Tabletext"/>
              <w:rPr>
                <w:lang w:val="en-US"/>
              </w:rPr>
            </w:pPr>
            <w:r w:rsidRPr="00FF34BE">
              <w:rPr>
                <w:lang w:val="en-US"/>
              </w:rPr>
              <w:t>20 MHz</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Antenna</w:t>
            </w:r>
          </w:p>
        </w:tc>
        <w:tc>
          <w:tcPr>
            <w:tcW w:w="3720" w:type="dxa"/>
          </w:tcPr>
          <w:p w:rsidR="00D24B27" w:rsidRPr="00FF34BE" w:rsidRDefault="00D24B27" w:rsidP="00AE0ED1">
            <w:pPr>
              <w:pStyle w:val="Tabletext"/>
              <w:rPr>
                <w:lang w:val="en-US"/>
              </w:rPr>
            </w:pPr>
            <w:r w:rsidRPr="00FF34BE">
              <w:rPr>
                <w:lang w:val="en-US"/>
              </w:rPr>
              <w:t>Omnidirectional (0 dBi)</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Receiver noise factor</w:t>
            </w:r>
          </w:p>
        </w:tc>
        <w:tc>
          <w:tcPr>
            <w:tcW w:w="3720" w:type="dxa"/>
          </w:tcPr>
          <w:p w:rsidR="00D24B27" w:rsidRPr="00FF34BE" w:rsidRDefault="00D24B27" w:rsidP="00AE0ED1">
            <w:pPr>
              <w:pStyle w:val="Tabletext"/>
              <w:rPr>
                <w:lang w:val="en-US"/>
              </w:rPr>
            </w:pPr>
            <w:r w:rsidRPr="00FF34BE">
              <w:rPr>
                <w:lang w:val="en-US"/>
              </w:rPr>
              <w:t>4 dB</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Fuselage attenuation</w:t>
            </w:r>
          </w:p>
        </w:tc>
        <w:tc>
          <w:tcPr>
            <w:tcW w:w="3720" w:type="dxa"/>
          </w:tcPr>
          <w:p w:rsidR="00D24B27" w:rsidRPr="00FF34BE" w:rsidRDefault="00D24B27" w:rsidP="00AE0ED1">
            <w:pPr>
              <w:pStyle w:val="Tabletext"/>
              <w:rPr>
                <w:lang w:val="en-US"/>
              </w:rPr>
            </w:pPr>
            <w:r w:rsidRPr="00FF34BE">
              <w:rPr>
                <w:lang w:val="en-US"/>
              </w:rPr>
              <w:t>0 dB (traditional AMS system)</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Aircraft altitude</w:t>
            </w:r>
          </w:p>
        </w:tc>
        <w:tc>
          <w:tcPr>
            <w:tcW w:w="3720" w:type="dxa"/>
          </w:tcPr>
          <w:p w:rsidR="00D24B27" w:rsidRPr="00FF34BE" w:rsidRDefault="00D24B27" w:rsidP="00AE0ED1">
            <w:pPr>
              <w:pStyle w:val="Tabletext"/>
              <w:rPr>
                <w:lang w:val="en-US"/>
              </w:rPr>
            </w:pPr>
            <w:r w:rsidRPr="00FF34BE">
              <w:rPr>
                <w:lang w:val="en-US"/>
              </w:rPr>
              <w:t>3 000 m and 10 000 m</w:t>
            </w:r>
          </w:p>
        </w:tc>
      </w:tr>
      <w:tr w:rsidR="00D24B27" w:rsidRPr="00FF34BE" w:rsidTr="00AE0ED1">
        <w:trPr>
          <w:jc w:val="center"/>
        </w:trPr>
        <w:tc>
          <w:tcPr>
            <w:tcW w:w="3720" w:type="dxa"/>
          </w:tcPr>
          <w:p w:rsidR="00D24B27" w:rsidRPr="00FF34BE" w:rsidRDefault="00D24B27" w:rsidP="00AE0ED1">
            <w:pPr>
              <w:pStyle w:val="Tabletext"/>
              <w:rPr>
                <w:lang w:val="en-US"/>
              </w:rPr>
            </w:pPr>
            <w:r w:rsidRPr="00FF34BE">
              <w:rPr>
                <w:lang w:val="en-US"/>
              </w:rPr>
              <w:t>Aircraft speed</w:t>
            </w:r>
          </w:p>
        </w:tc>
        <w:tc>
          <w:tcPr>
            <w:tcW w:w="3720" w:type="dxa"/>
          </w:tcPr>
          <w:p w:rsidR="00D24B27" w:rsidRPr="00FF34BE" w:rsidRDefault="00D24B27" w:rsidP="00AE0ED1">
            <w:pPr>
              <w:pStyle w:val="Tabletext"/>
              <w:rPr>
                <w:lang w:val="en-US"/>
              </w:rPr>
            </w:pPr>
            <w:r w:rsidRPr="00FF34BE">
              <w:rPr>
                <w:lang w:val="en-US"/>
              </w:rPr>
              <w:t>800 km/h</w:t>
            </w:r>
          </w:p>
        </w:tc>
      </w:tr>
    </w:tbl>
    <w:p w:rsidR="00D24B27" w:rsidRPr="00FF34BE" w:rsidRDefault="00D24B27" w:rsidP="00AE0ED1">
      <w:pPr>
        <w:pStyle w:val="Tablefin"/>
        <w:rPr>
          <w:lang w:val="en-US"/>
        </w:rPr>
      </w:pPr>
    </w:p>
    <w:p w:rsidR="00D24B27" w:rsidRPr="00FF34BE" w:rsidRDefault="00D24B27" w:rsidP="00D24B27">
      <w:pPr>
        <w:pStyle w:val="Heading2"/>
        <w:rPr>
          <w:lang w:val="en-US"/>
        </w:rPr>
      </w:pPr>
      <w:bookmarkStart w:id="42" w:name="_Toc284424053"/>
      <w:bookmarkStart w:id="43" w:name="_Toc284425230"/>
      <w:bookmarkStart w:id="44" w:name="_Toc284425408"/>
      <w:r w:rsidRPr="00FF34BE">
        <w:rPr>
          <w:lang w:val="en-US"/>
        </w:rPr>
        <w:lastRenderedPageBreak/>
        <w:t>5.2</w:t>
      </w:r>
      <w:r w:rsidRPr="00FF34BE">
        <w:rPr>
          <w:lang w:val="en-US"/>
        </w:rPr>
        <w:tab/>
        <w:t>Simulation parameters</w:t>
      </w:r>
      <w:bookmarkEnd w:id="42"/>
      <w:bookmarkEnd w:id="43"/>
      <w:bookmarkEnd w:id="44"/>
    </w:p>
    <w:p w:rsidR="00D24B27" w:rsidRPr="00FF34BE" w:rsidRDefault="00D24B27" w:rsidP="00AE0ED1">
      <w:pPr>
        <w:rPr>
          <w:szCs w:val="24"/>
          <w:lang w:val="en-US"/>
        </w:rPr>
      </w:pPr>
      <w:r w:rsidRPr="00FF34BE">
        <w:rPr>
          <w:szCs w:val="24"/>
          <w:lang w:val="en-US"/>
        </w:rPr>
        <w:t>It has been assumed a total of 4 200 FS transmitters per AMS channel of 20 MHz. It has also been assumed, for the purpose of simulation, that most of the links are deployed in urban areas, although such FS systems are actually used everywhere. It is not expected that there would be any change in the results if the FS stations were spread randomly over the whole area. For the purpose of the simulation, a total of 100 hot spots of 100 km</w:t>
      </w:r>
      <w:r w:rsidRPr="00FF34BE">
        <w:rPr>
          <w:szCs w:val="24"/>
          <w:vertAlign w:val="superscript"/>
          <w:lang w:val="en-US"/>
        </w:rPr>
        <w:t>2</w:t>
      </w:r>
      <w:r w:rsidRPr="00FF34BE">
        <w:rPr>
          <w:szCs w:val="24"/>
          <w:lang w:val="en-US"/>
        </w:rPr>
        <w:t xml:space="preserve"> with a density of 0.42 stations per</w:t>
      </w:r>
      <w:r w:rsidR="00AE0ED1" w:rsidRPr="00FF34BE">
        <w:rPr>
          <w:szCs w:val="24"/>
          <w:lang w:val="en-US"/>
        </w:rPr>
        <w:t> </w:t>
      </w:r>
      <w:r w:rsidRPr="00FF34BE">
        <w:rPr>
          <w:szCs w:val="24"/>
          <w:lang w:val="en-US"/>
        </w:rPr>
        <w:t>km</w:t>
      </w:r>
      <w:r w:rsidRPr="00FF34BE">
        <w:rPr>
          <w:szCs w:val="24"/>
          <w:vertAlign w:val="superscript"/>
          <w:lang w:val="en-US"/>
        </w:rPr>
        <w:t>2</w:t>
      </w:r>
      <w:r w:rsidRPr="00FF34BE">
        <w:rPr>
          <w:szCs w:val="24"/>
          <w:lang w:val="en-US"/>
        </w:rPr>
        <w:t xml:space="preserve"> (4 200 transmitters in total) has been taken. </w:t>
      </w:r>
    </w:p>
    <w:p w:rsidR="00D24B27" w:rsidRPr="00FF34BE" w:rsidRDefault="00D24B27" w:rsidP="000700EA">
      <w:pPr>
        <w:pStyle w:val="FigureNo"/>
        <w:rPr>
          <w:lang w:val="en-US"/>
        </w:rPr>
      </w:pPr>
      <w:r w:rsidRPr="00FF34BE">
        <w:rPr>
          <w:lang w:val="en-US"/>
        </w:rPr>
        <w:t>Figure 4</w:t>
      </w:r>
    </w:p>
    <w:p w:rsidR="00D24B27" w:rsidRPr="00FF34BE" w:rsidRDefault="00D24B27" w:rsidP="000700EA">
      <w:pPr>
        <w:pStyle w:val="Figuretitle"/>
        <w:rPr>
          <w:lang w:val="en-US"/>
        </w:rPr>
      </w:pPr>
      <w:r w:rsidRPr="00FF34BE">
        <w:rPr>
          <w:lang w:val="en-US"/>
        </w:rPr>
        <w:t>FS deployment in hot spots</w:t>
      </w:r>
    </w:p>
    <w:p w:rsidR="00D24B27" w:rsidRPr="00FF34BE" w:rsidRDefault="00D24B27" w:rsidP="00AE0ED1">
      <w:pPr>
        <w:pStyle w:val="Figure"/>
        <w:rPr>
          <w:lang w:val="en-US"/>
        </w:rPr>
      </w:pPr>
      <w:r w:rsidRPr="00FF34BE">
        <w:rPr>
          <w:noProof/>
          <w:lang w:val="en-US" w:eastAsia="zh-CN"/>
        </w:rPr>
        <w:drawing>
          <wp:inline distT="0" distB="0" distL="0" distR="0">
            <wp:extent cx="5341620" cy="3999865"/>
            <wp:effectExtent l="0" t="0" r="0" b="635"/>
            <wp:docPr id="6" name="Picture 6" descr="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metry"/>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1620" cy="3999865"/>
                    </a:xfrm>
                    <a:prstGeom prst="rect">
                      <a:avLst/>
                    </a:prstGeom>
                    <a:noFill/>
                    <a:ln>
                      <a:noFill/>
                    </a:ln>
                  </pic:spPr>
                </pic:pic>
              </a:graphicData>
            </a:graphic>
          </wp:inline>
        </w:drawing>
      </w:r>
    </w:p>
    <w:p w:rsidR="004622CA" w:rsidRPr="00FF34BE" w:rsidRDefault="004622CA" w:rsidP="00AE0ED1">
      <w:pPr>
        <w:rPr>
          <w:lang w:val="en-US"/>
        </w:rPr>
      </w:pPr>
    </w:p>
    <w:p w:rsidR="00D24B27" w:rsidRPr="00FF34BE" w:rsidRDefault="00D24B27" w:rsidP="00AE0ED1">
      <w:pPr>
        <w:rPr>
          <w:lang w:val="en-US"/>
        </w:rPr>
      </w:pPr>
      <w:r w:rsidRPr="00FF34BE">
        <w:rPr>
          <w:lang w:val="en-US"/>
        </w:rPr>
        <w:t>Most of the links use an elevation angle less than 10°. A Gaussian distribution was assumed, provided in Fig. 5.</w:t>
      </w:r>
    </w:p>
    <w:p w:rsidR="004622CA" w:rsidRPr="00FF34BE" w:rsidRDefault="004622CA" w:rsidP="004622CA">
      <w:pPr>
        <w:rPr>
          <w:lang w:val="en-US"/>
        </w:rPr>
      </w:pPr>
      <w:r w:rsidRPr="00FF34BE">
        <w:rPr>
          <w:lang w:val="en-US"/>
        </w:rPr>
        <w:t>The propagation model used for the interference calculation takes into account the attenuation due to atmospheric loss factors according to Recommendation ITU-R P.676. An attenuation factor of 0.11 dB/km was derived.</w:t>
      </w:r>
    </w:p>
    <w:p w:rsidR="004622CA" w:rsidRPr="00FF34BE" w:rsidRDefault="004622CA" w:rsidP="004622CA">
      <w:pPr>
        <w:pStyle w:val="Headingb"/>
        <w:rPr>
          <w:lang w:val="en-US"/>
        </w:rPr>
      </w:pPr>
      <w:r w:rsidRPr="00FF34BE">
        <w:rPr>
          <w:lang w:val="en-US"/>
        </w:rPr>
        <w:t>Results</w:t>
      </w:r>
    </w:p>
    <w:p w:rsidR="004622CA" w:rsidRPr="00FF34BE" w:rsidRDefault="004622CA" w:rsidP="004622CA">
      <w:pPr>
        <w:rPr>
          <w:szCs w:val="24"/>
          <w:lang w:val="en-US"/>
        </w:rPr>
      </w:pPr>
      <w:r w:rsidRPr="00FF34BE">
        <w:rPr>
          <w:szCs w:val="24"/>
          <w:lang w:val="en-US"/>
        </w:rPr>
        <w:t xml:space="preserve">Figure 6 shows the </w:t>
      </w:r>
      <w:r w:rsidRPr="00FF34BE">
        <w:rPr>
          <w:i/>
          <w:iCs/>
          <w:szCs w:val="24"/>
          <w:lang w:val="en-US"/>
        </w:rPr>
        <w:t>I</w:t>
      </w:r>
      <w:r w:rsidRPr="00FF34BE">
        <w:rPr>
          <w:szCs w:val="24"/>
          <w:lang w:val="en-US"/>
        </w:rPr>
        <w:t>/</w:t>
      </w:r>
      <w:r w:rsidRPr="00FF34BE">
        <w:rPr>
          <w:i/>
          <w:iCs/>
          <w:szCs w:val="24"/>
          <w:lang w:val="en-US"/>
        </w:rPr>
        <w:t>N</w:t>
      </w:r>
      <w:r w:rsidRPr="00FF34BE">
        <w:rPr>
          <w:szCs w:val="24"/>
          <w:lang w:val="en-US"/>
        </w:rPr>
        <w:t xml:space="preserve"> at the aircraft receiver level as the aircraft progresses over France at an altitude of 10 000 m. Spikes of interference corresponding to </w:t>
      </w:r>
      <w:r w:rsidRPr="00FF34BE">
        <w:rPr>
          <w:i/>
          <w:iCs/>
          <w:szCs w:val="24"/>
          <w:lang w:val="en-US"/>
        </w:rPr>
        <w:t>I</w:t>
      </w:r>
      <w:r w:rsidRPr="00FF34BE">
        <w:rPr>
          <w:szCs w:val="24"/>
          <w:lang w:val="en-US"/>
        </w:rPr>
        <w:t>/</w:t>
      </w:r>
      <w:r w:rsidRPr="00FF34BE">
        <w:rPr>
          <w:i/>
          <w:iCs/>
          <w:szCs w:val="24"/>
          <w:lang w:val="en-US"/>
        </w:rPr>
        <w:t>N</w:t>
      </w:r>
      <w:r w:rsidRPr="00FF34BE">
        <w:rPr>
          <w:szCs w:val="24"/>
          <w:lang w:val="en-US"/>
        </w:rPr>
        <w:t xml:space="preserve"> up to +10 dB are experienced. The </w:t>
      </w:r>
      <w:r w:rsidRPr="00FF34BE">
        <w:rPr>
          <w:i/>
          <w:iCs/>
          <w:szCs w:val="24"/>
          <w:lang w:val="en-US"/>
        </w:rPr>
        <w:t>I</w:t>
      </w:r>
      <w:r w:rsidRPr="00FF34BE">
        <w:rPr>
          <w:szCs w:val="24"/>
          <w:lang w:val="en-US"/>
        </w:rPr>
        <w:t>/</w:t>
      </w:r>
      <w:r w:rsidRPr="00FF34BE">
        <w:rPr>
          <w:i/>
          <w:iCs/>
          <w:szCs w:val="24"/>
          <w:lang w:val="en-US"/>
        </w:rPr>
        <w:t>N</w:t>
      </w:r>
      <w:r w:rsidRPr="00FF34BE">
        <w:rPr>
          <w:szCs w:val="24"/>
          <w:lang w:val="en-US"/>
        </w:rPr>
        <w:t xml:space="preserve"> value of −6 dB is exceeded for 1% of the time. The</w:t>
      </w:r>
      <w:r w:rsidRPr="00FF34BE">
        <w:rPr>
          <w:i/>
          <w:iCs/>
          <w:szCs w:val="24"/>
          <w:lang w:val="en-US"/>
        </w:rPr>
        <w:t xml:space="preserve"> I</w:t>
      </w:r>
      <w:r w:rsidRPr="00FF34BE">
        <w:rPr>
          <w:szCs w:val="24"/>
          <w:lang w:val="en-US"/>
        </w:rPr>
        <w:t>/</w:t>
      </w:r>
      <w:r w:rsidRPr="00FF34BE">
        <w:rPr>
          <w:i/>
          <w:iCs/>
          <w:szCs w:val="24"/>
          <w:lang w:val="en-US"/>
        </w:rPr>
        <w:t>N</w:t>
      </w:r>
      <w:r w:rsidRPr="00FF34BE">
        <w:rPr>
          <w:szCs w:val="24"/>
          <w:lang w:val="en-US"/>
        </w:rPr>
        <w:t xml:space="preserve"> value of −10 dB is exceeded for 4.8% of the time. </w:t>
      </w:r>
    </w:p>
    <w:p w:rsidR="00D24B27" w:rsidRPr="00FF34BE" w:rsidRDefault="00D24B27" w:rsidP="000700EA">
      <w:pPr>
        <w:pStyle w:val="FigureNo"/>
        <w:rPr>
          <w:lang w:val="en-US"/>
        </w:rPr>
      </w:pPr>
      <w:r w:rsidRPr="00FF34BE">
        <w:rPr>
          <w:lang w:val="en-US"/>
        </w:rPr>
        <w:lastRenderedPageBreak/>
        <w:t>Figure 5</w:t>
      </w:r>
    </w:p>
    <w:p w:rsidR="00D24B27" w:rsidRPr="00FF34BE" w:rsidRDefault="00D24B27" w:rsidP="000700EA">
      <w:pPr>
        <w:pStyle w:val="Figuretitle"/>
        <w:rPr>
          <w:lang w:val="en-US"/>
        </w:rPr>
      </w:pPr>
      <w:r w:rsidRPr="00FF34BE">
        <w:rPr>
          <w:lang w:val="en-US"/>
        </w:rPr>
        <w:t>FS elevation angle distribution</w:t>
      </w:r>
    </w:p>
    <w:p w:rsidR="00D24B27" w:rsidRPr="00FF34BE" w:rsidRDefault="00D24B27" w:rsidP="00AE0ED1">
      <w:pPr>
        <w:pStyle w:val="Figure"/>
        <w:rPr>
          <w:lang w:val="en-US"/>
        </w:rPr>
      </w:pPr>
      <w:r w:rsidRPr="00FF34BE">
        <w:rPr>
          <w:noProof/>
          <w:lang w:val="en-US" w:eastAsia="zh-CN"/>
        </w:rPr>
        <w:drawing>
          <wp:inline distT="0" distB="0" distL="0" distR="0">
            <wp:extent cx="4677410" cy="3434080"/>
            <wp:effectExtent l="0" t="0" r="8890" b="0"/>
            <wp:docPr id="7" name="Picture 7" descr="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vation"/>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410" cy="3434080"/>
                    </a:xfrm>
                    <a:prstGeom prst="rect">
                      <a:avLst/>
                    </a:prstGeom>
                    <a:noFill/>
                    <a:ln>
                      <a:noFill/>
                    </a:ln>
                  </pic:spPr>
                </pic:pic>
              </a:graphicData>
            </a:graphic>
          </wp:inline>
        </w:drawing>
      </w:r>
    </w:p>
    <w:p w:rsidR="004622CA" w:rsidRPr="00FF34BE" w:rsidRDefault="004622CA" w:rsidP="004622CA">
      <w:pPr>
        <w:rPr>
          <w:lang w:val="en-US"/>
        </w:rPr>
      </w:pPr>
    </w:p>
    <w:p w:rsidR="004622CA" w:rsidRPr="00FF34BE" w:rsidRDefault="004622CA" w:rsidP="004622CA">
      <w:pPr>
        <w:rPr>
          <w:lang w:val="en-US"/>
        </w:rPr>
      </w:pPr>
    </w:p>
    <w:p w:rsidR="00D24B27" w:rsidRPr="00FF34BE" w:rsidRDefault="00D24B27" w:rsidP="008A3F3B">
      <w:pPr>
        <w:pStyle w:val="FigureNo"/>
        <w:rPr>
          <w:lang w:val="en-US"/>
        </w:rPr>
      </w:pPr>
      <w:r w:rsidRPr="00FF34BE">
        <w:rPr>
          <w:lang w:val="en-US"/>
        </w:rPr>
        <w:t>Figure 6</w:t>
      </w:r>
    </w:p>
    <w:p w:rsidR="00D24B27" w:rsidRPr="00FF34BE" w:rsidRDefault="00D24B27" w:rsidP="008A3F3B">
      <w:pPr>
        <w:pStyle w:val="Figuretitle"/>
        <w:rPr>
          <w:lang w:val="en-US"/>
        </w:rPr>
      </w:pPr>
      <w:r w:rsidRPr="00FF34BE">
        <w:rPr>
          <w:lang w:val="en-US"/>
        </w:rPr>
        <w:t xml:space="preserve">Results in terms of </w:t>
      </w:r>
      <w:r w:rsidRPr="00FF34BE">
        <w:rPr>
          <w:rFonts w:ascii="Times New Roman"/>
          <w:bCs/>
          <w:i/>
          <w:iCs/>
          <w:lang w:val="en-US"/>
        </w:rPr>
        <w:t>I</w:t>
      </w:r>
      <w:r w:rsidRPr="00FF34BE">
        <w:rPr>
          <w:rFonts w:ascii="Times New Roman"/>
          <w:bCs/>
          <w:lang w:val="en-US"/>
        </w:rPr>
        <w:t>/</w:t>
      </w:r>
      <w:r w:rsidRPr="00FF34BE">
        <w:rPr>
          <w:rFonts w:ascii="Times New Roman"/>
          <w:bCs/>
          <w:i/>
          <w:iCs/>
          <w:lang w:val="en-US"/>
        </w:rPr>
        <w:t>N</w:t>
      </w:r>
      <w:r w:rsidRPr="00FF34BE">
        <w:rPr>
          <w:lang w:val="en-US"/>
        </w:rPr>
        <w:t xml:space="preserve"> for an aircraft at an altitude of 10 000 m</w:t>
      </w:r>
    </w:p>
    <w:p w:rsidR="00D24B27" w:rsidRPr="00FF34BE" w:rsidRDefault="00D24B27" w:rsidP="00AE0ED1">
      <w:pPr>
        <w:pStyle w:val="Figure"/>
        <w:rPr>
          <w:lang w:val="en-US"/>
        </w:rPr>
      </w:pPr>
      <w:r w:rsidRPr="00FF34BE">
        <w:rPr>
          <w:noProof/>
          <w:lang w:val="en-US" w:eastAsia="zh-CN"/>
        </w:rPr>
        <w:drawing>
          <wp:inline distT="0" distB="0" distL="0" distR="0">
            <wp:extent cx="2789555" cy="2039620"/>
            <wp:effectExtent l="0" t="0" r="0" b="0"/>
            <wp:docPr id="8" name="Picture 8" descr="Time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1000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9555" cy="2039620"/>
                    </a:xfrm>
                    <a:prstGeom prst="rect">
                      <a:avLst/>
                    </a:prstGeom>
                    <a:noFill/>
                    <a:ln>
                      <a:noFill/>
                    </a:ln>
                  </pic:spPr>
                </pic:pic>
              </a:graphicData>
            </a:graphic>
          </wp:inline>
        </w:drawing>
      </w:r>
      <w:r w:rsidRPr="00FF34BE">
        <w:rPr>
          <w:noProof/>
          <w:lang w:val="en-US" w:eastAsia="zh-CN"/>
        </w:rPr>
        <w:drawing>
          <wp:inline distT="0" distB="0" distL="0" distR="0">
            <wp:extent cx="2874645" cy="2171065"/>
            <wp:effectExtent l="0" t="0" r="1905" b="635"/>
            <wp:docPr id="9" name="Picture 9" descr="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645" cy="2171065"/>
                    </a:xfrm>
                    <a:prstGeom prst="rect">
                      <a:avLst/>
                    </a:prstGeom>
                    <a:noFill/>
                    <a:ln>
                      <a:noFill/>
                    </a:ln>
                  </pic:spPr>
                </pic:pic>
              </a:graphicData>
            </a:graphic>
          </wp:inline>
        </w:drawing>
      </w:r>
    </w:p>
    <w:p w:rsidR="004622CA" w:rsidRPr="00FF34BE" w:rsidRDefault="004622CA" w:rsidP="004622CA">
      <w:pPr>
        <w:rPr>
          <w:szCs w:val="24"/>
          <w:lang w:val="en-US"/>
        </w:rPr>
      </w:pPr>
    </w:p>
    <w:p w:rsidR="004622CA" w:rsidRPr="00FF34BE" w:rsidRDefault="004622CA" w:rsidP="004622CA">
      <w:pPr>
        <w:rPr>
          <w:szCs w:val="24"/>
          <w:lang w:val="en-US"/>
        </w:rPr>
      </w:pPr>
      <w:r w:rsidRPr="00FF34BE">
        <w:rPr>
          <w:szCs w:val="24"/>
          <w:lang w:val="en-US"/>
        </w:rPr>
        <w:t xml:space="preserve">Figure 7 shows the same result for an aircraft at an altitude of 3 000 m. The situation is even worse, as </w:t>
      </w:r>
      <w:r w:rsidRPr="00FF34BE">
        <w:rPr>
          <w:i/>
          <w:iCs/>
          <w:szCs w:val="24"/>
          <w:lang w:val="en-US"/>
        </w:rPr>
        <w:t>I</w:t>
      </w:r>
      <w:r w:rsidRPr="00FF34BE">
        <w:rPr>
          <w:szCs w:val="24"/>
          <w:lang w:val="en-US"/>
        </w:rPr>
        <w:t>/</w:t>
      </w:r>
      <w:r w:rsidRPr="00FF34BE">
        <w:rPr>
          <w:i/>
          <w:iCs/>
          <w:szCs w:val="24"/>
          <w:lang w:val="en-US"/>
        </w:rPr>
        <w:t>N</w:t>
      </w:r>
      <w:r w:rsidRPr="00FF34BE">
        <w:rPr>
          <w:szCs w:val="24"/>
          <w:lang w:val="en-US"/>
        </w:rPr>
        <w:t xml:space="preserve"> values up to 18 dB are experienced. The </w:t>
      </w:r>
      <w:r w:rsidRPr="00FF34BE">
        <w:rPr>
          <w:i/>
          <w:iCs/>
          <w:szCs w:val="24"/>
          <w:lang w:val="en-US"/>
        </w:rPr>
        <w:t>I</w:t>
      </w:r>
      <w:r w:rsidRPr="00FF34BE">
        <w:rPr>
          <w:szCs w:val="24"/>
          <w:lang w:val="en-US"/>
        </w:rPr>
        <w:t>/</w:t>
      </w:r>
      <w:r w:rsidRPr="00FF34BE">
        <w:rPr>
          <w:i/>
          <w:iCs/>
          <w:szCs w:val="24"/>
          <w:lang w:val="en-US"/>
        </w:rPr>
        <w:t>N</w:t>
      </w:r>
      <w:r w:rsidRPr="00FF34BE">
        <w:rPr>
          <w:szCs w:val="24"/>
          <w:lang w:val="en-US"/>
        </w:rPr>
        <w:t xml:space="preserve"> value of −6 dB is exceeded 17.6% of the time, and the value of −10 dB 42.4% of the time.</w:t>
      </w:r>
    </w:p>
    <w:p w:rsidR="00D24B27" w:rsidRPr="00FF34BE" w:rsidRDefault="00D24B27" w:rsidP="008A3F3B">
      <w:pPr>
        <w:pStyle w:val="FigureNo"/>
        <w:rPr>
          <w:lang w:val="en-US"/>
        </w:rPr>
      </w:pPr>
      <w:r w:rsidRPr="00FF34BE">
        <w:rPr>
          <w:lang w:val="en-US"/>
        </w:rPr>
        <w:lastRenderedPageBreak/>
        <w:t>Figure 7</w:t>
      </w:r>
    </w:p>
    <w:p w:rsidR="00D24B27" w:rsidRPr="00FF34BE" w:rsidRDefault="00D24B27" w:rsidP="008A3F3B">
      <w:pPr>
        <w:pStyle w:val="Figuretitle"/>
        <w:rPr>
          <w:lang w:val="en-US"/>
        </w:rPr>
      </w:pPr>
      <w:r w:rsidRPr="00FF34BE">
        <w:rPr>
          <w:lang w:val="en-US"/>
        </w:rPr>
        <w:t xml:space="preserve">Results in terms of </w:t>
      </w:r>
      <w:r w:rsidRPr="00FF34BE">
        <w:rPr>
          <w:rFonts w:ascii="Times New Roman"/>
          <w:bCs/>
          <w:i/>
          <w:iCs/>
          <w:lang w:val="en-US"/>
        </w:rPr>
        <w:t>I</w:t>
      </w:r>
      <w:r w:rsidRPr="00FF34BE">
        <w:rPr>
          <w:rFonts w:ascii="Times New Roman"/>
          <w:b w:val="0"/>
          <w:lang w:val="en-US"/>
        </w:rPr>
        <w:t>/</w:t>
      </w:r>
      <w:r w:rsidRPr="00FF34BE">
        <w:rPr>
          <w:rFonts w:ascii="Times New Roman"/>
          <w:bCs/>
          <w:i/>
          <w:lang w:val="en-US"/>
        </w:rPr>
        <w:t xml:space="preserve">N </w:t>
      </w:r>
      <w:r w:rsidRPr="00FF34BE">
        <w:rPr>
          <w:lang w:val="en-US"/>
        </w:rPr>
        <w:t>for an aircraft at an altitude of 3 000 m</w:t>
      </w:r>
    </w:p>
    <w:p w:rsidR="00D24B27" w:rsidRPr="00FF34BE" w:rsidRDefault="00D24B27" w:rsidP="00AE0ED1">
      <w:pPr>
        <w:pStyle w:val="Figure"/>
        <w:rPr>
          <w:lang w:val="en-US"/>
        </w:rPr>
      </w:pPr>
      <w:r w:rsidRPr="00FF34BE">
        <w:rPr>
          <w:noProof/>
          <w:lang w:val="en-US" w:eastAsia="zh-CN"/>
        </w:rPr>
        <w:drawing>
          <wp:inline distT="0" distB="0" distL="0" distR="0">
            <wp:extent cx="2874645" cy="2230120"/>
            <wp:effectExtent l="0" t="0" r="1905" b="0"/>
            <wp:docPr id="2" name="Picture 10" descr="Time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300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645" cy="2230120"/>
                    </a:xfrm>
                    <a:prstGeom prst="rect">
                      <a:avLst/>
                    </a:prstGeom>
                    <a:noFill/>
                    <a:ln>
                      <a:noFill/>
                    </a:ln>
                  </pic:spPr>
                </pic:pic>
              </a:graphicData>
            </a:graphic>
          </wp:inline>
        </w:drawing>
      </w:r>
      <w:r w:rsidRPr="00FF34BE">
        <w:rPr>
          <w:noProof/>
          <w:lang w:val="en-US" w:eastAsia="zh-CN"/>
        </w:rPr>
        <w:drawing>
          <wp:inline distT="0" distB="0" distL="0" distR="0">
            <wp:extent cx="3046095" cy="2322195"/>
            <wp:effectExtent l="0" t="0" r="1905" b="1905"/>
            <wp:docPr id="11" name="Picture 11" descr="cdf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f300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6095" cy="2322195"/>
                    </a:xfrm>
                    <a:prstGeom prst="rect">
                      <a:avLst/>
                    </a:prstGeom>
                    <a:noFill/>
                    <a:ln>
                      <a:noFill/>
                    </a:ln>
                  </pic:spPr>
                </pic:pic>
              </a:graphicData>
            </a:graphic>
          </wp:inline>
        </w:drawing>
      </w:r>
    </w:p>
    <w:p w:rsidR="00D24B27" w:rsidRPr="00FF34BE" w:rsidRDefault="00D24B27" w:rsidP="00AE0ED1">
      <w:pPr>
        <w:pStyle w:val="Heading1"/>
        <w:rPr>
          <w:lang w:val="en-US"/>
        </w:rPr>
      </w:pPr>
      <w:bookmarkStart w:id="45" w:name="_Toc284424054"/>
      <w:bookmarkStart w:id="46" w:name="_Toc284425231"/>
      <w:bookmarkStart w:id="47" w:name="_Toc284425409"/>
      <w:r w:rsidRPr="00FF34BE">
        <w:rPr>
          <w:lang w:val="en-US"/>
        </w:rPr>
        <w:t>6</w:t>
      </w:r>
      <w:r w:rsidRPr="00FF34BE">
        <w:rPr>
          <w:lang w:val="en-US"/>
        </w:rPr>
        <w:tab/>
        <w:t>Conclusion</w:t>
      </w:r>
      <w:bookmarkEnd w:id="45"/>
      <w:bookmarkEnd w:id="46"/>
      <w:bookmarkEnd w:id="47"/>
      <w:r w:rsidRPr="00FF34BE">
        <w:rPr>
          <w:lang w:val="en-US"/>
        </w:rPr>
        <w:t xml:space="preserve"> </w:t>
      </w:r>
    </w:p>
    <w:p w:rsidR="00DF457B" w:rsidRPr="00FF34BE" w:rsidRDefault="00D24B27" w:rsidP="000B4B78">
      <w:pPr>
        <w:rPr>
          <w:szCs w:val="24"/>
          <w:lang w:val="en-US"/>
        </w:rPr>
      </w:pPr>
      <w:r w:rsidRPr="00FF34BE">
        <w:rPr>
          <w:szCs w:val="24"/>
          <w:lang w:val="en-US"/>
        </w:rPr>
        <w:t xml:space="preserve">The existing pfd mask defined in </w:t>
      </w:r>
      <w:r w:rsidRPr="00FF34BE">
        <w:rPr>
          <w:lang w:val="en-US"/>
        </w:rPr>
        <w:t xml:space="preserve">RR Article 21 </w:t>
      </w:r>
      <w:r w:rsidRPr="00FF34BE">
        <w:rPr>
          <w:szCs w:val="24"/>
          <w:lang w:val="en-US"/>
        </w:rPr>
        <w:t xml:space="preserve">has been applied for the protection of </w:t>
      </w:r>
      <w:r w:rsidR="000B4B78" w:rsidRPr="00FF34BE">
        <w:rPr>
          <w:szCs w:val="24"/>
          <w:lang w:val="en-US"/>
        </w:rPr>
        <w:t>P-P</w:t>
      </w:r>
      <w:r w:rsidRPr="00FF34BE">
        <w:rPr>
          <w:szCs w:val="24"/>
          <w:lang w:val="en-US"/>
        </w:rPr>
        <w:t xml:space="preserve"> fixed service stations operating in the band 37-38 GHz from interference that may occur from aircraft station transmitters operating under the mobile service in the same band:</w:t>
      </w:r>
    </w:p>
    <w:p w:rsidR="00D24B27" w:rsidRPr="00FF34BE" w:rsidRDefault="00D24B27" w:rsidP="00406262">
      <w:pPr>
        <w:pStyle w:val="Equation"/>
        <w:tabs>
          <w:tab w:val="left" w:pos="3261"/>
          <w:tab w:val="left" w:pos="6096"/>
          <w:tab w:val="left" w:pos="6804"/>
          <w:tab w:val="left" w:pos="7230"/>
          <w:tab w:val="left" w:pos="7513"/>
          <w:tab w:val="left" w:pos="7797"/>
          <w:tab w:val="left" w:pos="8080"/>
        </w:tabs>
        <w:rPr>
          <w:lang w:val="en-US"/>
        </w:rPr>
      </w:pPr>
      <w:r w:rsidRPr="00FF34BE">
        <w:rPr>
          <w:lang w:val="en-US"/>
        </w:rPr>
        <w:tab/>
        <w:t>–120</w:t>
      </w:r>
      <w:r w:rsidR="00406262">
        <w:rPr>
          <w:lang w:val="en-US"/>
        </w:rPr>
        <w:t xml:space="preserve"> </w:t>
      </w:r>
      <w:r w:rsidRPr="00FF34BE">
        <w:rPr>
          <w:lang w:val="en-US"/>
        </w:rPr>
        <w:t>dB(W/(m</w:t>
      </w:r>
      <w:r w:rsidRPr="00FF34BE">
        <w:rPr>
          <w:vertAlign w:val="superscript"/>
          <w:lang w:val="en-US"/>
        </w:rPr>
        <w:t>2</w:t>
      </w:r>
      <w:r w:rsidRPr="00FF34BE">
        <w:rPr>
          <w:lang w:val="en-US"/>
        </w:rPr>
        <w:t> · MHz))</w:t>
      </w:r>
      <w:r w:rsidRPr="00FF34BE">
        <w:rPr>
          <w:lang w:val="en-US"/>
        </w:rPr>
        <w:tab/>
      </w:r>
      <w:r w:rsidR="00406262">
        <w:rPr>
          <w:lang w:val="en-US"/>
        </w:rPr>
        <w:tab/>
      </w:r>
      <w:r w:rsidR="00406262">
        <w:rPr>
          <w:lang w:val="en-US"/>
        </w:rPr>
        <w:tab/>
      </w:r>
      <w:r w:rsidRPr="00FF34BE">
        <w:rPr>
          <w:lang w:val="en-US"/>
        </w:rPr>
        <w:t>for</w:t>
      </w:r>
      <w:r w:rsidRPr="00FF34BE">
        <w:rPr>
          <w:lang w:val="en-US"/>
        </w:rPr>
        <w:tab/>
      </w:r>
      <w:r w:rsidRPr="00FF34BE">
        <w:rPr>
          <w:lang w:val="en-US"/>
        </w:rPr>
        <w:tab/>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t>5</w:t>
      </w:r>
      <w:r w:rsidRPr="00FF34BE">
        <w:rPr>
          <w:lang w:val="en-US"/>
        </w:rPr>
        <w:sym w:font="Symbol" w:char="F0B0"/>
      </w:r>
    </w:p>
    <w:p w:rsidR="00D24B27" w:rsidRPr="00FF34BE" w:rsidRDefault="00D24B27" w:rsidP="00406262">
      <w:pPr>
        <w:pStyle w:val="Equation"/>
        <w:tabs>
          <w:tab w:val="left" w:pos="3261"/>
          <w:tab w:val="left" w:pos="6096"/>
          <w:tab w:val="left" w:pos="6804"/>
          <w:tab w:val="left" w:pos="7230"/>
          <w:tab w:val="left" w:pos="7513"/>
          <w:tab w:val="left" w:pos="7797"/>
          <w:tab w:val="left" w:pos="8080"/>
        </w:tabs>
        <w:rPr>
          <w:lang w:val="en-US"/>
        </w:rPr>
      </w:pPr>
      <w:r w:rsidRPr="00FF34BE">
        <w:rPr>
          <w:lang w:val="en-US"/>
        </w:rPr>
        <w:tab/>
        <w:t>–120 + 0.75 · (</w:t>
      </w:r>
      <w:r w:rsidRPr="00FF34BE">
        <w:rPr>
          <w:lang w:val="en-US"/>
        </w:rPr>
        <w:sym w:font="Symbol" w:char="F071"/>
      </w:r>
      <w:r w:rsidRPr="00FF34BE">
        <w:rPr>
          <w:lang w:val="en-US"/>
        </w:rPr>
        <w:t> − 5)</w:t>
      </w:r>
      <w:r w:rsidR="00406262">
        <w:rPr>
          <w:lang w:val="en-US"/>
        </w:rPr>
        <w:t xml:space="preserve"> </w:t>
      </w:r>
      <w:r w:rsidRPr="00FF34BE">
        <w:rPr>
          <w:lang w:val="en-US"/>
        </w:rPr>
        <w:t>dB(W/(m</w:t>
      </w:r>
      <w:r w:rsidRPr="00FF34BE">
        <w:rPr>
          <w:vertAlign w:val="superscript"/>
          <w:lang w:val="en-US"/>
        </w:rPr>
        <w:t>2</w:t>
      </w:r>
      <w:r w:rsidRPr="00FF34BE">
        <w:rPr>
          <w:lang w:val="en-US"/>
        </w:rPr>
        <w:t> · MHz))</w:t>
      </w:r>
      <w:r w:rsidR="00406262">
        <w:rPr>
          <w:lang w:val="en-US"/>
        </w:rPr>
        <w:tab/>
      </w:r>
      <w:r w:rsidRPr="00FF34BE">
        <w:rPr>
          <w:lang w:val="en-US"/>
        </w:rPr>
        <w:tab/>
        <w:t>for</w:t>
      </w:r>
      <w:r w:rsidRPr="00FF34BE">
        <w:rPr>
          <w:lang w:val="en-US"/>
        </w:rPr>
        <w:tab/>
        <w:t>5</w:t>
      </w:r>
      <w:r w:rsidRPr="00FF34BE">
        <w:rPr>
          <w:lang w:val="en-US"/>
        </w:rPr>
        <w:sym w:font="Symbol" w:char="F0B0"/>
      </w:r>
      <w:r w:rsidRPr="00FF34BE">
        <w:rPr>
          <w:lang w:val="en-US"/>
        </w:rPr>
        <w:tab/>
      </w:r>
      <w:r w:rsidRPr="00FF34BE">
        <w:rPr>
          <w:rFonts w:ascii="Symbol" w:hAnsi="Symbol"/>
          <w:lang w:val="en-US"/>
        </w:rPr>
        <w:t></w:t>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t>25</w:t>
      </w:r>
      <w:r w:rsidRPr="00FF34BE">
        <w:rPr>
          <w:lang w:val="en-US"/>
        </w:rPr>
        <w:sym w:font="Symbol" w:char="F0B0"/>
      </w:r>
    </w:p>
    <w:p w:rsidR="00D24B27" w:rsidRPr="00FF34BE" w:rsidRDefault="00D24B27" w:rsidP="00406262">
      <w:pPr>
        <w:pStyle w:val="Equation"/>
        <w:tabs>
          <w:tab w:val="left" w:pos="3261"/>
          <w:tab w:val="left" w:pos="6096"/>
          <w:tab w:val="left" w:pos="6804"/>
          <w:tab w:val="left" w:pos="7230"/>
          <w:tab w:val="left" w:pos="7513"/>
          <w:tab w:val="left" w:pos="7797"/>
          <w:tab w:val="left" w:pos="8080"/>
        </w:tabs>
        <w:rPr>
          <w:lang w:val="en-US"/>
        </w:rPr>
      </w:pPr>
      <w:r w:rsidRPr="00FF34BE">
        <w:rPr>
          <w:lang w:val="en-US"/>
        </w:rPr>
        <w:tab/>
        <w:t>–105</w:t>
      </w:r>
      <w:r w:rsidR="00406262">
        <w:rPr>
          <w:lang w:val="en-US"/>
        </w:rPr>
        <w:t xml:space="preserve"> </w:t>
      </w:r>
      <w:r w:rsidRPr="00FF34BE">
        <w:rPr>
          <w:lang w:val="en-US"/>
        </w:rPr>
        <w:t>dB(W/(m</w:t>
      </w:r>
      <w:r w:rsidRPr="00FF34BE">
        <w:rPr>
          <w:vertAlign w:val="superscript"/>
          <w:lang w:val="en-US"/>
        </w:rPr>
        <w:t>2</w:t>
      </w:r>
      <w:r w:rsidRPr="00FF34BE">
        <w:rPr>
          <w:lang w:val="en-US"/>
        </w:rPr>
        <w:t> · MHz))</w:t>
      </w:r>
      <w:r w:rsidRPr="00FF34BE">
        <w:rPr>
          <w:lang w:val="en-US"/>
        </w:rPr>
        <w:tab/>
      </w:r>
      <w:r w:rsidR="00406262">
        <w:rPr>
          <w:lang w:val="en-US"/>
        </w:rPr>
        <w:tab/>
      </w:r>
      <w:r w:rsidR="00406262">
        <w:rPr>
          <w:lang w:val="en-US"/>
        </w:rPr>
        <w:tab/>
      </w:r>
      <w:r w:rsidRPr="00FF34BE">
        <w:rPr>
          <w:lang w:val="en-US"/>
        </w:rPr>
        <w:t>for</w:t>
      </w:r>
      <w:r w:rsidRPr="00FF34BE">
        <w:rPr>
          <w:lang w:val="en-US"/>
        </w:rPr>
        <w:tab/>
        <w:t>25</w:t>
      </w:r>
      <w:r w:rsidRPr="00FF34BE">
        <w:rPr>
          <w:lang w:val="en-US"/>
        </w:rPr>
        <w:sym w:font="Symbol" w:char="F0B0"/>
      </w:r>
      <w:r w:rsidRPr="00FF34BE">
        <w:rPr>
          <w:lang w:val="en-US"/>
        </w:rPr>
        <w:tab/>
      </w:r>
      <w:r w:rsidRPr="00FF34BE">
        <w:rPr>
          <w:rFonts w:ascii="Symbol" w:hAnsi="Symbol"/>
          <w:lang w:val="en-US"/>
        </w:rPr>
        <w:t></w:t>
      </w:r>
      <w:r w:rsidRPr="00FF34BE">
        <w:rPr>
          <w:lang w:val="en-US"/>
        </w:rPr>
        <w:tab/>
      </w:r>
      <w:r w:rsidRPr="00FF34BE">
        <w:rPr>
          <w:lang w:val="en-US"/>
        </w:rPr>
        <w:sym w:font="Symbol" w:char="F071"/>
      </w:r>
      <w:r w:rsidRPr="00FF34BE">
        <w:rPr>
          <w:lang w:val="en-US"/>
        </w:rPr>
        <w:tab/>
      </w:r>
      <w:r w:rsidRPr="00FF34BE">
        <w:rPr>
          <w:lang w:val="en-US"/>
        </w:rPr>
        <w:sym w:font="Symbol" w:char="F0A3"/>
      </w:r>
      <w:r w:rsidRPr="00FF34BE">
        <w:rPr>
          <w:lang w:val="en-US"/>
        </w:rPr>
        <w:tab/>
        <w:t>90</w:t>
      </w:r>
      <w:r w:rsidRPr="00FF34BE">
        <w:rPr>
          <w:lang w:val="en-US"/>
        </w:rPr>
        <w:sym w:font="Symbol" w:char="F0B0"/>
      </w:r>
    </w:p>
    <w:p w:rsidR="00D24B27" w:rsidRPr="00FF34BE" w:rsidRDefault="00D24B27" w:rsidP="00D24B27">
      <w:pPr>
        <w:rPr>
          <w:szCs w:val="24"/>
          <w:lang w:val="en-US"/>
        </w:rPr>
      </w:pPr>
      <w:r w:rsidRPr="00FF34BE">
        <w:rPr>
          <w:szCs w:val="24"/>
          <w:lang w:val="en-US"/>
        </w:rPr>
        <w:t xml:space="preserve">where </w:t>
      </w:r>
      <w:r w:rsidRPr="00FF34BE">
        <w:rPr>
          <w:szCs w:val="24"/>
          <w:lang w:val="en-US"/>
        </w:rPr>
        <w:sym w:font="Symbol" w:char="F071"/>
      </w:r>
      <w:r w:rsidRPr="00FF34BE">
        <w:rPr>
          <w:szCs w:val="24"/>
          <w:lang w:val="en-US"/>
        </w:rPr>
        <w:t xml:space="preserve"> is the angle of arrival of the radio-frequency wave (degrees above the horizontal). This mask relates to the power flux-density that would be obtained assuming free-space loss. As shown in the analysis, it is expected that the FS protection criteria is met. </w:t>
      </w:r>
    </w:p>
    <w:p w:rsidR="00D24B27" w:rsidRPr="00FF34BE" w:rsidRDefault="00D24B27" w:rsidP="00DF457B">
      <w:pPr>
        <w:keepNext/>
        <w:keepLines/>
        <w:rPr>
          <w:szCs w:val="24"/>
          <w:lang w:val="en-US"/>
        </w:rPr>
      </w:pPr>
      <w:r w:rsidRPr="00FF34BE">
        <w:rPr>
          <w:szCs w:val="24"/>
          <w:lang w:val="en-US"/>
        </w:rPr>
        <w:t>When combined with the pfd mask defined for the protection of the space research service, the pfd mask that would be applied worldwide would be:</w:t>
      </w:r>
    </w:p>
    <w:p w:rsidR="00D24B27" w:rsidRPr="00FF34BE" w:rsidRDefault="00D24B27" w:rsidP="000700EA">
      <w:pPr>
        <w:pStyle w:val="Equation"/>
        <w:tabs>
          <w:tab w:val="left" w:pos="2268"/>
          <w:tab w:val="left" w:pos="6096"/>
          <w:tab w:val="left" w:pos="6804"/>
          <w:tab w:val="left" w:pos="7230"/>
          <w:tab w:val="left" w:pos="7513"/>
          <w:tab w:val="left" w:pos="7797"/>
          <w:tab w:val="left" w:pos="8080"/>
        </w:tabs>
        <w:rPr>
          <w:lang w:val="en-US"/>
        </w:rPr>
      </w:pPr>
      <w:r w:rsidRPr="00FF34BE">
        <w:rPr>
          <w:lang w:val="en-US"/>
        </w:rPr>
        <w:tab/>
        <w:t>–180 – 9.4 · θ  dB (W/m</w:t>
      </w:r>
      <w:r w:rsidRPr="00FF34BE">
        <w:rPr>
          <w:vertAlign w:val="superscript"/>
          <w:lang w:val="en-US"/>
        </w:rPr>
        <w:t>2</w:t>
      </w:r>
      <w:r w:rsidRPr="00FF34BE">
        <w:rPr>
          <w:lang w:val="en-US"/>
        </w:rPr>
        <w:t>)</w:t>
      </w:r>
      <w:r w:rsidRPr="00FF34BE">
        <w:rPr>
          <w:lang w:val="en-US"/>
        </w:rPr>
        <w:tab/>
      </w:r>
      <w:r w:rsidR="000700EA" w:rsidRPr="00FF34BE">
        <w:rPr>
          <w:lang w:val="en-US"/>
        </w:rPr>
        <w:tab/>
      </w:r>
      <w:r w:rsidRPr="00FF34BE">
        <w:rPr>
          <w:lang w:val="en-US"/>
        </w:rPr>
        <w:t>for</w:t>
      </w:r>
      <w:r w:rsidRPr="00FF34BE">
        <w:rPr>
          <w:lang w:val="en-US"/>
        </w:rPr>
        <w:tab/>
        <w:t>0°</w:t>
      </w:r>
      <w:r w:rsidRPr="00FF34BE">
        <w:rPr>
          <w:lang w:val="en-US"/>
        </w:rPr>
        <w:tab/>
      </w:r>
      <w:r w:rsidR="000700EA" w:rsidRPr="00FF34BE">
        <w:rPr>
          <w:lang w:val="en-US"/>
        </w:rPr>
        <w:sym w:font="Symbol" w:char="F0A3"/>
      </w:r>
      <w:r w:rsidRPr="00FF34BE">
        <w:rPr>
          <w:lang w:val="en-US"/>
        </w:rPr>
        <w:tab/>
        <w:t>θ</w:t>
      </w:r>
      <w:r w:rsidRPr="00FF34BE">
        <w:rPr>
          <w:lang w:val="en-US"/>
        </w:rPr>
        <w:tab/>
      </w:r>
      <w:r w:rsidR="000700EA" w:rsidRPr="00FF34BE">
        <w:rPr>
          <w:lang w:val="en-US"/>
        </w:rPr>
        <w:sym w:font="Symbol" w:char="F0A3"/>
      </w:r>
      <w:r w:rsidRPr="00FF34BE">
        <w:rPr>
          <w:lang w:val="en-US"/>
        </w:rPr>
        <w:tab/>
        <w:t>5°</w:t>
      </w:r>
    </w:p>
    <w:p w:rsidR="00D24B27" w:rsidRPr="00FF34BE" w:rsidRDefault="00D24B27" w:rsidP="000700EA">
      <w:pPr>
        <w:pStyle w:val="Equation"/>
        <w:tabs>
          <w:tab w:val="left" w:pos="2268"/>
          <w:tab w:val="left" w:pos="6096"/>
          <w:tab w:val="left" w:pos="6804"/>
          <w:tab w:val="left" w:pos="7230"/>
          <w:tab w:val="left" w:pos="7513"/>
          <w:tab w:val="left" w:pos="7797"/>
          <w:tab w:val="left" w:pos="8080"/>
        </w:tabs>
        <w:rPr>
          <w:lang w:val="en-US"/>
        </w:rPr>
      </w:pPr>
      <w:r w:rsidRPr="00FF34BE">
        <w:rPr>
          <w:lang w:val="en-US"/>
        </w:rPr>
        <w:tab/>
        <w:t xml:space="preserve">–227 </w:t>
      </w:r>
      <w:r w:rsidR="000700EA" w:rsidRPr="00FF34BE">
        <w:rPr>
          <w:lang w:val="en-US"/>
        </w:rPr>
        <w:t xml:space="preserve"> </w:t>
      </w:r>
      <w:r w:rsidRPr="00FF34BE">
        <w:rPr>
          <w:lang w:val="en-US"/>
        </w:rPr>
        <w:t>dB (W/m</w:t>
      </w:r>
      <w:r w:rsidRPr="00FF34BE">
        <w:rPr>
          <w:vertAlign w:val="superscript"/>
          <w:lang w:val="en-US"/>
        </w:rPr>
        <w:t>2</w:t>
      </w:r>
      <w:r w:rsidRPr="00FF34BE">
        <w:rPr>
          <w:lang w:val="en-US"/>
        </w:rPr>
        <w:t>)</w:t>
      </w:r>
      <w:r w:rsidRPr="00FF34BE">
        <w:rPr>
          <w:lang w:val="en-US"/>
        </w:rPr>
        <w:tab/>
      </w:r>
      <w:r w:rsidR="000700EA" w:rsidRPr="00FF34BE">
        <w:rPr>
          <w:lang w:val="en-US"/>
        </w:rPr>
        <w:tab/>
      </w:r>
      <w:r w:rsidRPr="00FF34BE">
        <w:rPr>
          <w:lang w:val="en-US"/>
        </w:rPr>
        <w:t>for</w:t>
      </w:r>
      <w:r w:rsidRPr="00FF34BE">
        <w:rPr>
          <w:lang w:val="en-US"/>
        </w:rPr>
        <w:tab/>
        <w:t>5°</w:t>
      </w:r>
      <w:r w:rsidRPr="00FF34BE">
        <w:rPr>
          <w:lang w:val="en-US"/>
        </w:rPr>
        <w:tab/>
      </w:r>
      <w:r w:rsidR="000700EA" w:rsidRPr="00FF34BE">
        <w:rPr>
          <w:lang w:val="en-US"/>
        </w:rPr>
        <w:t>&lt;</w:t>
      </w:r>
      <w:r w:rsidRPr="00FF34BE">
        <w:rPr>
          <w:lang w:val="en-US"/>
        </w:rPr>
        <w:tab/>
        <w:t>θ</w:t>
      </w:r>
    </w:p>
    <w:p w:rsidR="00D24B27" w:rsidRPr="00FF34BE" w:rsidRDefault="00D24B27" w:rsidP="00D24B27">
      <w:pPr>
        <w:rPr>
          <w:lang w:val="en-US"/>
        </w:rPr>
      </w:pPr>
      <w:r w:rsidRPr="00FF34BE">
        <w:rPr>
          <w:szCs w:val="24"/>
          <w:lang w:val="en-US"/>
        </w:rPr>
        <w:t>in a</w:t>
      </w:r>
      <w:r w:rsidRPr="00FF34BE">
        <w:rPr>
          <w:lang w:val="en-US"/>
        </w:rPr>
        <w:t>ny 1 Hz bandwidth, where θ is the angle of arrival of the incident wave above the horizontal plane at the space research service earth station, in degrees.</w:t>
      </w:r>
    </w:p>
    <w:p w:rsidR="00D24B27" w:rsidRPr="00FF34BE" w:rsidRDefault="00D24B27" w:rsidP="000700EA">
      <w:pPr>
        <w:rPr>
          <w:lang w:val="en-US"/>
        </w:rPr>
      </w:pPr>
      <w:r w:rsidRPr="00FF34BE">
        <w:rPr>
          <w:lang w:val="en-US"/>
        </w:rPr>
        <w:t xml:space="preserve">This combined pfd mask would afford protection also to </w:t>
      </w:r>
      <w:r w:rsidR="000700EA" w:rsidRPr="00FF34BE">
        <w:rPr>
          <w:lang w:val="en-US"/>
        </w:rPr>
        <w:t>P-MP</w:t>
      </w:r>
      <w:r w:rsidRPr="00FF34BE">
        <w:rPr>
          <w:lang w:val="en-US"/>
        </w:rPr>
        <w:t xml:space="preserve"> FS systems operating in the band</w:t>
      </w:r>
      <w:r w:rsidR="000700EA" w:rsidRPr="00FF34BE">
        <w:rPr>
          <w:lang w:val="en-US"/>
        </w:rPr>
        <w:t> </w:t>
      </w:r>
      <w:r w:rsidRPr="00FF34BE">
        <w:rPr>
          <w:lang w:val="en-US"/>
        </w:rPr>
        <w:t>37-38 GHz.</w:t>
      </w:r>
    </w:p>
    <w:p w:rsidR="00D24B27" w:rsidRPr="00FF34BE" w:rsidRDefault="00D24B27" w:rsidP="000700EA">
      <w:pPr>
        <w:rPr>
          <w:lang w:val="en-US"/>
        </w:rPr>
      </w:pPr>
      <w:r w:rsidRPr="00FF34BE">
        <w:rPr>
          <w:lang w:val="en-US"/>
        </w:rPr>
        <w:t>Any receiver associated with a current AMS system that would operate in the band for links between the ground and the aircraft or between aircraft, would suffer from harmful interference. At low altitudes of 1 000 m, such harmful interference would appear during long and frequent periods of time. The operation of AMS applications compliant with characteristics provided in Table</w:t>
      </w:r>
      <w:r w:rsidR="000700EA" w:rsidRPr="00FF34BE">
        <w:rPr>
          <w:lang w:val="en-US"/>
        </w:rPr>
        <w:t> </w:t>
      </w:r>
      <w:r w:rsidRPr="00FF34BE">
        <w:rPr>
          <w:lang w:val="en-US"/>
        </w:rPr>
        <w:t>10 in the band 37-38 GHz is therefore not compatible with HDFS deployed in this band. However, further studies might be required with regards to wireless intra-aircraft communications (such as WAIC systems) to assess the impact of HDFS links on such applications, once the sharing characteristics are available within ITU-R.</w:t>
      </w:r>
    </w:p>
    <w:p w:rsidR="000700EA" w:rsidRPr="00FF34BE" w:rsidRDefault="000700EA" w:rsidP="00D24B27">
      <w:pPr>
        <w:rPr>
          <w:lang w:val="en-US"/>
        </w:rPr>
      </w:pPr>
    </w:p>
    <w:p w:rsidR="000700EA" w:rsidRPr="00FF34BE" w:rsidRDefault="000700EA" w:rsidP="000700EA">
      <w:pPr>
        <w:pStyle w:val="Line"/>
        <w:rPr>
          <w:lang w:val="en-US"/>
        </w:rPr>
      </w:pPr>
    </w:p>
    <w:sectPr w:rsidR="000700EA" w:rsidRPr="00FF34BE" w:rsidSect="00BE4CE0">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4BE" w:rsidRDefault="00FF34BE">
      <w:r>
        <w:separator/>
      </w:r>
    </w:p>
  </w:endnote>
  <w:endnote w:type="continuationSeparator" w:id="0">
    <w:p w:rsidR="00FF34BE" w:rsidRDefault="00FF3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4BE" w:rsidRDefault="00FF34BE">
      <w:r>
        <w:separator/>
      </w:r>
    </w:p>
  </w:footnote>
  <w:footnote w:type="continuationSeparator" w:id="0">
    <w:p w:rsidR="00FF34BE" w:rsidRDefault="00FF34BE">
      <w:r>
        <w:continuationSeparator/>
      </w:r>
    </w:p>
  </w:footnote>
  <w:footnote w:id="1">
    <w:p w:rsidR="00FF34BE" w:rsidRPr="007827D4" w:rsidRDefault="00FF34BE" w:rsidP="00D24B27">
      <w:pPr>
        <w:pStyle w:val="FootnoteText"/>
        <w:rPr>
          <w:lang w:val="en-US"/>
        </w:rPr>
      </w:pPr>
      <w:r>
        <w:rPr>
          <w:rStyle w:val="FootnoteReference"/>
        </w:rPr>
        <w:footnoteRef/>
      </w:r>
      <w:r>
        <w:rPr>
          <w:lang w:val="en-US"/>
        </w:rPr>
        <w:tab/>
        <w:t>This Report will be reviewed following WRC-12.</w:t>
      </w:r>
    </w:p>
  </w:footnote>
  <w:footnote w:id="2">
    <w:p w:rsidR="00FF34BE" w:rsidRPr="00EB7B75" w:rsidRDefault="00FF34BE" w:rsidP="00EB7B75">
      <w:pPr>
        <w:pStyle w:val="FootnoteText"/>
        <w:rPr>
          <w:lang w:val="en-US"/>
        </w:rPr>
      </w:pPr>
      <w:r>
        <w:rPr>
          <w:rStyle w:val="FootnoteReference"/>
        </w:rPr>
        <w:footnoteRef/>
      </w:r>
      <w:r w:rsidRPr="00EB7B75">
        <w:rPr>
          <w:lang w:val="en-US"/>
        </w:rPr>
        <w:tab/>
      </w:r>
      <w:r>
        <w:rPr>
          <w:szCs w:val="24"/>
          <w:lang w:val="en-US"/>
        </w:rPr>
        <w:t>Similar high density deployments are typical in other countries.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BE" w:rsidRPr="00E52477" w:rsidRDefault="004C4A00" w:rsidP="00EB7B75">
    <w:pPr>
      <w:pStyle w:val="Header"/>
      <w:jc w:val="both"/>
      <w:rPr>
        <w:lang w:val="en-US"/>
      </w:rPr>
    </w:pPr>
    <w:r w:rsidRPr="004C4A00">
      <w:rPr>
        <w:b/>
        <w:bCs/>
      </w:rPr>
      <w:fldChar w:fldCharType="begin"/>
    </w:r>
    <w:r w:rsidR="00FF34BE" w:rsidRPr="00C00883">
      <w:rPr>
        <w:b/>
        <w:bCs/>
        <w:lang w:val="en-US"/>
      </w:rPr>
      <w:instrText xml:space="preserve"> PAGE </w:instrText>
    </w:r>
    <w:r w:rsidRPr="004C4A00">
      <w:rPr>
        <w:b/>
        <w:bCs/>
      </w:rPr>
      <w:fldChar w:fldCharType="separate"/>
    </w:r>
    <w:r w:rsidR="00406262">
      <w:rPr>
        <w:b/>
        <w:bCs/>
        <w:noProof/>
        <w:lang w:val="en-US"/>
      </w:rPr>
      <w:t>ii</w:t>
    </w:r>
    <w:r w:rsidRPr="00C00883">
      <w:fldChar w:fldCharType="end"/>
    </w:r>
    <w:r w:rsidR="00FF34BE" w:rsidRPr="00C00883">
      <w:rPr>
        <w:lang w:val="en-US"/>
      </w:rPr>
      <w:tab/>
    </w:r>
    <w:fldSimple w:instr=" DOCPROPERTY &quot;Header 2&quot; \* MERGEFORMAT ">
      <w:r w:rsidR="00FF34BE" w:rsidRPr="004622CA">
        <w:rPr>
          <w:b/>
          <w:bCs/>
          <w:lang w:val="en-US"/>
        </w:rPr>
        <w:t xml:space="preserve">Rep. </w:t>
      </w:r>
    </w:fldSimple>
    <w:r w:rsidR="00FF34BE" w:rsidRPr="00E52477">
      <w:rPr>
        <w:b/>
        <w:bCs/>
        <w:lang w:val="en-US"/>
      </w:rPr>
      <w:t xml:space="preserve"> </w:t>
    </w:r>
    <w:r w:rsidRPr="004C4A00">
      <w:rPr>
        <w:b/>
        <w:bCs/>
      </w:rPr>
      <w:fldChar w:fldCharType="begin"/>
    </w:r>
    <w:r w:rsidR="00FF34BE" w:rsidRPr="00C00883">
      <w:rPr>
        <w:b/>
        <w:bCs/>
        <w:lang w:val="en-US"/>
      </w:rPr>
      <w:instrText>styleref href</w:instrText>
    </w:r>
    <w:r w:rsidRPr="004C4A00">
      <w:rPr>
        <w:b/>
        <w:bCs/>
      </w:rPr>
      <w:fldChar w:fldCharType="separate"/>
    </w:r>
    <w:r w:rsidR="00406262">
      <w:rPr>
        <w:b/>
        <w:bCs/>
        <w:noProof/>
      </w:rPr>
      <w:t>ITU-R  M.2206</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BE" w:rsidRDefault="00FF34BE" w:rsidP="00EB7B7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BE" w:rsidRDefault="004C4A00" w:rsidP="00BE4CE0">
    <w:pPr>
      <w:pStyle w:val="Header"/>
      <w:jc w:val="left"/>
      <w:rPr>
        <w:lang w:val="en-US"/>
      </w:rPr>
    </w:pPr>
    <w:r>
      <w:rPr>
        <w:rStyle w:val="PageNumber"/>
        <w:b/>
        <w:bCs/>
      </w:rPr>
      <w:fldChar w:fldCharType="begin"/>
    </w:r>
    <w:r w:rsidR="00FF34BE">
      <w:rPr>
        <w:rStyle w:val="PageNumber"/>
        <w:b/>
        <w:bCs/>
        <w:lang w:val="en-US"/>
      </w:rPr>
      <w:instrText xml:space="preserve"> PAGE </w:instrText>
    </w:r>
    <w:r>
      <w:rPr>
        <w:rStyle w:val="PageNumber"/>
        <w:b/>
        <w:bCs/>
      </w:rPr>
      <w:fldChar w:fldCharType="separate"/>
    </w:r>
    <w:r w:rsidR="00406262">
      <w:rPr>
        <w:rStyle w:val="PageNumber"/>
        <w:b/>
        <w:bCs/>
        <w:noProof/>
        <w:lang w:val="en-US"/>
      </w:rPr>
      <w:t>14</w:t>
    </w:r>
    <w:r>
      <w:rPr>
        <w:rStyle w:val="PageNumber"/>
        <w:b/>
        <w:bCs/>
      </w:rPr>
      <w:fldChar w:fldCharType="end"/>
    </w:r>
    <w:r w:rsidR="00FF34BE">
      <w:rPr>
        <w:lang w:val="en-US"/>
      </w:rPr>
      <w:tab/>
    </w:r>
    <w:fldSimple w:instr=" DOCPROPERTY &quot;Header 2&quot; \* MERGEFORMAT ">
      <w:r w:rsidR="00FF34BE" w:rsidRPr="004622CA">
        <w:rPr>
          <w:b/>
          <w:bCs/>
          <w:lang w:val="en-US"/>
        </w:rPr>
        <w:t xml:space="preserve">Rep. </w:t>
      </w:r>
    </w:fldSimple>
    <w:r w:rsidR="00FF34BE" w:rsidRPr="00E52477">
      <w:rPr>
        <w:b/>
        <w:bCs/>
        <w:lang w:val="en-US"/>
      </w:rPr>
      <w:t xml:space="preserve"> </w:t>
    </w:r>
    <w:r w:rsidRPr="004C4A00">
      <w:rPr>
        <w:b/>
        <w:bCs/>
      </w:rPr>
      <w:fldChar w:fldCharType="begin"/>
    </w:r>
    <w:r w:rsidR="00FF34BE" w:rsidRPr="00C00883">
      <w:rPr>
        <w:b/>
        <w:bCs/>
        <w:lang w:val="en-US"/>
      </w:rPr>
      <w:instrText>styleref href</w:instrText>
    </w:r>
    <w:r w:rsidRPr="004C4A00">
      <w:rPr>
        <w:b/>
        <w:bCs/>
      </w:rPr>
      <w:fldChar w:fldCharType="separate"/>
    </w:r>
    <w:r w:rsidR="00406262">
      <w:rPr>
        <w:b/>
        <w:bCs/>
        <w:noProof/>
      </w:rPr>
      <w:t>ITU-R  M.2206</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4BE" w:rsidRDefault="00FF34BE" w:rsidP="00BE4CE0">
    <w:pPr>
      <w:pStyle w:val="Header"/>
    </w:pPr>
    <w:r>
      <w:tab/>
    </w:r>
    <w:fldSimple w:instr=" DOCPROPERTY &quot;Header 2&quot; \* MERGEFORMAT ">
      <w:r w:rsidRPr="004622CA">
        <w:rPr>
          <w:b/>
          <w:bCs/>
          <w:lang w:val="en-US"/>
        </w:rPr>
        <w:t xml:space="preserve">Rep. </w:t>
      </w:r>
    </w:fldSimple>
    <w:r w:rsidRPr="00E52477">
      <w:rPr>
        <w:b/>
        <w:bCs/>
        <w:lang w:val="en-US"/>
      </w:rPr>
      <w:t xml:space="preserve"> </w:t>
    </w:r>
    <w:r w:rsidR="004C4A00" w:rsidRPr="004C4A00">
      <w:rPr>
        <w:b/>
        <w:bCs/>
      </w:rPr>
      <w:fldChar w:fldCharType="begin"/>
    </w:r>
    <w:r w:rsidRPr="00C00883">
      <w:rPr>
        <w:b/>
        <w:bCs/>
        <w:lang w:val="en-US"/>
      </w:rPr>
      <w:instrText>styleref href</w:instrText>
    </w:r>
    <w:r w:rsidR="004C4A00" w:rsidRPr="004C4A00">
      <w:rPr>
        <w:b/>
        <w:bCs/>
      </w:rPr>
      <w:fldChar w:fldCharType="separate"/>
    </w:r>
    <w:r w:rsidR="00406262">
      <w:rPr>
        <w:b/>
        <w:bCs/>
        <w:noProof/>
      </w:rPr>
      <w:t>ITU-R  M.2206</w:t>
    </w:r>
    <w:r w:rsidR="004C4A00" w:rsidRPr="00C00883">
      <w:fldChar w:fldCharType="end"/>
    </w:r>
    <w:r>
      <w:tab/>
    </w:r>
    <w:r w:rsidR="004C4A00">
      <w:rPr>
        <w:rStyle w:val="PageNumber"/>
        <w:b/>
        <w:bCs/>
      </w:rPr>
      <w:fldChar w:fldCharType="begin"/>
    </w:r>
    <w:r>
      <w:rPr>
        <w:rStyle w:val="PageNumber"/>
        <w:b/>
        <w:bCs/>
      </w:rPr>
      <w:instrText xml:space="preserve"> PAGE </w:instrText>
    </w:r>
    <w:r w:rsidR="004C4A00">
      <w:rPr>
        <w:rStyle w:val="PageNumber"/>
        <w:b/>
        <w:bCs/>
      </w:rPr>
      <w:fldChar w:fldCharType="separate"/>
    </w:r>
    <w:r w:rsidR="00406262">
      <w:rPr>
        <w:rStyle w:val="PageNumber"/>
        <w:b/>
        <w:bCs/>
        <w:noProof/>
      </w:rPr>
      <w:t>13</w:t>
    </w:r>
    <w:r w:rsidR="004C4A0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5582620"/>
    <w:lvl w:ilvl="0">
      <w:start w:val="1"/>
      <w:numFmt w:val="decimal"/>
      <w:lvlText w:val="%1."/>
      <w:lvlJc w:val="left"/>
      <w:pPr>
        <w:tabs>
          <w:tab w:val="num" w:pos="1492"/>
        </w:tabs>
        <w:ind w:left="1492" w:hanging="360"/>
      </w:pPr>
    </w:lvl>
  </w:abstractNum>
  <w:abstractNum w:abstractNumId="1">
    <w:nsid w:val="FFFFFF7D"/>
    <w:multiLevelType w:val="singleLevel"/>
    <w:tmpl w:val="382414C0"/>
    <w:lvl w:ilvl="0">
      <w:start w:val="1"/>
      <w:numFmt w:val="decimal"/>
      <w:lvlText w:val="%1."/>
      <w:lvlJc w:val="left"/>
      <w:pPr>
        <w:tabs>
          <w:tab w:val="num" w:pos="1209"/>
        </w:tabs>
        <w:ind w:left="1209" w:hanging="360"/>
      </w:pPr>
    </w:lvl>
  </w:abstractNum>
  <w:abstractNum w:abstractNumId="2">
    <w:nsid w:val="FFFFFF7E"/>
    <w:multiLevelType w:val="singleLevel"/>
    <w:tmpl w:val="1DFC9096"/>
    <w:lvl w:ilvl="0">
      <w:start w:val="1"/>
      <w:numFmt w:val="decimal"/>
      <w:lvlText w:val="%1."/>
      <w:lvlJc w:val="left"/>
      <w:pPr>
        <w:tabs>
          <w:tab w:val="num" w:pos="926"/>
        </w:tabs>
        <w:ind w:left="926" w:hanging="360"/>
      </w:pPr>
    </w:lvl>
  </w:abstractNum>
  <w:abstractNum w:abstractNumId="3">
    <w:nsid w:val="FFFFFF7F"/>
    <w:multiLevelType w:val="singleLevel"/>
    <w:tmpl w:val="35E03E8E"/>
    <w:lvl w:ilvl="0">
      <w:start w:val="1"/>
      <w:numFmt w:val="decimal"/>
      <w:lvlText w:val="%1."/>
      <w:lvlJc w:val="left"/>
      <w:pPr>
        <w:tabs>
          <w:tab w:val="num" w:pos="643"/>
        </w:tabs>
        <w:ind w:left="643" w:hanging="360"/>
      </w:pPr>
    </w:lvl>
  </w:abstractNum>
  <w:abstractNum w:abstractNumId="4">
    <w:nsid w:val="FFFFFF80"/>
    <w:multiLevelType w:val="singleLevel"/>
    <w:tmpl w:val="76B20D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72E3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22B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5C82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706564"/>
    <w:lvl w:ilvl="0">
      <w:start w:val="1"/>
      <w:numFmt w:val="decimal"/>
      <w:lvlText w:val="%1."/>
      <w:lvlJc w:val="left"/>
      <w:pPr>
        <w:tabs>
          <w:tab w:val="num" w:pos="360"/>
        </w:tabs>
        <w:ind w:left="360" w:hanging="360"/>
      </w:pPr>
    </w:lvl>
  </w:abstractNum>
  <w:abstractNum w:abstractNumId="9">
    <w:nsid w:val="FFFFFF89"/>
    <w:multiLevelType w:val="singleLevel"/>
    <w:tmpl w:val="87AA075E"/>
    <w:lvl w:ilvl="0">
      <w:start w:val="1"/>
      <w:numFmt w:val="bullet"/>
      <w:lvlText w:val=""/>
      <w:lvlJc w:val="left"/>
      <w:pPr>
        <w:tabs>
          <w:tab w:val="num" w:pos="360"/>
        </w:tabs>
        <w:ind w:left="360" w:hanging="360"/>
      </w:pPr>
      <w:rPr>
        <w:rFonts w:ascii="Symbol" w:hAnsi="Symbol" w:hint="default"/>
      </w:rPr>
    </w:lvl>
  </w:abstractNum>
  <w:abstractNum w:abstractNumId="10">
    <w:nsid w:val="06D97025"/>
    <w:multiLevelType w:val="hybridMultilevel"/>
    <w:tmpl w:val="6A76C43A"/>
    <w:lvl w:ilvl="0" w:tplc="6E285C3A">
      <w:start w:val="3"/>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8B21749"/>
    <w:multiLevelType w:val="hybridMultilevel"/>
    <w:tmpl w:val="56FEE9C6"/>
    <w:lvl w:ilvl="0" w:tplc="9F9CC23A">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D24B27"/>
    <w:rsid w:val="00036E76"/>
    <w:rsid w:val="000700EA"/>
    <w:rsid w:val="000B4B78"/>
    <w:rsid w:val="000E1294"/>
    <w:rsid w:val="00217EBF"/>
    <w:rsid w:val="002B21C0"/>
    <w:rsid w:val="002B36F3"/>
    <w:rsid w:val="002D76C4"/>
    <w:rsid w:val="00300955"/>
    <w:rsid w:val="00303D88"/>
    <w:rsid w:val="00406262"/>
    <w:rsid w:val="004622CA"/>
    <w:rsid w:val="004B3806"/>
    <w:rsid w:val="004C088F"/>
    <w:rsid w:val="004C4A00"/>
    <w:rsid w:val="00591C50"/>
    <w:rsid w:val="005D5DA3"/>
    <w:rsid w:val="00607D68"/>
    <w:rsid w:val="007468DA"/>
    <w:rsid w:val="007D4A05"/>
    <w:rsid w:val="00800863"/>
    <w:rsid w:val="00811E29"/>
    <w:rsid w:val="008377C0"/>
    <w:rsid w:val="008A3F3B"/>
    <w:rsid w:val="008C7CF8"/>
    <w:rsid w:val="00964C9E"/>
    <w:rsid w:val="009C1368"/>
    <w:rsid w:val="009D6799"/>
    <w:rsid w:val="00A6617B"/>
    <w:rsid w:val="00AB0DC8"/>
    <w:rsid w:val="00AE0ED1"/>
    <w:rsid w:val="00B44E24"/>
    <w:rsid w:val="00B7412F"/>
    <w:rsid w:val="00BE4CE0"/>
    <w:rsid w:val="00D24B27"/>
    <w:rsid w:val="00D533D2"/>
    <w:rsid w:val="00DF4176"/>
    <w:rsid w:val="00DF457B"/>
    <w:rsid w:val="00E427AA"/>
    <w:rsid w:val="00E52477"/>
    <w:rsid w:val="00EB7B75"/>
    <w:rsid w:val="00FB7EAE"/>
    <w:rsid w:val="00FF34B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41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412F"/>
    <w:pPr>
      <w:keepNext/>
      <w:keepLines/>
      <w:spacing w:before="480"/>
      <w:ind w:left="794" w:hanging="794"/>
      <w:outlineLvl w:val="0"/>
    </w:pPr>
    <w:rPr>
      <w:b/>
    </w:rPr>
  </w:style>
  <w:style w:type="paragraph" w:styleId="Heading2">
    <w:name w:val="heading 2"/>
    <w:basedOn w:val="Heading1"/>
    <w:next w:val="Normal"/>
    <w:link w:val="Heading2Char"/>
    <w:qFormat/>
    <w:rsid w:val="00B7412F"/>
    <w:pPr>
      <w:spacing w:before="320"/>
      <w:outlineLvl w:val="1"/>
    </w:pPr>
  </w:style>
  <w:style w:type="paragraph" w:styleId="Heading3">
    <w:name w:val="heading 3"/>
    <w:basedOn w:val="Heading1"/>
    <w:next w:val="Normal"/>
    <w:link w:val="Heading3Char"/>
    <w:qFormat/>
    <w:rsid w:val="00B7412F"/>
    <w:pPr>
      <w:spacing w:before="200"/>
      <w:outlineLvl w:val="2"/>
    </w:pPr>
  </w:style>
  <w:style w:type="paragraph" w:styleId="Heading4">
    <w:name w:val="heading 4"/>
    <w:basedOn w:val="Heading3"/>
    <w:next w:val="Normal"/>
    <w:link w:val="Heading4Char"/>
    <w:qFormat/>
    <w:rsid w:val="00B7412F"/>
    <w:pPr>
      <w:tabs>
        <w:tab w:val="clear" w:pos="794"/>
        <w:tab w:val="left" w:pos="992"/>
      </w:tabs>
      <w:ind w:left="992" w:hanging="992"/>
      <w:outlineLvl w:val="3"/>
    </w:pPr>
  </w:style>
  <w:style w:type="paragraph" w:styleId="Heading5">
    <w:name w:val="heading 5"/>
    <w:basedOn w:val="Heading4"/>
    <w:next w:val="Normal"/>
    <w:link w:val="Heading5Char"/>
    <w:qFormat/>
    <w:rsid w:val="00B7412F"/>
    <w:pPr>
      <w:outlineLvl w:val="4"/>
    </w:pPr>
  </w:style>
  <w:style w:type="paragraph" w:styleId="Heading6">
    <w:name w:val="heading 6"/>
    <w:basedOn w:val="Heading4"/>
    <w:next w:val="Normal"/>
    <w:link w:val="Heading6Char"/>
    <w:qFormat/>
    <w:rsid w:val="00B7412F"/>
    <w:pPr>
      <w:tabs>
        <w:tab w:val="clear" w:pos="992"/>
        <w:tab w:val="clear" w:pos="1191"/>
      </w:tabs>
      <w:ind w:left="1588" w:hanging="1588"/>
      <w:outlineLvl w:val="5"/>
    </w:pPr>
  </w:style>
  <w:style w:type="paragraph" w:styleId="Heading7">
    <w:name w:val="heading 7"/>
    <w:basedOn w:val="Heading6"/>
    <w:next w:val="Normal"/>
    <w:link w:val="Heading7Char"/>
    <w:qFormat/>
    <w:rsid w:val="00B7412F"/>
    <w:pPr>
      <w:outlineLvl w:val="6"/>
    </w:pPr>
  </w:style>
  <w:style w:type="paragraph" w:styleId="Heading8">
    <w:name w:val="heading 8"/>
    <w:basedOn w:val="Heading6"/>
    <w:next w:val="Normal"/>
    <w:link w:val="Heading8Char"/>
    <w:qFormat/>
    <w:rsid w:val="00B7412F"/>
    <w:pPr>
      <w:outlineLvl w:val="7"/>
    </w:pPr>
  </w:style>
  <w:style w:type="paragraph" w:styleId="Heading9">
    <w:name w:val="heading 9"/>
    <w:basedOn w:val="Heading6"/>
    <w:next w:val="Normal"/>
    <w:link w:val="Heading9Char"/>
    <w:qFormat/>
    <w:rsid w:val="00B7412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4B27"/>
    <w:rPr>
      <w:b/>
      <w:sz w:val="24"/>
      <w:lang w:val="fr-FR" w:eastAsia="en-US"/>
    </w:rPr>
  </w:style>
  <w:style w:type="character" w:customStyle="1" w:styleId="Heading2Char">
    <w:name w:val="Heading 2 Char"/>
    <w:basedOn w:val="DefaultParagraphFont"/>
    <w:link w:val="Heading2"/>
    <w:rsid w:val="00D24B27"/>
    <w:rPr>
      <w:b/>
      <w:sz w:val="24"/>
      <w:lang w:val="fr-FR" w:eastAsia="en-US"/>
    </w:rPr>
  </w:style>
  <w:style w:type="character" w:customStyle="1" w:styleId="Heading3Char">
    <w:name w:val="Heading 3 Char"/>
    <w:basedOn w:val="DefaultParagraphFont"/>
    <w:link w:val="Heading3"/>
    <w:rsid w:val="00D24B27"/>
    <w:rPr>
      <w:b/>
      <w:sz w:val="24"/>
      <w:lang w:val="fr-FR" w:eastAsia="en-US"/>
    </w:rPr>
  </w:style>
  <w:style w:type="character" w:customStyle="1" w:styleId="Heading4Char">
    <w:name w:val="Heading 4 Char"/>
    <w:basedOn w:val="DefaultParagraphFont"/>
    <w:link w:val="Heading4"/>
    <w:rsid w:val="00D24B27"/>
    <w:rPr>
      <w:b/>
      <w:sz w:val="24"/>
      <w:lang w:val="fr-FR" w:eastAsia="en-US"/>
    </w:rPr>
  </w:style>
  <w:style w:type="character" w:customStyle="1" w:styleId="Heading5Char">
    <w:name w:val="Heading 5 Char"/>
    <w:basedOn w:val="DefaultParagraphFont"/>
    <w:link w:val="Heading5"/>
    <w:rsid w:val="00D24B27"/>
    <w:rPr>
      <w:b/>
      <w:sz w:val="24"/>
      <w:lang w:val="fr-FR" w:eastAsia="en-US"/>
    </w:rPr>
  </w:style>
  <w:style w:type="character" w:customStyle="1" w:styleId="Heading6Char">
    <w:name w:val="Heading 6 Char"/>
    <w:basedOn w:val="DefaultParagraphFont"/>
    <w:link w:val="Heading6"/>
    <w:rsid w:val="00D24B27"/>
    <w:rPr>
      <w:b/>
      <w:sz w:val="24"/>
      <w:lang w:val="fr-FR" w:eastAsia="en-US"/>
    </w:rPr>
  </w:style>
  <w:style w:type="character" w:customStyle="1" w:styleId="Heading7Char">
    <w:name w:val="Heading 7 Char"/>
    <w:basedOn w:val="DefaultParagraphFont"/>
    <w:link w:val="Heading7"/>
    <w:rsid w:val="00D24B27"/>
    <w:rPr>
      <w:b/>
      <w:sz w:val="24"/>
      <w:lang w:val="fr-FR" w:eastAsia="en-US"/>
    </w:rPr>
  </w:style>
  <w:style w:type="character" w:customStyle="1" w:styleId="Heading8Char">
    <w:name w:val="Heading 8 Char"/>
    <w:basedOn w:val="DefaultParagraphFont"/>
    <w:link w:val="Heading8"/>
    <w:rsid w:val="00D24B27"/>
    <w:rPr>
      <w:b/>
      <w:sz w:val="24"/>
      <w:lang w:val="fr-FR" w:eastAsia="en-US"/>
    </w:rPr>
  </w:style>
  <w:style w:type="character" w:customStyle="1" w:styleId="Heading9Char">
    <w:name w:val="Heading 9 Char"/>
    <w:basedOn w:val="DefaultParagraphFont"/>
    <w:link w:val="Heading9"/>
    <w:rsid w:val="00D24B27"/>
    <w:rPr>
      <w:b/>
      <w:sz w:val="24"/>
      <w:lang w:val="fr-FR" w:eastAsia="en-US"/>
    </w:rPr>
  </w:style>
  <w:style w:type="paragraph" w:styleId="Header">
    <w:name w:val="header"/>
    <w:basedOn w:val="Normal"/>
    <w:link w:val="HeaderChar"/>
    <w:rsid w:val="00B7412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24B27"/>
    <w:rPr>
      <w:sz w:val="24"/>
      <w:lang w:val="fr-FR" w:eastAsia="en-US"/>
    </w:rPr>
  </w:style>
  <w:style w:type="paragraph" w:styleId="Footer">
    <w:name w:val="footer"/>
    <w:basedOn w:val="Normal"/>
    <w:link w:val="FooterChar"/>
    <w:rsid w:val="00B7412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24B27"/>
    <w:rPr>
      <w:noProof/>
      <w:sz w:val="18"/>
      <w:lang w:val="fr-FR" w:eastAsia="en-US"/>
    </w:rPr>
  </w:style>
  <w:style w:type="character" w:styleId="PageNumber">
    <w:name w:val="page number"/>
    <w:basedOn w:val="DefaultParagraphFont"/>
    <w:rsid w:val="00B7412F"/>
  </w:style>
  <w:style w:type="paragraph" w:customStyle="1" w:styleId="Headingb">
    <w:name w:val="Heading_b"/>
    <w:basedOn w:val="Heading3"/>
    <w:next w:val="Normal"/>
    <w:rsid w:val="00B7412F"/>
    <w:pPr>
      <w:spacing w:before="160"/>
      <w:ind w:left="0" w:firstLine="0"/>
      <w:outlineLvl w:val="9"/>
    </w:pPr>
  </w:style>
  <w:style w:type="paragraph" w:customStyle="1" w:styleId="Headingi">
    <w:name w:val="Heading_i"/>
    <w:basedOn w:val="Heading3"/>
    <w:next w:val="Normal"/>
    <w:rsid w:val="00B7412F"/>
    <w:pPr>
      <w:spacing w:before="160"/>
      <w:ind w:left="0" w:firstLine="0"/>
    </w:pPr>
    <w:rPr>
      <w:b w:val="0"/>
      <w:i/>
    </w:rPr>
  </w:style>
  <w:style w:type="character" w:customStyle="1" w:styleId="href">
    <w:name w:val="href"/>
    <w:basedOn w:val="DefaultParagraphFont"/>
    <w:rsid w:val="00B7412F"/>
  </w:style>
  <w:style w:type="paragraph" w:customStyle="1" w:styleId="enumlev1">
    <w:name w:val="enumlev1"/>
    <w:basedOn w:val="Normal"/>
    <w:link w:val="enumlev1Char"/>
    <w:rsid w:val="00B7412F"/>
    <w:pPr>
      <w:spacing w:before="80"/>
      <w:ind w:left="794" w:hanging="794"/>
    </w:pPr>
  </w:style>
  <w:style w:type="character" w:customStyle="1" w:styleId="enumlev1Char">
    <w:name w:val="enumlev1 Char"/>
    <w:basedOn w:val="DefaultParagraphFont"/>
    <w:link w:val="enumlev1"/>
    <w:locked/>
    <w:rsid w:val="00D24B27"/>
    <w:rPr>
      <w:sz w:val="24"/>
      <w:lang w:val="fr-FR" w:eastAsia="en-US"/>
    </w:rPr>
  </w:style>
  <w:style w:type="paragraph" w:customStyle="1" w:styleId="enumlev2">
    <w:name w:val="enumlev2"/>
    <w:basedOn w:val="enumlev1"/>
    <w:rsid w:val="00B7412F"/>
    <w:pPr>
      <w:ind w:left="1191" w:hanging="397"/>
    </w:pPr>
  </w:style>
  <w:style w:type="paragraph" w:customStyle="1" w:styleId="enumlev3">
    <w:name w:val="enumlev3"/>
    <w:basedOn w:val="enumlev2"/>
    <w:rsid w:val="00B7412F"/>
    <w:pPr>
      <w:ind w:left="1588"/>
    </w:pPr>
  </w:style>
  <w:style w:type="paragraph" w:customStyle="1" w:styleId="Normalaftertitle">
    <w:name w:val="Normal_after_title"/>
    <w:basedOn w:val="Normal"/>
    <w:next w:val="Normal"/>
    <w:rsid w:val="00B7412F"/>
    <w:pPr>
      <w:spacing w:before="320"/>
    </w:pPr>
  </w:style>
  <w:style w:type="paragraph" w:customStyle="1" w:styleId="Note">
    <w:name w:val="Note"/>
    <w:basedOn w:val="Normal"/>
    <w:rsid w:val="00B7412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412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7412F"/>
    <w:pPr>
      <w:keepNext/>
      <w:keepLines/>
      <w:spacing w:before="240"/>
      <w:jc w:val="center"/>
    </w:pPr>
    <w:rPr>
      <w:b/>
      <w:sz w:val="28"/>
    </w:rPr>
  </w:style>
  <w:style w:type="paragraph" w:customStyle="1" w:styleId="Recref">
    <w:name w:val="Rec_ref"/>
    <w:basedOn w:val="Normal"/>
    <w:next w:val="Recdate"/>
    <w:rsid w:val="00B7412F"/>
    <w:pPr>
      <w:jc w:val="center"/>
    </w:pPr>
  </w:style>
  <w:style w:type="paragraph" w:customStyle="1" w:styleId="Recdate">
    <w:name w:val="Rec_date"/>
    <w:basedOn w:val="Recref"/>
    <w:next w:val="Normalaftertitle"/>
    <w:rsid w:val="00B7412F"/>
    <w:pPr>
      <w:jc w:val="right"/>
    </w:pPr>
  </w:style>
  <w:style w:type="paragraph" w:customStyle="1" w:styleId="HeadingSum">
    <w:name w:val="Heading_Sum"/>
    <w:basedOn w:val="Headingb"/>
    <w:next w:val="Normal"/>
    <w:rsid w:val="00B7412F"/>
    <w:pPr>
      <w:spacing w:before="240"/>
    </w:pPr>
    <w:rPr>
      <w:sz w:val="22"/>
      <w:lang w:val="es-ES_tradnl"/>
    </w:rPr>
  </w:style>
  <w:style w:type="paragraph" w:customStyle="1" w:styleId="AnnexNoTitle">
    <w:name w:val="Annex_NoTitle"/>
    <w:basedOn w:val="Normal"/>
    <w:next w:val="Normalaftertitle"/>
    <w:rsid w:val="00B7412F"/>
    <w:pPr>
      <w:keepNext/>
      <w:keepLines/>
      <w:spacing w:before="480" w:after="80"/>
      <w:jc w:val="center"/>
    </w:pPr>
    <w:rPr>
      <w:b/>
      <w:sz w:val="28"/>
    </w:rPr>
  </w:style>
  <w:style w:type="paragraph" w:customStyle="1" w:styleId="AppendixNoTitle">
    <w:name w:val="Appendix_NoTitle"/>
    <w:basedOn w:val="AnnexNoTitle"/>
    <w:next w:val="Normal"/>
    <w:rsid w:val="00B7412F"/>
  </w:style>
  <w:style w:type="paragraph" w:customStyle="1" w:styleId="Tablefin">
    <w:name w:val="Table_fin"/>
    <w:basedOn w:val="Normal"/>
    <w:next w:val="Normal"/>
    <w:rsid w:val="00B7412F"/>
    <w:pPr>
      <w:spacing w:before="0"/>
    </w:pPr>
    <w:rPr>
      <w:sz w:val="20"/>
      <w:lang w:val="en-GB"/>
    </w:rPr>
  </w:style>
  <w:style w:type="paragraph" w:customStyle="1" w:styleId="Tablehead">
    <w:name w:val="Table_head"/>
    <w:basedOn w:val="Normal"/>
    <w:next w:val="Normal"/>
    <w:rsid w:val="00B7412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741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7412F"/>
    <w:pPr>
      <w:keepNext/>
      <w:spacing w:before="360" w:after="120"/>
      <w:jc w:val="center"/>
    </w:pPr>
  </w:style>
  <w:style w:type="paragraph" w:customStyle="1" w:styleId="Tabletext">
    <w:name w:val="Table_text"/>
    <w:basedOn w:val="Normal"/>
    <w:rsid w:val="00B741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7412F"/>
    <w:pPr>
      <w:tabs>
        <w:tab w:val="clear" w:pos="1191"/>
        <w:tab w:val="clear" w:pos="1588"/>
        <w:tab w:val="clear" w:pos="1985"/>
        <w:tab w:val="center" w:pos="4820"/>
        <w:tab w:val="right" w:pos="9639"/>
      </w:tabs>
    </w:pPr>
  </w:style>
  <w:style w:type="paragraph" w:customStyle="1" w:styleId="Equationlegend">
    <w:name w:val="Equation_legend"/>
    <w:basedOn w:val="NormalIndent"/>
    <w:rsid w:val="00B7412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412F"/>
    <w:pPr>
      <w:ind w:left="794"/>
    </w:pPr>
  </w:style>
  <w:style w:type="paragraph" w:customStyle="1" w:styleId="Figurelegend">
    <w:name w:val="Figure_legend"/>
    <w:basedOn w:val="Normal"/>
    <w:rsid w:val="00B7412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7412F"/>
    <w:pPr>
      <w:keepNext/>
      <w:keepLines/>
      <w:spacing w:before="480" w:after="80"/>
      <w:jc w:val="center"/>
    </w:pPr>
    <w:rPr>
      <w:caps/>
      <w:sz w:val="18"/>
    </w:rPr>
  </w:style>
  <w:style w:type="paragraph" w:customStyle="1" w:styleId="Figuretitle">
    <w:name w:val="Figure_title"/>
    <w:basedOn w:val="Normal"/>
    <w:next w:val="Figure"/>
    <w:rsid w:val="00B7412F"/>
    <w:pPr>
      <w:keepNext/>
      <w:spacing w:before="0" w:after="120"/>
      <w:jc w:val="center"/>
    </w:pPr>
    <w:rPr>
      <w:rFonts w:ascii="Times New Roman Bold" w:hAnsi="Times New Roman Bold"/>
      <w:b/>
      <w:sz w:val="18"/>
    </w:rPr>
  </w:style>
  <w:style w:type="paragraph" w:customStyle="1" w:styleId="Figure">
    <w:name w:val="Figure"/>
    <w:basedOn w:val="FigureNo"/>
    <w:next w:val="Normal"/>
    <w:rsid w:val="00B7412F"/>
    <w:pPr>
      <w:keepNext w:val="0"/>
      <w:spacing w:before="0" w:after="240"/>
    </w:pPr>
  </w:style>
  <w:style w:type="paragraph" w:customStyle="1" w:styleId="tocpart">
    <w:name w:val="tocpart"/>
    <w:basedOn w:val="Normal"/>
    <w:rsid w:val="00B7412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412F"/>
    <w:pPr>
      <w:keepNext/>
      <w:keepLines/>
      <w:spacing w:before="480"/>
      <w:jc w:val="center"/>
    </w:pPr>
    <w:rPr>
      <w:sz w:val="28"/>
    </w:rPr>
  </w:style>
  <w:style w:type="paragraph" w:customStyle="1" w:styleId="Arttitle">
    <w:name w:val="Art_title"/>
    <w:basedOn w:val="Normal"/>
    <w:next w:val="Normalaftertitle"/>
    <w:rsid w:val="00B7412F"/>
    <w:pPr>
      <w:keepNext/>
      <w:keepLines/>
      <w:spacing w:before="240"/>
      <w:jc w:val="center"/>
    </w:pPr>
    <w:rPr>
      <w:b/>
      <w:sz w:val="28"/>
    </w:rPr>
  </w:style>
  <w:style w:type="paragraph" w:customStyle="1" w:styleId="Blanc">
    <w:name w:val="Blanc"/>
    <w:basedOn w:val="Normal"/>
    <w:next w:val="Tabletext"/>
    <w:rsid w:val="00B7412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412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7412F"/>
    <w:pPr>
      <w:keepNext/>
      <w:keepLines/>
      <w:spacing w:before="160"/>
      <w:ind w:left="794"/>
    </w:pPr>
    <w:rPr>
      <w:i/>
    </w:rPr>
  </w:style>
  <w:style w:type="paragraph" w:customStyle="1" w:styleId="ChapNo">
    <w:name w:val="Chap_No"/>
    <w:basedOn w:val="ArtNo"/>
    <w:next w:val="Chaptitle"/>
    <w:rsid w:val="00B7412F"/>
    <w:rPr>
      <w:b/>
    </w:rPr>
  </w:style>
  <w:style w:type="paragraph" w:customStyle="1" w:styleId="Chaptitle">
    <w:name w:val="Chap_title"/>
    <w:basedOn w:val="Arttitle"/>
    <w:next w:val="Normalaftertitle"/>
    <w:rsid w:val="00B7412F"/>
  </w:style>
  <w:style w:type="character" w:styleId="FootnoteReference">
    <w:name w:val="footnote reference"/>
    <w:basedOn w:val="DefaultParagraphFont"/>
    <w:rsid w:val="00B7412F"/>
    <w:rPr>
      <w:position w:val="6"/>
      <w:sz w:val="18"/>
    </w:rPr>
  </w:style>
  <w:style w:type="paragraph" w:styleId="FootnoteText">
    <w:name w:val="footnote text"/>
    <w:basedOn w:val="Normal"/>
    <w:link w:val="FootnoteTextChar"/>
    <w:rsid w:val="00B7412F"/>
    <w:pPr>
      <w:keepLines/>
      <w:tabs>
        <w:tab w:val="left" w:pos="255"/>
      </w:tabs>
      <w:ind w:left="255" w:hanging="255"/>
    </w:pPr>
    <w:rPr>
      <w:sz w:val="22"/>
    </w:rPr>
  </w:style>
  <w:style w:type="character" w:customStyle="1" w:styleId="FootnoteTextChar">
    <w:name w:val="Footnote Text Char"/>
    <w:basedOn w:val="DefaultParagraphFont"/>
    <w:link w:val="FootnoteText"/>
    <w:rsid w:val="00D24B27"/>
    <w:rPr>
      <w:sz w:val="22"/>
      <w:lang w:val="fr-FR" w:eastAsia="en-US"/>
    </w:rPr>
  </w:style>
  <w:style w:type="paragraph" w:styleId="Index1">
    <w:name w:val="index 1"/>
    <w:basedOn w:val="Normal"/>
    <w:next w:val="Normal"/>
    <w:semiHidden/>
    <w:rsid w:val="00B7412F"/>
  </w:style>
  <w:style w:type="paragraph" w:styleId="Index2">
    <w:name w:val="index 2"/>
    <w:basedOn w:val="Normal"/>
    <w:next w:val="Normal"/>
    <w:semiHidden/>
    <w:rsid w:val="00B7412F"/>
    <w:pPr>
      <w:ind w:left="283"/>
    </w:pPr>
  </w:style>
  <w:style w:type="paragraph" w:styleId="Index3">
    <w:name w:val="index 3"/>
    <w:basedOn w:val="Normal"/>
    <w:next w:val="Normal"/>
    <w:semiHidden/>
    <w:rsid w:val="00B7412F"/>
    <w:pPr>
      <w:ind w:left="566"/>
    </w:pPr>
  </w:style>
  <w:style w:type="paragraph" w:styleId="IndexHeading">
    <w:name w:val="index heading"/>
    <w:basedOn w:val="Normal"/>
    <w:next w:val="Index1"/>
    <w:rsid w:val="00B7412F"/>
  </w:style>
  <w:style w:type="paragraph" w:customStyle="1" w:styleId="Line">
    <w:name w:val="Line"/>
    <w:basedOn w:val="Normal"/>
    <w:next w:val="Normal"/>
    <w:rsid w:val="00B7412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412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412F"/>
  </w:style>
  <w:style w:type="paragraph" w:customStyle="1" w:styleId="Partref">
    <w:name w:val="Part_ref"/>
    <w:basedOn w:val="Normal"/>
    <w:next w:val="Normal"/>
    <w:rsid w:val="00B7412F"/>
    <w:pPr>
      <w:keepNext/>
      <w:keepLines/>
      <w:spacing w:after="280"/>
      <w:jc w:val="center"/>
    </w:pPr>
  </w:style>
  <w:style w:type="paragraph" w:customStyle="1" w:styleId="Parttitle">
    <w:name w:val="Part_title"/>
    <w:basedOn w:val="Normal"/>
    <w:next w:val="Normalaftertitle"/>
    <w:rsid w:val="00B7412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412F"/>
  </w:style>
  <w:style w:type="paragraph" w:customStyle="1" w:styleId="QuestionNo">
    <w:name w:val="Question_No"/>
    <w:basedOn w:val="RecNo"/>
    <w:next w:val="Normal"/>
    <w:rsid w:val="00B7412F"/>
  </w:style>
  <w:style w:type="paragraph" w:customStyle="1" w:styleId="Questionref">
    <w:name w:val="Question_ref"/>
    <w:basedOn w:val="Recref"/>
    <w:next w:val="Questiondate"/>
    <w:rsid w:val="00B7412F"/>
  </w:style>
  <w:style w:type="paragraph" w:customStyle="1" w:styleId="Questiontitle">
    <w:name w:val="Question_title"/>
    <w:basedOn w:val="Normal"/>
    <w:next w:val="Questionref"/>
    <w:rsid w:val="00B7412F"/>
  </w:style>
  <w:style w:type="paragraph" w:customStyle="1" w:styleId="Reftext">
    <w:name w:val="Ref_text"/>
    <w:basedOn w:val="Normal"/>
    <w:rsid w:val="00B7412F"/>
    <w:pPr>
      <w:ind w:left="794" w:hanging="794"/>
    </w:pPr>
    <w:rPr>
      <w:sz w:val="22"/>
    </w:rPr>
  </w:style>
  <w:style w:type="paragraph" w:customStyle="1" w:styleId="Reftitle">
    <w:name w:val="Ref_title"/>
    <w:basedOn w:val="Normal"/>
    <w:next w:val="Reftext"/>
    <w:rsid w:val="00B7412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412F"/>
  </w:style>
  <w:style w:type="paragraph" w:customStyle="1" w:styleId="RepNo">
    <w:name w:val="Rep_No"/>
    <w:basedOn w:val="RecNo"/>
    <w:next w:val="Reptitle"/>
    <w:rsid w:val="00B7412F"/>
  </w:style>
  <w:style w:type="paragraph" w:customStyle="1" w:styleId="Reptitle">
    <w:name w:val="Rep_title"/>
    <w:basedOn w:val="Rectitle"/>
    <w:next w:val="Repref"/>
    <w:rsid w:val="00B7412F"/>
  </w:style>
  <w:style w:type="paragraph" w:customStyle="1" w:styleId="Repref">
    <w:name w:val="Rep_ref"/>
    <w:basedOn w:val="Recref"/>
    <w:next w:val="Repdate"/>
    <w:rsid w:val="00B7412F"/>
  </w:style>
  <w:style w:type="paragraph" w:customStyle="1" w:styleId="Resdate">
    <w:name w:val="Res_date"/>
    <w:basedOn w:val="Recdate"/>
    <w:next w:val="Normalaftertitle"/>
    <w:rsid w:val="00B7412F"/>
  </w:style>
  <w:style w:type="paragraph" w:customStyle="1" w:styleId="ResNo">
    <w:name w:val="Res_No"/>
    <w:basedOn w:val="RecNo"/>
    <w:next w:val="Restitle"/>
    <w:rsid w:val="00B7412F"/>
  </w:style>
  <w:style w:type="paragraph" w:customStyle="1" w:styleId="Restitle">
    <w:name w:val="Res_title"/>
    <w:basedOn w:val="Normal"/>
    <w:next w:val="Resref"/>
    <w:rsid w:val="00B7412F"/>
    <w:pPr>
      <w:spacing w:before="240"/>
      <w:jc w:val="center"/>
    </w:pPr>
    <w:rPr>
      <w:b/>
      <w:sz w:val="28"/>
    </w:rPr>
  </w:style>
  <w:style w:type="paragraph" w:customStyle="1" w:styleId="Resref">
    <w:name w:val="Res_ref"/>
    <w:basedOn w:val="Recref"/>
    <w:next w:val="Resdate"/>
    <w:rsid w:val="00B7412F"/>
  </w:style>
  <w:style w:type="paragraph" w:customStyle="1" w:styleId="SectionNo">
    <w:name w:val="Section_No"/>
    <w:basedOn w:val="Normal"/>
    <w:next w:val="Normal"/>
    <w:rsid w:val="00B7412F"/>
  </w:style>
  <w:style w:type="paragraph" w:customStyle="1" w:styleId="Sectiontitle">
    <w:name w:val="Section_title"/>
    <w:basedOn w:val="Normal"/>
    <w:next w:val="Normalaftertitle"/>
    <w:rsid w:val="00B7412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412F"/>
    <w:pPr>
      <w:tabs>
        <w:tab w:val="clear" w:pos="794"/>
        <w:tab w:val="clear" w:pos="1191"/>
        <w:tab w:val="clear" w:pos="1588"/>
        <w:tab w:val="clear" w:pos="1985"/>
        <w:tab w:val="right" w:pos="9611"/>
      </w:tabs>
    </w:pPr>
    <w:rPr>
      <w:i/>
    </w:rPr>
  </w:style>
  <w:style w:type="paragraph" w:styleId="TOC1">
    <w:name w:val="toc 1"/>
    <w:basedOn w:val="Normal"/>
    <w:uiPriority w:val="39"/>
    <w:rsid w:val="00B7412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7412F"/>
    <w:pPr>
      <w:tabs>
        <w:tab w:val="clear" w:pos="567"/>
        <w:tab w:val="left" w:pos="1276"/>
      </w:tabs>
      <w:spacing w:before="160"/>
      <w:ind w:left="1276" w:hanging="709"/>
    </w:pPr>
  </w:style>
  <w:style w:type="paragraph" w:styleId="TOC3">
    <w:name w:val="toc 3"/>
    <w:basedOn w:val="TOC2"/>
    <w:rsid w:val="00B7412F"/>
    <w:pPr>
      <w:tabs>
        <w:tab w:val="clear" w:pos="1276"/>
        <w:tab w:val="left" w:pos="2155"/>
      </w:tabs>
      <w:ind w:left="2155" w:hanging="879"/>
    </w:pPr>
  </w:style>
  <w:style w:type="paragraph" w:styleId="TOC4">
    <w:name w:val="toc 4"/>
    <w:basedOn w:val="TOC3"/>
    <w:rsid w:val="00B7412F"/>
    <w:pPr>
      <w:tabs>
        <w:tab w:val="left" w:pos="3261"/>
      </w:tabs>
      <w:spacing w:before="80"/>
      <w:ind w:left="3261" w:hanging="993"/>
    </w:pPr>
  </w:style>
  <w:style w:type="paragraph" w:styleId="TOC5">
    <w:name w:val="toc 5"/>
    <w:basedOn w:val="TOC4"/>
    <w:rsid w:val="00B7412F"/>
  </w:style>
  <w:style w:type="paragraph" w:styleId="TOC6">
    <w:name w:val="toc 6"/>
    <w:basedOn w:val="TOC4"/>
    <w:semiHidden/>
    <w:rsid w:val="00B7412F"/>
  </w:style>
  <w:style w:type="paragraph" w:styleId="TOC7">
    <w:name w:val="toc 7"/>
    <w:basedOn w:val="TOC4"/>
    <w:semiHidden/>
    <w:rsid w:val="00B7412F"/>
  </w:style>
  <w:style w:type="paragraph" w:styleId="TOC8">
    <w:name w:val="toc 8"/>
    <w:basedOn w:val="TOC4"/>
    <w:semiHidden/>
    <w:rsid w:val="00B7412F"/>
  </w:style>
  <w:style w:type="paragraph" w:customStyle="1" w:styleId="Annexref">
    <w:name w:val="Annex_ref"/>
    <w:basedOn w:val="Normal"/>
    <w:next w:val="Normalaftertitle"/>
    <w:rsid w:val="00B7412F"/>
    <w:pPr>
      <w:keepNext/>
      <w:keepLines/>
      <w:spacing w:after="280"/>
      <w:jc w:val="center"/>
    </w:pPr>
  </w:style>
  <w:style w:type="paragraph" w:customStyle="1" w:styleId="Appendixref">
    <w:name w:val="Appendix_ref"/>
    <w:basedOn w:val="Annexref"/>
    <w:next w:val="Normalaftertitle"/>
    <w:rsid w:val="00B7412F"/>
  </w:style>
  <w:style w:type="paragraph" w:customStyle="1" w:styleId="Tabletitle">
    <w:name w:val="Table_title"/>
    <w:basedOn w:val="Normal"/>
    <w:next w:val="Tablehead"/>
    <w:rsid w:val="00B7412F"/>
    <w:pPr>
      <w:keepNext/>
      <w:spacing w:before="0" w:after="120"/>
      <w:jc w:val="center"/>
    </w:pPr>
    <w:rPr>
      <w:b/>
    </w:rPr>
  </w:style>
  <w:style w:type="paragraph" w:customStyle="1" w:styleId="Summary">
    <w:name w:val="Summary"/>
    <w:basedOn w:val="Normal"/>
    <w:next w:val="Normalaftertitle"/>
    <w:rsid w:val="00B7412F"/>
    <w:pPr>
      <w:spacing w:after="480"/>
    </w:pPr>
    <w:rPr>
      <w:sz w:val="22"/>
      <w:lang w:val="es-ES_tradnl"/>
    </w:rPr>
  </w:style>
  <w:style w:type="paragraph" w:customStyle="1" w:styleId="TableLegendNote">
    <w:name w:val="Table_Legend_Note"/>
    <w:basedOn w:val="Tablelegend"/>
    <w:next w:val="Tablelegend"/>
    <w:rsid w:val="00B7412F"/>
    <w:pPr>
      <w:ind w:left="-85" w:firstLine="0"/>
    </w:pPr>
    <w:rPr>
      <w:lang w:val="en-US"/>
    </w:rPr>
  </w:style>
  <w:style w:type="character" w:styleId="Hyperlink">
    <w:name w:val="Hyperlink"/>
    <w:basedOn w:val="DefaultParagraphFont"/>
    <w:uiPriority w:val="99"/>
    <w:rsid w:val="00E52477"/>
    <w:rPr>
      <w:color w:val="0000FF"/>
      <w:u w:val="single"/>
    </w:rPr>
  </w:style>
  <w:style w:type="paragraph" w:customStyle="1" w:styleId="Normalaftertitle0">
    <w:name w:val="Normal after title"/>
    <w:basedOn w:val="Normal"/>
    <w:next w:val="Normal"/>
    <w:uiPriority w:val="99"/>
    <w:rsid w:val="00D24B27"/>
    <w:pPr>
      <w:tabs>
        <w:tab w:val="clear" w:pos="794"/>
        <w:tab w:val="clear" w:pos="1191"/>
        <w:tab w:val="clear" w:pos="1588"/>
        <w:tab w:val="clear" w:pos="1985"/>
        <w:tab w:val="left" w:pos="1134"/>
        <w:tab w:val="left" w:pos="1871"/>
        <w:tab w:val="left" w:pos="2268"/>
      </w:tabs>
      <w:spacing w:before="280"/>
      <w:jc w:val="left"/>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DA379-62B1-4A98-A21F-972F454D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336</TotalTime>
  <Pages>16</Pages>
  <Words>4478</Words>
  <Characters>21435</Characters>
  <Application>Microsoft Office Word</Application>
  <DocSecurity>0</DocSecurity>
  <Lines>178</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santosbo</cp:lastModifiedBy>
  <cp:revision>21</cp:revision>
  <cp:lastPrinted>2005-02-10T15:54:00Z</cp:lastPrinted>
  <dcterms:created xsi:type="dcterms:W3CDTF">2011-02-02T10:53:00Z</dcterms:created>
  <dcterms:modified xsi:type="dcterms:W3CDTF">2011-02-08T12:38:00Z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