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263F6F" w:rsidRDefault="00FE79FE">
      <w:pPr>
        <w:rPr>
          <w:lang w:val="en-GB"/>
        </w:rPr>
      </w:pPr>
    </w:p>
    <w:p w14:paraId="5603BCA3" w14:textId="77777777" w:rsidR="00FE79FE" w:rsidRPr="00263F6F" w:rsidRDefault="00FE79FE">
      <w:pPr>
        <w:rPr>
          <w:lang w:val="en-GB"/>
        </w:rPr>
      </w:pPr>
    </w:p>
    <w:p w14:paraId="68689AFE" w14:textId="77777777" w:rsidR="00FE79FE" w:rsidRPr="00263F6F" w:rsidRDefault="00FE79FE">
      <w:pPr>
        <w:rPr>
          <w:lang w:val="en-GB"/>
        </w:rPr>
      </w:pPr>
    </w:p>
    <w:p w14:paraId="100F040D" w14:textId="77777777" w:rsidR="00FE79FE" w:rsidRPr="00263F6F" w:rsidRDefault="00FE79FE">
      <w:pPr>
        <w:rPr>
          <w:lang w:val="en-GB"/>
        </w:rPr>
      </w:pPr>
    </w:p>
    <w:p w14:paraId="2B1B3147" w14:textId="77777777" w:rsidR="00FE79FE" w:rsidRPr="00263F6F" w:rsidRDefault="00FE79FE">
      <w:pPr>
        <w:rPr>
          <w:lang w:val="en-GB"/>
        </w:rPr>
      </w:pPr>
    </w:p>
    <w:p w14:paraId="4D3E405E" w14:textId="77777777" w:rsidR="00013002" w:rsidRPr="00263F6F" w:rsidRDefault="00013002">
      <w:pPr>
        <w:rPr>
          <w:lang w:val="en-GB"/>
        </w:rPr>
      </w:pPr>
    </w:p>
    <w:p w14:paraId="68382C3D" w14:textId="77777777" w:rsidR="00013002" w:rsidRPr="00263F6F" w:rsidRDefault="00013002">
      <w:pPr>
        <w:rPr>
          <w:lang w:val="en-GB"/>
        </w:rPr>
      </w:pPr>
    </w:p>
    <w:p w14:paraId="4E06150C" w14:textId="77777777" w:rsidR="00013002" w:rsidRPr="00263F6F" w:rsidRDefault="00013002">
      <w:pPr>
        <w:rPr>
          <w:lang w:val="en-GB"/>
        </w:rPr>
      </w:pPr>
    </w:p>
    <w:p w14:paraId="5A6254FC" w14:textId="77777777" w:rsidR="00FE79FE" w:rsidRPr="00263F6F" w:rsidRDefault="00FE79FE">
      <w:pPr>
        <w:rPr>
          <w:lang w:val="en-GB"/>
        </w:rPr>
      </w:pPr>
    </w:p>
    <w:p w14:paraId="09632968" w14:textId="77777777" w:rsidR="00FE79FE" w:rsidRPr="00263F6F" w:rsidRDefault="00FE79FE">
      <w:pPr>
        <w:rPr>
          <w:lang w:val="en-GB"/>
        </w:rPr>
      </w:pPr>
    </w:p>
    <w:p w14:paraId="3C3836CD" w14:textId="77777777" w:rsidR="00FE79FE" w:rsidRPr="00263F6F" w:rsidRDefault="00FE79FE">
      <w:pPr>
        <w:rPr>
          <w:lang w:val="en-GB"/>
        </w:rPr>
      </w:pPr>
    </w:p>
    <w:p w14:paraId="539B1CE8" w14:textId="77777777" w:rsidR="00FE79FE" w:rsidRPr="00263F6F" w:rsidRDefault="00FE79FE">
      <w:pPr>
        <w:rPr>
          <w:lang w:val="en-GB"/>
        </w:rPr>
      </w:pPr>
    </w:p>
    <w:tbl>
      <w:tblPr>
        <w:tblW w:w="10089" w:type="dxa"/>
        <w:tblLook w:val="01E0" w:firstRow="1" w:lastRow="1" w:firstColumn="1" w:lastColumn="1" w:noHBand="0" w:noVBand="0"/>
      </w:tblPr>
      <w:tblGrid>
        <w:gridCol w:w="10089"/>
      </w:tblGrid>
      <w:tr w:rsidR="00FE79FE" w:rsidRPr="00263F6F" w14:paraId="4FBD16F1" w14:textId="77777777" w:rsidTr="004C5120">
        <w:tc>
          <w:tcPr>
            <w:tcW w:w="10089" w:type="dxa"/>
          </w:tcPr>
          <w:p w14:paraId="00B0C03C" w14:textId="77777777" w:rsidR="00276D21" w:rsidRPr="00263F6F" w:rsidRDefault="00D73FBE" w:rsidP="004C5120">
            <w:pPr>
              <w:spacing w:before="380" w:line="280" w:lineRule="exact"/>
              <w:jc w:val="right"/>
              <w:rPr>
                <w:rFonts w:ascii="Tahoma" w:hAnsi="Tahoma" w:cs="Tahoma"/>
                <w:b/>
                <w:bCs/>
                <w:iCs/>
                <w:color w:val="509141"/>
                <w:sz w:val="32"/>
                <w:szCs w:val="32"/>
                <w:lang w:val="en-GB"/>
              </w:rPr>
            </w:pPr>
            <w:r w:rsidRPr="00263F6F">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65pt" o:ole="">
                  <v:imagedata r:id="rId8" o:title=""/>
                </v:shape>
                <o:OLEObject Type="Embed" ProgID="Equation.3" ShapeID="_x0000_i1025" DrawAspect="Content" ObjectID="_1734437019" r:id="rId9"/>
              </w:object>
            </w:r>
          </w:p>
          <w:p w14:paraId="17CB6A02" w14:textId="04A8006F" w:rsidR="00FE79FE" w:rsidRPr="00263F6F" w:rsidRDefault="00FE79FE" w:rsidP="00296EE3">
            <w:pPr>
              <w:spacing w:before="380" w:line="280" w:lineRule="exact"/>
              <w:jc w:val="right"/>
              <w:rPr>
                <w:rFonts w:ascii="Tahoma" w:hAnsi="Tahoma" w:cs="Tahoma"/>
                <w:b/>
                <w:bCs/>
                <w:iCs/>
                <w:color w:val="509141"/>
                <w:sz w:val="36"/>
                <w:szCs w:val="36"/>
                <w:lang w:val="en-GB"/>
              </w:rPr>
            </w:pPr>
            <w:r w:rsidRPr="00263F6F">
              <w:rPr>
                <w:rFonts w:ascii="Tahoma" w:hAnsi="Tahoma" w:cs="Tahoma"/>
                <w:b/>
                <w:bCs/>
                <w:iCs/>
                <w:color w:val="509141"/>
                <w:sz w:val="36"/>
                <w:szCs w:val="36"/>
                <w:lang w:val="en-GB"/>
              </w:rPr>
              <w:t>R</w:t>
            </w:r>
            <w:r w:rsidR="00526063" w:rsidRPr="00263F6F">
              <w:rPr>
                <w:rFonts w:ascii="Tahoma" w:hAnsi="Tahoma" w:cs="Tahoma"/>
                <w:b/>
                <w:bCs/>
                <w:iCs/>
                <w:color w:val="509141"/>
                <w:sz w:val="36"/>
                <w:szCs w:val="36"/>
                <w:lang w:val="en-GB"/>
              </w:rPr>
              <w:t>eport</w:t>
            </w:r>
            <w:r w:rsidRPr="00263F6F">
              <w:rPr>
                <w:rFonts w:ascii="Tahoma" w:hAnsi="Tahoma" w:cs="Tahoma"/>
                <w:b/>
                <w:bCs/>
                <w:iCs/>
                <w:color w:val="509141"/>
                <w:sz w:val="36"/>
                <w:szCs w:val="36"/>
                <w:lang w:val="en-GB"/>
              </w:rPr>
              <w:t xml:space="preserve">  ITU-R  </w:t>
            </w:r>
            <w:r w:rsidR="002F00DE" w:rsidRPr="00263F6F">
              <w:rPr>
                <w:rFonts w:ascii="Tahoma" w:hAnsi="Tahoma" w:cs="Tahoma"/>
                <w:b/>
                <w:bCs/>
                <w:iCs/>
                <w:color w:val="509141"/>
                <w:sz w:val="36"/>
                <w:szCs w:val="36"/>
                <w:lang w:val="en-GB"/>
              </w:rPr>
              <w:t>M</w:t>
            </w:r>
            <w:r w:rsidRPr="00263F6F">
              <w:rPr>
                <w:rFonts w:ascii="Tahoma" w:hAnsi="Tahoma" w:cs="Tahoma"/>
                <w:b/>
                <w:bCs/>
                <w:iCs/>
                <w:color w:val="509141"/>
                <w:sz w:val="36"/>
                <w:szCs w:val="36"/>
                <w:lang w:val="en-GB"/>
              </w:rPr>
              <w:t>.</w:t>
            </w:r>
            <w:r w:rsidR="00AA78CC" w:rsidRPr="00263F6F">
              <w:rPr>
                <w:rFonts w:ascii="Tahoma" w:hAnsi="Tahoma" w:cs="Tahoma"/>
                <w:b/>
                <w:bCs/>
                <w:iCs/>
                <w:color w:val="509141"/>
                <w:sz w:val="36"/>
                <w:szCs w:val="36"/>
                <w:lang w:val="en-GB"/>
              </w:rPr>
              <w:t>2</w:t>
            </w:r>
            <w:r w:rsidR="0044127F" w:rsidRPr="00263F6F">
              <w:rPr>
                <w:rFonts w:ascii="Tahoma" w:hAnsi="Tahoma" w:cs="Tahoma"/>
                <w:b/>
                <w:bCs/>
                <w:iCs/>
                <w:color w:val="509141"/>
                <w:sz w:val="36"/>
                <w:szCs w:val="36"/>
                <w:lang w:val="en-GB"/>
              </w:rPr>
              <w:t>51</w:t>
            </w:r>
            <w:r w:rsidR="00292129" w:rsidRPr="00263F6F">
              <w:rPr>
                <w:rFonts w:ascii="Tahoma" w:hAnsi="Tahoma" w:cs="Tahoma"/>
                <w:b/>
                <w:bCs/>
                <w:iCs/>
                <w:color w:val="509141"/>
                <w:sz w:val="36"/>
                <w:szCs w:val="36"/>
                <w:lang w:val="en-GB"/>
              </w:rPr>
              <w:t>7</w:t>
            </w:r>
            <w:r w:rsidR="00AA78CC" w:rsidRPr="00263F6F">
              <w:rPr>
                <w:rFonts w:ascii="Tahoma" w:hAnsi="Tahoma" w:cs="Tahoma"/>
                <w:b/>
                <w:bCs/>
                <w:iCs/>
                <w:color w:val="509141"/>
                <w:sz w:val="36"/>
                <w:szCs w:val="36"/>
                <w:lang w:val="en-GB"/>
              </w:rPr>
              <w:t>-0</w:t>
            </w:r>
          </w:p>
          <w:p w14:paraId="71AE88A5" w14:textId="687CB54B" w:rsidR="00FE79FE" w:rsidRPr="00263F6F" w:rsidRDefault="00FE79FE" w:rsidP="00AA78CC">
            <w:pPr>
              <w:spacing w:before="80" w:line="280" w:lineRule="exact"/>
              <w:jc w:val="right"/>
              <w:rPr>
                <w:rFonts w:ascii="Tahoma" w:hAnsi="Tahoma" w:cs="Tahoma"/>
                <w:iCs/>
                <w:color w:val="509141"/>
                <w:szCs w:val="24"/>
                <w:lang w:val="en-GB"/>
              </w:rPr>
            </w:pPr>
            <w:r w:rsidRPr="00263F6F">
              <w:rPr>
                <w:rFonts w:ascii="Tahoma" w:hAnsi="Tahoma" w:cs="Tahoma"/>
                <w:b/>
                <w:bCs/>
                <w:iCs/>
                <w:color w:val="509141"/>
                <w:szCs w:val="24"/>
                <w:lang w:val="en-GB"/>
              </w:rPr>
              <w:t>(</w:t>
            </w:r>
            <w:r w:rsidR="005B54A0" w:rsidRPr="00263F6F">
              <w:rPr>
                <w:rFonts w:ascii="Tahoma" w:hAnsi="Tahoma" w:cs="Tahoma"/>
                <w:b/>
                <w:bCs/>
                <w:iCs/>
                <w:color w:val="509141"/>
                <w:szCs w:val="24"/>
                <w:lang w:val="en-GB"/>
              </w:rPr>
              <w:t>11</w:t>
            </w:r>
            <w:r w:rsidRPr="00263F6F">
              <w:rPr>
                <w:rFonts w:ascii="Tahoma" w:hAnsi="Tahoma" w:cs="Tahoma"/>
                <w:b/>
                <w:bCs/>
                <w:iCs/>
                <w:color w:val="509141"/>
                <w:szCs w:val="24"/>
                <w:lang w:val="en-GB"/>
              </w:rPr>
              <w:t>/</w:t>
            </w:r>
            <w:r w:rsidR="00AA78CC" w:rsidRPr="00263F6F">
              <w:rPr>
                <w:rFonts w:ascii="Tahoma" w:hAnsi="Tahoma" w:cs="Tahoma"/>
                <w:b/>
                <w:bCs/>
                <w:iCs/>
                <w:color w:val="509141"/>
                <w:szCs w:val="24"/>
                <w:lang w:val="en-GB"/>
              </w:rPr>
              <w:t>20</w:t>
            </w:r>
            <w:r w:rsidR="00FE62A1" w:rsidRPr="00263F6F">
              <w:rPr>
                <w:rFonts w:ascii="Tahoma" w:hAnsi="Tahoma" w:cs="Tahoma"/>
                <w:b/>
                <w:bCs/>
                <w:iCs/>
                <w:color w:val="509141"/>
                <w:szCs w:val="24"/>
                <w:lang w:val="en-GB"/>
              </w:rPr>
              <w:t>2</w:t>
            </w:r>
            <w:r w:rsidR="00830D06" w:rsidRPr="00263F6F">
              <w:rPr>
                <w:rFonts w:ascii="Tahoma" w:hAnsi="Tahoma" w:cs="Tahoma"/>
                <w:b/>
                <w:bCs/>
                <w:iCs/>
                <w:color w:val="509141"/>
                <w:szCs w:val="24"/>
                <w:lang w:val="en-GB"/>
              </w:rPr>
              <w:t>2</w:t>
            </w:r>
            <w:r w:rsidRPr="00263F6F">
              <w:rPr>
                <w:rFonts w:ascii="Tahoma" w:hAnsi="Tahoma" w:cs="Tahoma"/>
                <w:b/>
                <w:bCs/>
                <w:iCs/>
                <w:color w:val="509141"/>
                <w:szCs w:val="24"/>
                <w:lang w:val="en-GB"/>
              </w:rPr>
              <w:t>)</w:t>
            </w:r>
          </w:p>
        </w:tc>
      </w:tr>
      <w:tr w:rsidR="00FE79FE" w:rsidRPr="000914BC" w14:paraId="04527458" w14:textId="77777777" w:rsidTr="004C5120">
        <w:tc>
          <w:tcPr>
            <w:tcW w:w="10089" w:type="dxa"/>
          </w:tcPr>
          <w:p w14:paraId="2425FA7D" w14:textId="5D7B9221" w:rsidR="00013002" w:rsidRPr="00263F6F"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263F6F" w:rsidRDefault="00010AE5" w:rsidP="004C5120">
            <w:pPr>
              <w:spacing w:before="80" w:line="500" w:lineRule="exact"/>
              <w:jc w:val="right"/>
              <w:rPr>
                <w:rFonts w:ascii="Tahoma" w:hAnsi="Tahoma" w:cs="Tahoma"/>
                <w:b/>
                <w:bCs/>
                <w:iCs/>
                <w:color w:val="509141"/>
                <w:sz w:val="44"/>
                <w:szCs w:val="44"/>
                <w:lang w:val="en-GB"/>
              </w:rPr>
            </w:pPr>
          </w:p>
          <w:p w14:paraId="008216D6" w14:textId="4C65763E" w:rsidR="006D05D4" w:rsidRPr="00263F6F" w:rsidRDefault="00D41589" w:rsidP="006D05D4">
            <w:pPr>
              <w:spacing w:before="80" w:line="500" w:lineRule="exact"/>
              <w:jc w:val="right"/>
              <w:rPr>
                <w:rFonts w:ascii="Tahoma" w:hAnsi="Tahoma" w:cs="Tahoma"/>
                <w:b/>
                <w:bCs/>
                <w:iCs/>
                <w:color w:val="509141"/>
                <w:sz w:val="44"/>
                <w:szCs w:val="44"/>
                <w:lang w:val="en-GB"/>
              </w:rPr>
            </w:pPr>
            <w:bookmarkStart w:id="0" w:name="_Hlk107566785"/>
            <w:r w:rsidRPr="00263F6F">
              <w:rPr>
                <w:rFonts w:ascii="Tahoma" w:hAnsi="Tahoma" w:cs="Tahoma"/>
                <w:b/>
                <w:bCs/>
                <w:iCs/>
                <w:color w:val="509141"/>
                <w:sz w:val="44"/>
                <w:szCs w:val="44"/>
                <w:lang w:val="en-GB"/>
              </w:rPr>
              <w:t xml:space="preserve">Coexistence between land-mobile and </w:t>
            </w:r>
            <w:r w:rsidR="00E953AF" w:rsidRPr="00263F6F">
              <w:rPr>
                <w:rFonts w:ascii="Tahoma" w:hAnsi="Tahoma" w:cs="Tahoma"/>
                <w:b/>
                <w:bCs/>
                <w:iCs/>
                <w:color w:val="509141"/>
                <w:sz w:val="44"/>
                <w:szCs w:val="44"/>
                <w:lang w:val="en-GB"/>
              </w:rPr>
              <w:br/>
            </w:r>
            <w:r w:rsidRPr="00263F6F">
              <w:rPr>
                <w:rFonts w:ascii="Tahoma" w:hAnsi="Tahoma" w:cs="Tahoma"/>
                <w:b/>
                <w:bCs/>
                <w:iCs/>
                <w:color w:val="509141"/>
                <w:sz w:val="44"/>
                <w:szCs w:val="44"/>
                <w:lang w:val="en-GB"/>
              </w:rPr>
              <w:t xml:space="preserve">fixed service applications operating </w:t>
            </w:r>
            <w:r w:rsidR="00E953AF" w:rsidRPr="00263F6F">
              <w:rPr>
                <w:rFonts w:ascii="Tahoma" w:hAnsi="Tahoma" w:cs="Tahoma"/>
                <w:b/>
                <w:bCs/>
                <w:iCs/>
                <w:color w:val="509141"/>
                <w:sz w:val="44"/>
                <w:szCs w:val="44"/>
                <w:lang w:val="en-GB"/>
              </w:rPr>
              <w:t>in</w:t>
            </w:r>
            <w:r w:rsidR="00E953AF" w:rsidRPr="00263F6F">
              <w:rPr>
                <w:rFonts w:ascii="Tahoma" w:hAnsi="Tahoma" w:cs="Tahoma"/>
                <w:b/>
                <w:bCs/>
                <w:iCs/>
                <w:color w:val="509141"/>
                <w:sz w:val="44"/>
                <w:szCs w:val="44"/>
                <w:lang w:val="en-GB"/>
              </w:rPr>
              <w:br/>
            </w:r>
            <w:r w:rsidRPr="00263F6F">
              <w:rPr>
                <w:rFonts w:ascii="Tahoma" w:hAnsi="Tahoma" w:cs="Tahoma"/>
                <w:b/>
                <w:bCs/>
                <w:iCs/>
                <w:color w:val="509141"/>
                <w:sz w:val="44"/>
                <w:szCs w:val="44"/>
                <w:lang w:val="en-GB"/>
              </w:rPr>
              <w:t>the frequency range 252-296 GHz</w:t>
            </w:r>
            <w:r w:rsidR="005A0865" w:rsidRPr="00263F6F">
              <w:rPr>
                <w:rFonts w:ascii="Tahoma" w:hAnsi="Tahoma" w:cs="Tahoma"/>
                <w:b/>
                <w:bCs/>
                <w:iCs/>
                <w:color w:val="509141"/>
                <w:sz w:val="44"/>
                <w:szCs w:val="44"/>
                <w:lang w:val="en-GB"/>
              </w:rPr>
              <w:t xml:space="preserve"> </w:t>
            </w:r>
            <w:bookmarkEnd w:id="0"/>
          </w:p>
          <w:p w14:paraId="121D2CF5" w14:textId="72C54445" w:rsidR="00FE79FE" w:rsidRPr="00263F6F" w:rsidRDefault="00FE79FE" w:rsidP="006D05D4">
            <w:pPr>
              <w:spacing w:before="80" w:line="500" w:lineRule="exact"/>
              <w:jc w:val="right"/>
              <w:rPr>
                <w:rFonts w:ascii="Tahoma" w:hAnsi="Tahoma" w:cs="Tahoma"/>
                <w:b/>
                <w:bCs/>
                <w:iCs/>
                <w:color w:val="509141"/>
                <w:sz w:val="44"/>
                <w:szCs w:val="44"/>
                <w:lang w:val="en-GB"/>
              </w:rPr>
            </w:pPr>
          </w:p>
        </w:tc>
      </w:tr>
      <w:tr w:rsidR="00FE79FE" w:rsidRPr="00263F6F" w14:paraId="4D3A1061" w14:textId="77777777" w:rsidTr="004C5120">
        <w:tc>
          <w:tcPr>
            <w:tcW w:w="10089" w:type="dxa"/>
          </w:tcPr>
          <w:p w14:paraId="6A46166E" w14:textId="77777777" w:rsidR="007B203C" w:rsidRPr="00263F6F"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263F6F"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263F6F"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263F6F"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263F6F" w:rsidRDefault="002F00DE" w:rsidP="004C5120">
            <w:pPr>
              <w:spacing w:before="80" w:after="180" w:line="360" w:lineRule="exact"/>
              <w:jc w:val="right"/>
              <w:rPr>
                <w:rFonts w:ascii="Tahoma" w:hAnsi="Tahoma" w:cs="Tahoma"/>
                <w:b/>
                <w:bCs/>
                <w:iCs/>
                <w:color w:val="509141"/>
                <w:sz w:val="36"/>
                <w:szCs w:val="36"/>
                <w:lang w:val="en-GB"/>
              </w:rPr>
            </w:pPr>
            <w:r w:rsidRPr="00263F6F">
              <w:rPr>
                <w:rFonts w:ascii="Tahoma" w:hAnsi="Tahoma" w:cs="Tahoma"/>
                <w:b/>
                <w:bCs/>
                <w:iCs/>
                <w:color w:val="509141"/>
                <w:sz w:val="36"/>
                <w:szCs w:val="36"/>
                <w:lang w:val="en-GB"/>
              </w:rPr>
              <w:t>M</w:t>
            </w:r>
            <w:r w:rsidR="00FE79FE" w:rsidRPr="00263F6F">
              <w:rPr>
                <w:rFonts w:ascii="Tahoma" w:hAnsi="Tahoma" w:cs="Tahoma"/>
                <w:b/>
                <w:bCs/>
                <w:iCs/>
                <w:color w:val="509141"/>
                <w:sz w:val="36"/>
                <w:szCs w:val="36"/>
                <w:lang w:val="en-GB"/>
              </w:rPr>
              <w:t xml:space="preserve"> Series</w:t>
            </w:r>
          </w:p>
          <w:p w14:paraId="3F08D6D5" w14:textId="77777777" w:rsidR="009F0D75" w:rsidRPr="00263F6F" w:rsidRDefault="002F00DE" w:rsidP="004C5120">
            <w:pPr>
              <w:spacing w:before="80" w:line="420" w:lineRule="exact"/>
              <w:jc w:val="right"/>
              <w:rPr>
                <w:rFonts w:ascii="Tahoma" w:hAnsi="Tahoma" w:cs="Tahoma"/>
                <w:b/>
                <w:bCs/>
                <w:iCs/>
                <w:color w:val="509141"/>
                <w:sz w:val="36"/>
                <w:szCs w:val="36"/>
                <w:lang w:val="en-GB"/>
              </w:rPr>
            </w:pPr>
            <w:r w:rsidRPr="00263F6F">
              <w:rPr>
                <w:rFonts w:ascii="Tahoma" w:hAnsi="Tahoma" w:cs="Tahoma"/>
                <w:b/>
                <w:bCs/>
                <w:iCs/>
                <w:color w:val="509141"/>
                <w:sz w:val="36"/>
                <w:szCs w:val="36"/>
                <w:lang w:val="en-GB"/>
              </w:rPr>
              <w:t>Mobile, radiodetermination, amateur</w:t>
            </w:r>
          </w:p>
          <w:p w14:paraId="51268145" w14:textId="77777777" w:rsidR="00FE79FE" w:rsidRPr="00263F6F" w:rsidRDefault="002F00DE" w:rsidP="00AF0C96">
            <w:pPr>
              <w:spacing w:before="80" w:line="420" w:lineRule="exact"/>
              <w:jc w:val="right"/>
              <w:rPr>
                <w:rFonts w:ascii="Tahoma" w:hAnsi="Tahoma" w:cs="Tahoma"/>
                <w:b/>
                <w:bCs/>
                <w:iCs/>
                <w:color w:val="509141"/>
                <w:sz w:val="36"/>
                <w:szCs w:val="36"/>
                <w:lang w:val="en-GB"/>
              </w:rPr>
            </w:pPr>
            <w:r w:rsidRPr="00263F6F">
              <w:rPr>
                <w:rFonts w:ascii="Tahoma" w:hAnsi="Tahoma" w:cs="Tahoma"/>
                <w:b/>
                <w:bCs/>
                <w:iCs/>
                <w:color w:val="509141"/>
                <w:sz w:val="36"/>
                <w:szCs w:val="36"/>
                <w:lang w:val="en-GB"/>
              </w:rPr>
              <w:t>and related satellite services</w:t>
            </w:r>
          </w:p>
        </w:tc>
      </w:tr>
    </w:tbl>
    <w:p w14:paraId="47932AAF" w14:textId="77777777" w:rsidR="00A71FE5" w:rsidRPr="00263F6F" w:rsidRDefault="00A71FE5" w:rsidP="00CD659B">
      <w:pPr>
        <w:spacing w:before="80"/>
        <w:rPr>
          <w:i/>
          <w:sz w:val="22"/>
          <w:lang w:val="en-GB"/>
        </w:rPr>
      </w:pPr>
    </w:p>
    <w:p w14:paraId="73D9666B" w14:textId="77777777" w:rsidR="00FE79FE" w:rsidRPr="00263F6F" w:rsidRDefault="00FE79FE" w:rsidP="00CD659B">
      <w:pPr>
        <w:spacing w:before="80"/>
        <w:rPr>
          <w:i/>
          <w:sz w:val="22"/>
          <w:lang w:val="en-GB"/>
        </w:rPr>
      </w:pPr>
    </w:p>
    <w:p w14:paraId="763B17D2" w14:textId="77777777" w:rsidR="00FE79FE" w:rsidRPr="00263F6F" w:rsidRDefault="00FE79FE" w:rsidP="00CD659B">
      <w:pPr>
        <w:spacing w:before="80"/>
        <w:rPr>
          <w:i/>
          <w:sz w:val="22"/>
          <w:lang w:val="en-GB"/>
        </w:rPr>
      </w:pPr>
    </w:p>
    <w:p w14:paraId="540DC45B" w14:textId="77777777" w:rsidR="00FE79FE" w:rsidRPr="00263F6F" w:rsidRDefault="00FE79FE" w:rsidP="00CD659B">
      <w:pPr>
        <w:spacing w:before="80"/>
        <w:rPr>
          <w:i/>
          <w:sz w:val="22"/>
          <w:lang w:val="en-GB"/>
        </w:rPr>
      </w:pPr>
    </w:p>
    <w:p w14:paraId="2F32B4A5" w14:textId="77777777" w:rsidR="00FE79FE" w:rsidRPr="00263F6F" w:rsidRDefault="00FE79FE" w:rsidP="00CD659B">
      <w:pPr>
        <w:spacing w:before="80"/>
        <w:rPr>
          <w:i/>
          <w:sz w:val="22"/>
          <w:lang w:val="en-GB"/>
        </w:rPr>
      </w:pPr>
    </w:p>
    <w:p w14:paraId="4748F2C3" w14:textId="77777777" w:rsidR="00A71FE5" w:rsidRPr="00263F6F" w:rsidRDefault="00A71FE5" w:rsidP="00CD659B">
      <w:pPr>
        <w:spacing w:before="80"/>
        <w:rPr>
          <w:i/>
          <w:sz w:val="22"/>
          <w:lang w:val="en-GB"/>
        </w:rPr>
      </w:pPr>
    </w:p>
    <w:p w14:paraId="5495EDFE" w14:textId="77777777" w:rsidR="00CD659B" w:rsidRPr="00263F6F" w:rsidRDefault="00CD659B" w:rsidP="00CD659B">
      <w:pPr>
        <w:rPr>
          <w:rFonts w:ascii="Palatino Linotype" w:hAnsi="Palatino Linotype"/>
          <w:lang w:val="en-GB"/>
        </w:rPr>
        <w:sectPr w:rsidR="00CD659B" w:rsidRPr="00263F6F"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263F6F"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263F6F">
        <w:rPr>
          <w:bCs/>
          <w:sz w:val="24"/>
          <w:szCs w:val="24"/>
          <w:lang w:val="en-GB"/>
        </w:rPr>
        <w:lastRenderedPageBreak/>
        <w:t>Foreword</w:t>
      </w:r>
    </w:p>
    <w:p w14:paraId="790D54EB" w14:textId="77777777" w:rsidR="00CB60A4" w:rsidRPr="00263F6F" w:rsidRDefault="00CB60A4" w:rsidP="00CB60A4">
      <w:pPr>
        <w:spacing w:before="240"/>
        <w:rPr>
          <w:sz w:val="20"/>
          <w:lang w:val="en-GB"/>
        </w:rPr>
      </w:pPr>
      <w:r w:rsidRPr="00263F6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263F6F" w:rsidRDefault="00CB60A4" w:rsidP="00CB60A4">
      <w:pPr>
        <w:rPr>
          <w:sz w:val="20"/>
          <w:lang w:val="en-GB"/>
        </w:rPr>
      </w:pPr>
      <w:r w:rsidRPr="00263F6F">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263F6F" w:rsidRDefault="00505FB4" w:rsidP="00505FB4">
      <w:pPr>
        <w:pStyle w:val="Heading1"/>
        <w:spacing w:before="400"/>
        <w:jc w:val="center"/>
        <w:rPr>
          <w:szCs w:val="24"/>
          <w:lang w:val="en-GB"/>
        </w:rPr>
      </w:pPr>
    </w:p>
    <w:p w14:paraId="4FBF706D" w14:textId="77777777" w:rsidR="00CB60A4" w:rsidRPr="00263F6F"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2512294"/>
      <w:r w:rsidRPr="00263F6F">
        <w:rPr>
          <w:szCs w:val="24"/>
          <w:lang w:val="en-GB"/>
        </w:rPr>
        <w:t>Policy on Intellectual Property Right (IPR)</w:t>
      </w:r>
      <w:bookmarkEnd w:id="2"/>
      <w:bookmarkEnd w:id="3"/>
      <w:bookmarkEnd w:id="4"/>
      <w:bookmarkEnd w:id="5"/>
      <w:bookmarkEnd w:id="6"/>
      <w:bookmarkEnd w:id="7"/>
    </w:p>
    <w:p w14:paraId="7E48F6F6" w14:textId="3F22A9E8" w:rsidR="00CB60A4" w:rsidRPr="00263F6F" w:rsidRDefault="00CB60A4" w:rsidP="00B74892">
      <w:pPr>
        <w:tabs>
          <w:tab w:val="left" w:pos="720"/>
        </w:tabs>
        <w:spacing w:before="240"/>
        <w:rPr>
          <w:sz w:val="20"/>
          <w:lang w:val="en-GB"/>
        </w:rPr>
      </w:pPr>
      <w:r w:rsidRPr="00263F6F">
        <w:rPr>
          <w:sz w:val="20"/>
          <w:lang w:val="en-GB"/>
        </w:rPr>
        <w:t>ITU-R policy on IPR is described in the Common Patent Policy for ITU-T/ITU-R/ISO/IEC referenced in Resolution ITU</w:t>
      </w:r>
      <w:r w:rsidR="00FE62A1" w:rsidRPr="00263F6F">
        <w:rPr>
          <w:sz w:val="20"/>
          <w:lang w:val="en-GB"/>
        </w:rPr>
        <w:noBreakHyphen/>
      </w:r>
      <w:r w:rsidRPr="00263F6F">
        <w:rPr>
          <w:sz w:val="20"/>
          <w:lang w:val="en-GB"/>
        </w:rPr>
        <w:t xml:space="preserve">R 1. Forms to be used for the submission of patent statements and licensing declarations by patent holders are available from </w:t>
      </w:r>
      <w:hyperlink r:id="rId12" w:history="1">
        <w:r w:rsidRPr="00263F6F">
          <w:rPr>
            <w:rStyle w:val="Hyperlink"/>
            <w:sz w:val="20"/>
            <w:lang w:val="en-GB"/>
          </w:rPr>
          <w:t>http://www.itu.int/ITU</w:t>
        </w:r>
        <w:r w:rsidR="009030CC" w:rsidRPr="00263F6F">
          <w:rPr>
            <w:rStyle w:val="Hyperlink"/>
            <w:sz w:val="20"/>
            <w:lang w:val="en-GB"/>
          </w:rPr>
          <w:t>-</w:t>
        </w:r>
        <w:r w:rsidRPr="00263F6F">
          <w:rPr>
            <w:rStyle w:val="Hyperlink"/>
            <w:sz w:val="20"/>
            <w:lang w:val="en-GB"/>
          </w:rPr>
          <w:t>R/go/patents/en</w:t>
        </w:r>
      </w:hyperlink>
      <w:r w:rsidRPr="00263F6F">
        <w:rPr>
          <w:sz w:val="20"/>
          <w:lang w:val="en-GB"/>
        </w:rPr>
        <w:t xml:space="preserve"> where the Guidelines for Implementation of the Common Patent Policy for ITU</w:t>
      </w:r>
      <w:r w:rsidRPr="00263F6F">
        <w:rPr>
          <w:sz w:val="20"/>
          <w:lang w:val="en-GB"/>
        </w:rPr>
        <w:noBreakHyphen/>
        <w:t>T/ITU</w:t>
      </w:r>
      <w:r w:rsidRPr="00263F6F">
        <w:rPr>
          <w:sz w:val="20"/>
          <w:lang w:val="en-GB"/>
        </w:rPr>
        <w:noBreakHyphen/>
        <w:t xml:space="preserve">R/ISO/IEC and the ITU-R patent information database can also be found. </w:t>
      </w:r>
    </w:p>
    <w:p w14:paraId="503734C0" w14:textId="77777777" w:rsidR="00CB60A4" w:rsidRPr="00263F6F" w:rsidRDefault="00CB60A4" w:rsidP="00CB60A4">
      <w:pPr>
        <w:jc w:val="center"/>
        <w:rPr>
          <w:sz w:val="22"/>
          <w:lang w:val="en-GB"/>
        </w:rPr>
      </w:pPr>
    </w:p>
    <w:p w14:paraId="70EF8D7A" w14:textId="77777777" w:rsidR="00505FB4" w:rsidRPr="00263F6F" w:rsidRDefault="00505FB4" w:rsidP="00CB60A4">
      <w:pPr>
        <w:jc w:val="center"/>
        <w:rPr>
          <w:sz w:val="22"/>
          <w:lang w:val="en-GB"/>
        </w:rPr>
      </w:pPr>
    </w:p>
    <w:p w14:paraId="31137875" w14:textId="77777777" w:rsidR="00CB60A4" w:rsidRPr="00263F6F"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914BC"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263F6F" w:rsidRDefault="00CB60A4" w:rsidP="00C7761D">
            <w:pPr>
              <w:pStyle w:val="ChapNo"/>
              <w:spacing w:before="240"/>
              <w:rPr>
                <w:sz w:val="22"/>
                <w:szCs w:val="22"/>
                <w:lang w:val="en-GB"/>
              </w:rPr>
            </w:pPr>
            <w:r w:rsidRPr="00263F6F">
              <w:rPr>
                <w:sz w:val="22"/>
                <w:szCs w:val="22"/>
                <w:lang w:val="en-GB"/>
              </w:rPr>
              <w:t xml:space="preserve">Series of ITU-R </w:t>
            </w:r>
            <w:r w:rsidR="00505FB4" w:rsidRPr="00263F6F">
              <w:rPr>
                <w:sz w:val="22"/>
                <w:szCs w:val="22"/>
                <w:lang w:val="en-GB"/>
              </w:rPr>
              <w:t>Reports</w:t>
            </w:r>
            <w:r w:rsidRPr="00263F6F">
              <w:rPr>
                <w:sz w:val="22"/>
                <w:szCs w:val="22"/>
                <w:lang w:val="en-GB"/>
              </w:rPr>
              <w:t xml:space="preserve"> </w:t>
            </w:r>
          </w:p>
          <w:p w14:paraId="667CE00E"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63F6F">
              <w:rPr>
                <w:b w:val="0"/>
                <w:sz w:val="18"/>
                <w:szCs w:val="18"/>
                <w:lang w:val="en-GB"/>
              </w:rPr>
              <w:t xml:space="preserve">(Also available online at </w:t>
            </w:r>
            <w:hyperlink r:id="rId13" w:history="1">
              <w:r w:rsidR="009030CC" w:rsidRPr="00263F6F">
                <w:rPr>
                  <w:rStyle w:val="Hyperlink"/>
                  <w:b w:val="0"/>
                  <w:bCs/>
                  <w:sz w:val="18"/>
                  <w:szCs w:val="18"/>
                  <w:lang w:val="en-GB"/>
                </w:rPr>
                <w:t>http://www.itu.int/publ</w:t>
              </w:r>
              <w:r w:rsidR="00505FB4" w:rsidRPr="00263F6F">
                <w:rPr>
                  <w:rStyle w:val="Hyperlink"/>
                  <w:b w:val="0"/>
                  <w:bCs/>
                  <w:sz w:val="18"/>
                  <w:szCs w:val="18"/>
                  <w:lang w:val="en-GB"/>
                </w:rPr>
                <w:t>/R-REP/en</w:t>
              </w:r>
            </w:hyperlink>
            <w:r w:rsidRPr="00263F6F">
              <w:rPr>
                <w:b w:val="0"/>
                <w:sz w:val="18"/>
                <w:szCs w:val="18"/>
                <w:lang w:val="en-GB"/>
              </w:rPr>
              <w:t>)</w:t>
            </w:r>
          </w:p>
        </w:tc>
      </w:tr>
      <w:tr w:rsidR="00CB60A4" w:rsidRPr="00263F6F" w14:paraId="46934188" w14:textId="77777777">
        <w:tc>
          <w:tcPr>
            <w:tcW w:w="1140" w:type="dxa"/>
            <w:tcBorders>
              <w:top w:val="nil"/>
              <w:left w:val="single" w:sz="12" w:space="0" w:color="000080"/>
              <w:bottom w:val="nil"/>
              <w:right w:val="nil"/>
            </w:tcBorders>
          </w:tcPr>
          <w:p w14:paraId="72B0CBDA" w14:textId="77777777" w:rsidR="00CB60A4" w:rsidRPr="00263F6F" w:rsidRDefault="00CB60A4">
            <w:pPr>
              <w:spacing w:before="200" w:after="100"/>
              <w:ind w:left="57"/>
              <w:rPr>
                <w:b/>
                <w:bCs/>
                <w:sz w:val="20"/>
                <w:lang w:val="en-GB"/>
              </w:rPr>
            </w:pPr>
            <w:r w:rsidRPr="00263F6F">
              <w:rPr>
                <w:b/>
                <w:bCs/>
                <w:sz w:val="20"/>
                <w:lang w:val="en-GB"/>
              </w:rPr>
              <w:t>Series</w:t>
            </w:r>
          </w:p>
        </w:tc>
        <w:tc>
          <w:tcPr>
            <w:tcW w:w="8220" w:type="dxa"/>
            <w:tcBorders>
              <w:top w:val="nil"/>
              <w:left w:val="nil"/>
              <w:bottom w:val="nil"/>
              <w:right w:val="single" w:sz="12" w:space="0" w:color="000080"/>
            </w:tcBorders>
          </w:tcPr>
          <w:p w14:paraId="0389551F"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63F6F">
              <w:rPr>
                <w:bCs/>
                <w:sz w:val="20"/>
                <w:lang w:val="en-GB"/>
              </w:rPr>
              <w:t>Title</w:t>
            </w:r>
          </w:p>
        </w:tc>
      </w:tr>
      <w:tr w:rsidR="00CB60A4" w:rsidRPr="00263F6F" w14:paraId="05F09962" w14:textId="77777777" w:rsidTr="002F00DE">
        <w:tc>
          <w:tcPr>
            <w:tcW w:w="1140" w:type="dxa"/>
            <w:tcBorders>
              <w:top w:val="nil"/>
              <w:left w:val="single" w:sz="12" w:space="0" w:color="000080"/>
              <w:bottom w:val="nil"/>
              <w:right w:val="nil"/>
            </w:tcBorders>
          </w:tcPr>
          <w:p w14:paraId="1A45CBE2" w14:textId="77777777" w:rsidR="00CB60A4" w:rsidRPr="00263F6F" w:rsidRDefault="00CB60A4">
            <w:pPr>
              <w:spacing w:before="30" w:after="30"/>
              <w:ind w:left="57"/>
              <w:jc w:val="left"/>
              <w:rPr>
                <w:b/>
                <w:bCs/>
                <w:sz w:val="20"/>
                <w:lang w:val="en-GB"/>
              </w:rPr>
            </w:pPr>
            <w:r w:rsidRPr="00263F6F">
              <w:rPr>
                <w:b/>
                <w:bCs/>
                <w:sz w:val="20"/>
                <w:lang w:val="en-GB"/>
              </w:rPr>
              <w:t>BO</w:t>
            </w:r>
          </w:p>
        </w:tc>
        <w:tc>
          <w:tcPr>
            <w:tcW w:w="8220" w:type="dxa"/>
            <w:tcBorders>
              <w:top w:val="nil"/>
              <w:left w:val="nil"/>
              <w:bottom w:val="nil"/>
              <w:right w:val="single" w:sz="12" w:space="0" w:color="000080"/>
            </w:tcBorders>
          </w:tcPr>
          <w:p w14:paraId="02AB6FE7"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263F6F">
              <w:rPr>
                <w:b w:val="0"/>
                <w:bCs/>
                <w:sz w:val="20"/>
                <w:lang w:val="en-GB"/>
              </w:rPr>
              <w:t>Satellite delivery</w:t>
            </w:r>
          </w:p>
        </w:tc>
      </w:tr>
      <w:tr w:rsidR="00CB60A4" w:rsidRPr="000914BC"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263F6F" w:rsidRDefault="00CB60A4">
            <w:pPr>
              <w:spacing w:before="30" w:after="30"/>
              <w:ind w:left="57"/>
              <w:jc w:val="left"/>
              <w:rPr>
                <w:rFonts w:ascii="Times New Roman Bold" w:hAnsi="Times New Roman Bold" w:cs="Times New Roman Bold"/>
                <w:b/>
                <w:bCs/>
                <w:sz w:val="20"/>
                <w:lang w:val="en-GB"/>
              </w:rPr>
            </w:pPr>
            <w:r w:rsidRPr="00263F6F">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63F6F">
              <w:rPr>
                <w:b w:val="0"/>
                <w:sz w:val="20"/>
                <w:lang w:val="en-GB"/>
              </w:rPr>
              <w:t>Recording for production, archival and play-out; film for television</w:t>
            </w:r>
          </w:p>
        </w:tc>
      </w:tr>
      <w:tr w:rsidR="00CB60A4" w:rsidRPr="00263F6F" w14:paraId="0FD816C9" w14:textId="77777777" w:rsidTr="009F0D75">
        <w:tc>
          <w:tcPr>
            <w:tcW w:w="1140" w:type="dxa"/>
            <w:tcBorders>
              <w:top w:val="nil"/>
              <w:left w:val="single" w:sz="12" w:space="0" w:color="000080"/>
              <w:bottom w:val="nil"/>
              <w:right w:val="nil"/>
            </w:tcBorders>
          </w:tcPr>
          <w:p w14:paraId="655D781A" w14:textId="77777777" w:rsidR="00CB60A4" w:rsidRPr="00263F6F" w:rsidRDefault="00CB60A4">
            <w:pPr>
              <w:spacing w:before="30" w:after="30"/>
              <w:ind w:left="57"/>
              <w:jc w:val="left"/>
              <w:rPr>
                <w:b/>
                <w:bCs/>
                <w:sz w:val="20"/>
                <w:lang w:val="en-GB"/>
              </w:rPr>
            </w:pPr>
            <w:r w:rsidRPr="00263F6F">
              <w:rPr>
                <w:b/>
                <w:bCs/>
                <w:sz w:val="20"/>
                <w:lang w:val="en-GB"/>
              </w:rPr>
              <w:t>BS</w:t>
            </w:r>
          </w:p>
        </w:tc>
        <w:tc>
          <w:tcPr>
            <w:tcW w:w="8220" w:type="dxa"/>
            <w:tcBorders>
              <w:top w:val="nil"/>
              <w:left w:val="nil"/>
              <w:bottom w:val="nil"/>
              <w:right w:val="single" w:sz="12" w:space="0" w:color="000080"/>
            </w:tcBorders>
          </w:tcPr>
          <w:p w14:paraId="4DD56D8A"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63F6F">
              <w:rPr>
                <w:b w:val="0"/>
                <w:sz w:val="20"/>
                <w:lang w:val="en-GB"/>
              </w:rPr>
              <w:t>Broadcasting service (sound)</w:t>
            </w:r>
          </w:p>
        </w:tc>
      </w:tr>
      <w:tr w:rsidR="00CB60A4" w:rsidRPr="00263F6F"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263F6F" w:rsidRDefault="00CB60A4">
            <w:pPr>
              <w:spacing w:before="30" w:after="30"/>
              <w:ind w:left="57"/>
              <w:jc w:val="left"/>
              <w:rPr>
                <w:rFonts w:ascii="Times New Roman Bold" w:hAnsi="Times New Roman Bold" w:cs="Times New Roman Bold"/>
                <w:b/>
                <w:bCs/>
                <w:sz w:val="20"/>
                <w:lang w:val="en-GB"/>
              </w:rPr>
            </w:pPr>
            <w:r w:rsidRPr="00263F6F">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63F6F">
              <w:rPr>
                <w:b w:val="0"/>
                <w:sz w:val="20"/>
                <w:lang w:val="en-GB"/>
              </w:rPr>
              <w:t>Broadcasting service (television)</w:t>
            </w:r>
          </w:p>
        </w:tc>
      </w:tr>
      <w:tr w:rsidR="00CB60A4" w:rsidRPr="00263F6F" w14:paraId="005BCBD6" w14:textId="77777777" w:rsidTr="002F00DE">
        <w:tc>
          <w:tcPr>
            <w:tcW w:w="1140" w:type="dxa"/>
            <w:tcBorders>
              <w:top w:val="nil"/>
              <w:left w:val="single" w:sz="12" w:space="0" w:color="000080"/>
              <w:bottom w:val="nil"/>
              <w:right w:val="nil"/>
            </w:tcBorders>
          </w:tcPr>
          <w:p w14:paraId="733BDEAB" w14:textId="77777777" w:rsidR="00CB60A4" w:rsidRPr="00263F6F" w:rsidRDefault="00CB60A4">
            <w:pPr>
              <w:spacing w:before="30" w:after="30"/>
              <w:ind w:left="57"/>
              <w:jc w:val="left"/>
              <w:rPr>
                <w:b/>
                <w:bCs/>
                <w:sz w:val="20"/>
                <w:lang w:val="en-GB"/>
              </w:rPr>
            </w:pPr>
            <w:r w:rsidRPr="00263F6F">
              <w:rPr>
                <w:b/>
                <w:bCs/>
                <w:sz w:val="20"/>
                <w:lang w:val="en-GB"/>
              </w:rPr>
              <w:t>F</w:t>
            </w:r>
          </w:p>
        </w:tc>
        <w:tc>
          <w:tcPr>
            <w:tcW w:w="8220" w:type="dxa"/>
            <w:tcBorders>
              <w:top w:val="nil"/>
              <w:left w:val="nil"/>
              <w:bottom w:val="nil"/>
              <w:right w:val="single" w:sz="12" w:space="0" w:color="000080"/>
            </w:tcBorders>
          </w:tcPr>
          <w:p w14:paraId="5ADA3623" w14:textId="77777777" w:rsidR="00CB60A4" w:rsidRPr="00263F6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63F6F">
              <w:rPr>
                <w:sz w:val="20"/>
                <w:lang w:val="en-GB"/>
              </w:rPr>
              <w:t>Fixed service</w:t>
            </w:r>
          </w:p>
        </w:tc>
      </w:tr>
      <w:tr w:rsidR="00CB60A4" w:rsidRPr="00263F6F"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263F6F" w:rsidRDefault="00CB60A4">
            <w:pPr>
              <w:spacing w:before="30" w:after="30"/>
              <w:ind w:left="57"/>
              <w:jc w:val="left"/>
              <w:rPr>
                <w:b/>
                <w:bCs/>
                <w:color w:val="000080"/>
                <w:sz w:val="20"/>
                <w:lang w:val="en-GB"/>
              </w:rPr>
            </w:pPr>
            <w:r w:rsidRPr="00263F6F">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263F6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263F6F">
              <w:rPr>
                <w:bCs/>
                <w:color w:val="000080"/>
                <w:sz w:val="20"/>
                <w:lang w:val="en-GB"/>
              </w:rPr>
              <w:t>Mobile, radiodetermination, amateur and related satellite services</w:t>
            </w:r>
          </w:p>
        </w:tc>
      </w:tr>
      <w:tr w:rsidR="00CB60A4" w:rsidRPr="00263F6F" w14:paraId="3D228EE9" w14:textId="77777777">
        <w:tc>
          <w:tcPr>
            <w:tcW w:w="1140" w:type="dxa"/>
            <w:tcBorders>
              <w:top w:val="nil"/>
              <w:left w:val="single" w:sz="12" w:space="0" w:color="000080"/>
              <w:bottom w:val="nil"/>
              <w:right w:val="nil"/>
            </w:tcBorders>
          </w:tcPr>
          <w:p w14:paraId="16FE4E98" w14:textId="77777777" w:rsidR="00CB60A4" w:rsidRPr="00263F6F" w:rsidRDefault="00CB60A4">
            <w:pPr>
              <w:spacing w:before="30" w:after="30"/>
              <w:ind w:left="57"/>
              <w:jc w:val="left"/>
              <w:rPr>
                <w:b/>
                <w:bCs/>
                <w:sz w:val="20"/>
                <w:lang w:val="en-GB"/>
              </w:rPr>
            </w:pPr>
            <w:r w:rsidRPr="00263F6F">
              <w:rPr>
                <w:b/>
                <w:bCs/>
                <w:sz w:val="20"/>
                <w:lang w:val="en-GB"/>
              </w:rPr>
              <w:t>P</w:t>
            </w:r>
          </w:p>
        </w:tc>
        <w:tc>
          <w:tcPr>
            <w:tcW w:w="8220" w:type="dxa"/>
            <w:tcBorders>
              <w:top w:val="nil"/>
              <w:left w:val="nil"/>
              <w:bottom w:val="nil"/>
              <w:right w:val="single" w:sz="12" w:space="0" w:color="000080"/>
            </w:tcBorders>
          </w:tcPr>
          <w:p w14:paraId="3519E2E7" w14:textId="77777777" w:rsidR="00CB60A4" w:rsidRPr="00263F6F" w:rsidRDefault="00CB60A4">
            <w:pPr>
              <w:spacing w:before="30" w:after="30"/>
              <w:jc w:val="left"/>
              <w:rPr>
                <w:sz w:val="20"/>
                <w:lang w:val="en-GB"/>
              </w:rPr>
            </w:pPr>
            <w:r w:rsidRPr="00263F6F">
              <w:rPr>
                <w:sz w:val="20"/>
                <w:lang w:val="en-GB"/>
              </w:rPr>
              <w:t>Radiowave propagation</w:t>
            </w:r>
          </w:p>
        </w:tc>
      </w:tr>
      <w:tr w:rsidR="00CB60A4" w:rsidRPr="00263F6F" w14:paraId="474BBCC2" w14:textId="77777777">
        <w:tc>
          <w:tcPr>
            <w:tcW w:w="1140" w:type="dxa"/>
            <w:tcBorders>
              <w:top w:val="nil"/>
              <w:left w:val="single" w:sz="12" w:space="0" w:color="000080"/>
              <w:bottom w:val="nil"/>
              <w:right w:val="nil"/>
            </w:tcBorders>
          </w:tcPr>
          <w:p w14:paraId="71D1560F" w14:textId="77777777" w:rsidR="00CB60A4" w:rsidRPr="00263F6F" w:rsidRDefault="00CB60A4">
            <w:pPr>
              <w:spacing w:before="30" w:after="30"/>
              <w:ind w:left="57"/>
              <w:jc w:val="left"/>
              <w:rPr>
                <w:b/>
                <w:bCs/>
                <w:sz w:val="20"/>
                <w:lang w:val="en-GB"/>
              </w:rPr>
            </w:pPr>
            <w:r w:rsidRPr="00263F6F">
              <w:rPr>
                <w:b/>
                <w:bCs/>
                <w:sz w:val="20"/>
                <w:lang w:val="en-GB"/>
              </w:rPr>
              <w:t>RA</w:t>
            </w:r>
          </w:p>
        </w:tc>
        <w:tc>
          <w:tcPr>
            <w:tcW w:w="8220" w:type="dxa"/>
            <w:tcBorders>
              <w:top w:val="nil"/>
              <w:left w:val="nil"/>
              <w:bottom w:val="nil"/>
              <w:right w:val="single" w:sz="12" w:space="0" w:color="000080"/>
            </w:tcBorders>
          </w:tcPr>
          <w:p w14:paraId="06DF805A" w14:textId="77777777" w:rsidR="00CB60A4" w:rsidRPr="00263F6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63F6F">
              <w:rPr>
                <w:sz w:val="20"/>
                <w:lang w:val="en-GB"/>
              </w:rPr>
              <w:t>Radio astronomy</w:t>
            </w:r>
          </w:p>
        </w:tc>
      </w:tr>
      <w:tr w:rsidR="00CB60A4" w:rsidRPr="00263F6F" w14:paraId="4AA2AE86" w14:textId="77777777">
        <w:tc>
          <w:tcPr>
            <w:tcW w:w="1140" w:type="dxa"/>
            <w:tcBorders>
              <w:top w:val="nil"/>
              <w:left w:val="single" w:sz="12" w:space="0" w:color="000080"/>
              <w:bottom w:val="nil"/>
              <w:right w:val="nil"/>
            </w:tcBorders>
          </w:tcPr>
          <w:p w14:paraId="3F9543EE" w14:textId="77777777" w:rsidR="00CB60A4" w:rsidRPr="00263F6F" w:rsidRDefault="00CB60A4">
            <w:pPr>
              <w:spacing w:before="30" w:after="30"/>
              <w:ind w:left="57"/>
              <w:jc w:val="left"/>
              <w:rPr>
                <w:b/>
                <w:bCs/>
                <w:sz w:val="20"/>
                <w:lang w:val="en-GB"/>
              </w:rPr>
            </w:pPr>
            <w:r w:rsidRPr="00263F6F">
              <w:rPr>
                <w:b/>
                <w:bCs/>
                <w:sz w:val="20"/>
                <w:lang w:val="en-GB"/>
              </w:rPr>
              <w:t>RS</w:t>
            </w:r>
          </w:p>
        </w:tc>
        <w:tc>
          <w:tcPr>
            <w:tcW w:w="8220" w:type="dxa"/>
            <w:tcBorders>
              <w:top w:val="nil"/>
              <w:left w:val="nil"/>
              <w:bottom w:val="nil"/>
              <w:right w:val="single" w:sz="12" w:space="0" w:color="000080"/>
            </w:tcBorders>
          </w:tcPr>
          <w:p w14:paraId="5C5BD90D" w14:textId="77777777" w:rsidR="00CB60A4" w:rsidRPr="00263F6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63F6F">
              <w:rPr>
                <w:sz w:val="20"/>
                <w:lang w:val="en-GB"/>
              </w:rPr>
              <w:t>Remote sensing systems</w:t>
            </w:r>
          </w:p>
        </w:tc>
      </w:tr>
      <w:tr w:rsidR="00CD7A62" w:rsidRPr="00263F6F" w14:paraId="7DD5167D" w14:textId="77777777">
        <w:tc>
          <w:tcPr>
            <w:tcW w:w="1140" w:type="dxa"/>
            <w:tcBorders>
              <w:top w:val="nil"/>
              <w:left w:val="single" w:sz="12" w:space="0" w:color="000080"/>
              <w:bottom w:val="nil"/>
              <w:right w:val="nil"/>
            </w:tcBorders>
          </w:tcPr>
          <w:p w14:paraId="5E0E2C9C" w14:textId="77777777" w:rsidR="00CD7A62" w:rsidRPr="00263F6F" w:rsidRDefault="00CD7A62">
            <w:pPr>
              <w:spacing w:before="30" w:after="30"/>
              <w:ind w:left="57"/>
              <w:jc w:val="left"/>
              <w:rPr>
                <w:b/>
                <w:bCs/>
                <w:sz w:val="20"/>
                <w:lang w:val="en-GB"/>
              </w:rPr>
            </w:pPr>
            <w:r w:rsidRPr="00263F6F">
              <w:rPr>
                <w:b/>
                <w:bCs/>
                <w:sz w:val="20"/>
                <w:lang w:val="en-GB"/>
              </w:rPr>
              <w:t>S</w:t>
            </w:r>
          </w:p>
        </w:tc>
        <w:tc>
          <w:tcPr>
            <w:tcW w:w="8220" w:type="dxa"/>
            <w:tcBorders>
              <w:top w:val="nil"/>
              <w:left w:val="nil"/>
              <w:bottom w:val="nil"/>
              <w:right w:val="single" w:sz="12" w:space="0" w:color="000080"/>
            </w:tcBorders>
          </w:tcPr>
          <w:p w14:paraId="60D24605" w14:textId="77777777" w:rsidR="00CD7A62" w:rsidRPr="00263F6F" w:rsidRDefault="00CD7A62">
            <w:pPr>
              <w:spacing w:before="30" w:after="30"/>
              <w:jc w:val="left"/>
              <w:rPr>
                <w:sz w:val="20"/>
                <w:lang w:val="en-GB"/>
              </w:rPr>
            </w:pPr>
            <w:r w:rsidRPr="00263F6F">
              <w:rPr>
                <w:sz w:val="20"/>
                <w:lang w:val="en-GB"/>
              </w:rPr>
              <w:t>Fixed</w:t>
            </w:r>
            <w:r w:rsidR="00C07EAC" w:rsidRPr="00263F6F">
              <w:rPr>
                <w:sz w:val="20"/>
                <w:lang w:val="en-GB"/>
              </w:rPr>
              <w:t>-</w:t>
            </w:r>
            <w:r w:rsidRPr="00263F6F">
              <w:rPr>
                <w:sz w:val="20"/>
                <w:lang w:val="en-GB"/>
              </w:rPr>
              <w:t>satellite service</w:t>
            </w:r>
          </w:p>
        </w:tc>
      </w:tr>
      <w:tr w:rsidR="00CB60A4" w:rsidRPr="00263F6F" w14:paraId="75CFAA1A" w14:textId="77777777">
        <w:tc>
          <w:tcPr>
            <w:tcW w:w="1140" w:type="dxa"/>
            <w:tcBorders>
              <w:top w:val="nil"/>
              <w:left w:val="single" w:sz="12" w:space="0" w:color="000080"/>
              <w:bottom w:val="nil"/>
              <w:right w:val="nil"/>
            </w:tcBorders>
          </w:tcPr>
          <w:p w14:paraId="72CCB018" w14:textId="77777777" w:rsidR="00CB60A4" w:rsidRPr="00263F6F" w:rsidRDefault="00CB60A4">
            <w:pPr>
              <w:spacing w:before="30" w:after="30"/>
              <w:ind w:left="57"/>
              <w:jc w:val="left"/>
              <w:rPr>
                <w:b/>
                <w:bCs/>
                <w:sz w:val="20"/>
                <w:lang w:val="en-GB"/>
              </w:rPr>
            </w:pPr>
            <w:r w:rsidRPr="00263F6F">
              <w:rPr>
                <w:b/>
                <w:bCs/>
                <w:sz w:val="20"/>
                <w:lang w:val="en-GB"/>
              </w:rPr>
              <w:t>SA</w:t>
            </w:r>
          </w:p>
        </w:tc>
        <w:tc>
          <w:tcPr>
            <w:tcW w:w="8220" w:type="dxa"/>
            <w:tcBorders>
              <w:top w:val="nil"/>
              <w:left w:val="nil"/>
              <w:bottom w:val="nil"/>
              <w:right w:val="single" w:sz="12" w:space="0" w:color="000080"/>
            </w:tcBorders>
          </w:tcPr>
          <w:p w14:paraId="318C7E22" w14:textId="77777777" w:rsidR="00CB60A4" w:rsidRPr="00263F6F" w:rsidRDefault="00CB60A4">
            <w:pPr>
              <w:spacing w:before="30" w:after="30"/>
              <w:jc w:val="left"/>
              <w:rPr>
                <w:sz w:val="20"/>
                <w:lang w:val="en-GB"/>
              </w:rPr>
            </w:pPr>
            <w:r w:rsidRPr="00263F6F">
              <w:rPr>
                <w:sz w:val="20"/>
                <w:lang w:val="en-GB"/>
              </w:rPr>
              <w:t>Space applications and meteorology</w:t>
            </w:r>
          </w:p>
        </w:tc>
      </w:tr>
      <w:tr w:rsidR="00CB60A4" w:rsidRPr="000914BC" w14:paraId="1B7FF62E" w14:textId="77777777">
        <w:tc>
          <w:tcPr>
            <w:tcW w:w="1140" w:type="dxa"/>
            <w:tcBorders>
              <w:top w:val="nil"/>
              <w:left w:val="single" w:sz="12" w:space="0" w:color="000080"/>
              <w:bottom w:val="nil"/>
              <w:right w:val="nil"/>
            </w:tcBorders>
          </w:tcPr>
          <w:p w14:paraId="3ABD99C9" w14:textId="77777777" w:rsidR="00CB60A4" w:rsidRPr="00263F6F" w:rsidRDefault="00CB60A4">
            <w:pPr>
              <w:spacing w:before="30" w:after="30"/>
              <w:ind w:left="57"/>
              <w:jc w:val="left"/>
              <w:rPr>
                <w:b/>
                <w:bCs/>
                <w:sz w:val="20"/>
                <w:lang w:val="en-GB"/>
              </w:rPr>
            </w:pPr>
            <w:r w:rsidRPr="00263F6F">
              <w:rPr>
                <w:b/>
                <w:bCs/>
                <w:sz w:val="20"/>
                <w:lang w:val="en-GB"/>
              </w:rPr>
              <w:t>SF</w:t>
            </w:r>
          </w:p>
        </w:tc>
        <w:tc>
          <w:tcPr>
            <w:tcW w:w="8220" w:type="dxa"/>
            <w:tcBorders>
              <w:top w:val="nil"/>
              <w:left w:val="nil"/>
              <w:bottom w:val="nil"/>
              <w:right w:val="single" w:sz="12" w:space="0" w:color="000080"/>
            </w:tcBorders>
          </w:tcPr>
          <w:p w14:paraId="16C1950E" w14:textId="77777777" w:rsidR="00CB60A4" w:rsidRPr="00263F6F" w:rsidRDefault="00CB60A4">
            <w:pPr>
              <w:spacing w:before="30" w:after="30"/>
              <w:jc w:val="left"/>
              <w:rPr>
                <w:sz w:val="20"/>
                <w:lang w:val="en-GB"/>
              </w:rPr>
            </w:pPr>
            <w:r w:rsidRPr="00263F6F">
              <w:rPr>
                <w:sz w:val="20"/>
                <w:lang w:val="en-GB"/>
              </w:rPr>
              <w:t>Frequency sharing and coordination between fixed-satellite and fixed service systems</w:t>
            </w:r>
          </w:p>
        </w:tc>
      </w:tr>
      <w:tr w:rsidR="00CB60A4" w:rsidRPr="00263F6F" w14:paraId="5A3D66BB" w14:textId="77777777">
        <w:tc>
          <w:tcPr>
            <w:tcW w:w="1140" w:type="dxa"/>
            <w:tcBorders>
              <w:top w:val="nil"/>
              <w:left w:val="single" w:sz="12" w:space="0" w:color="000080"/>
              <w:bottom w:val="single" w:sz="12" w:space="0" w:color="000080"/>
              <w:right w:val="nil"/>
            </w:tcBorders>
          </w:tcPr>
          <w:p w14:paraId="1714101D" w14:textId="77777777" w:rsidR="00CB60A4" w:rsidRPr="00263F6F" w:rsidRDefault="00CB60A4">
            <w:pPr>
              <w:spacing w:before="30" w:after="30"/>
              <w:ind w:left="57"/>
              <w:jc w:val="left"/>
              <w:rPr>
                <w:b/>
                <w:bCs/>
                <w:sz w:val="20"/>
                <w:lang w:val="en-GB"/>
              </w:rPr>
            </w:pPr>
            <w:r w:rsidRPr="00263F6F">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263F6F" w:rsidRDefault="00CB60A4" w:rsidP="00505FB4">
            <w:pPr>
              <w:spacing w:before="30" w:after="180"/>
              <w:jc w:val="left"/>
              <w:rPr>
                <w:sz w:val="20"/>
                <w:lang w:val="en-GB"/>
              </w:rPr>
            </w:pPr>
            <w:r w:rsidRPr="00263F6F">
              <w:rPr>
                <w:sz w:val="20"/>
                <w:lang w:val="en-GB"/>
              </w:rPr>
              <w:t>Spectrum management</w:t>
            </w:r>
          </w:p>
        </w:tc>
      </w:tr>
    </w:tbl>
    <w:p w14:paraId="009AF0C6" w14:textId="77777777" w:rsidR="00CB60A4" w:rsidRPr="00263F6F"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263F6F" w14:paraId="30BEF6F7" w14:textId="77777777">
        <w:tc>
          <w:tcPr>
            <w:tcW w:w="720" w:type="dxa"/>
          </w:tcPr>
          <w:p w14:paraId="5313916D" w14:textId="77777777" w:rsidR="00CB60A4" w:rsidRPr="00263F6F" w:rsidRDefault="00CB60A4">
            <w:pPr>
              <w:jc w:val="center"/>
              <w:rPr>
                <w:sz w:val="22"/>
                <w:lang w:val="en-GB"/>
              </w:rPr>
            </w:pPr>
          </w:p>
        </w:tc>
      </w:tr>
    </w:tbl>
    <w:p w14:paraId="2915240B" w14:textId="77777777" w:rsidR="00CB60A4" w:rsidRPr="00263F6F"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914BC"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263F6F" w:rsidRDefault="00CB60A4" w:rsidP="004E46B8">
            <w:pPr>
              <w:spacing w:after="120"/>
              <w:jc w:val="left"/>
              <w:rPr>
                <w:b/>
                <w:bCs/>
                <w:sz w:val="20"/>
                <w:lang w:val="en-GB"/>
              </w:rPr>
            </w:pPr>
            <w:r w:rsidRPr="00263F6F">
              <w:rPr>
                <w:b/>
                <w:bCs/>
                <w:i/>
                <w:iCs/>
                <w:sz w:val="20"/>
                <w:lang w:val="en-GB"/>
              </w:rPr>
              <w:t>Note</w:t>
            </w:r>
            <w:r w:rsidRPr="00263F6F">
              <w:rPr>
                <w:i/>
                <w:iCs/>
                <w:sz w:val="20"/>
                <w:lang w:val="en-GB"/>
              </w:rPr>
              <w:t xml:space="preserve">: This ITU-R </w:t>
            </w:r>
            <w:r w:rsidR="00505FB4" w:rsidRPr="00263F6F">
              <w:rPr>
                <w:i/>
                <w:iCs/>
                <w:sz w:val="20"/>
                <w:lang w:val="en-GB"/>
              </w:rPr>
              <w:t>Report</w:t>
            </w:r>
            <w:r w:rsidRPr="00263F6F">
              <w:rPr>
                <w:i/>
                <w:iCs/>
                <w:sz w:val="20"/>
                <w:lang w:val="en-GB"/>
              </w:rPr>
              <w:t xml:space="preserve"> was approved in English </w:t>
            </w:r>
            <w:r w:rsidR="001A5259" w:rsidRPr="00263F6F">
              <w:rPr>
                <w:i/>
                <w:iCs/>
                <w:sz w:val="20"/>
                <w:lang w:val="en-GB"/>
              </w:rPr>
              <w:t xml:space="preserve">by the Study Group </w:t>
            </w:r>
            <w:r w:rsidRPr="00263F6F">
              <w:rPr>
                <w:i/>
                <w:iCs/>
                <w:sz w:val="20"/>
                <w:lang w:val="en-GB"/>
              </w:rPr>
              <w:t xml:space="preserve">under the </w:t>
            </w:r>
            <w:r w:rsidR="001A5259" w:rsidRPr="00263F6F">
              <w:rPr>
                <w:i/>
                <w:iCs/>
                <w:sz w:val="20"/>
                <w:lang w:val="en-GB"/>
              </w:rPr>
              <w:t>procedure detailed in Resolution</w:t>
            </w:r>
            <w:r w:rsidR="004E46B8" w:rsidRPr="00263F6F">
              <w:rPr>
                <w:i/>
                <w:iCs/>
                <w:sz w:val="20"/>
                <w:lang w:val="en-GB"/>
              </w:rPr>
              <w:t> </w:t>
            </w:r>
            <w:r w:rsidRPr="00263F6F">
              <w:rPr>
                <w:i/>
                <w:iCs/>
                <w:sz w:val="20"/>
                <w:lang w:val="en-GB"/>
              </w:rPr>
              <w:t>ITU-R 1.</w:t>
            </w:r>
          </w:p>
        </w:tc>
      </w:tr>
    </w:tbl>
    <w:p w14:paraId="1FDD15C9" w14:textId="77777777" w:rsidR="00CB60A4" w:rsidRPr="00263F6F" w:rsidRDefault="00CB60A4" w:rsidP="00CB60A4">
      <w:pPr>
        <w:spacing w:before="0"/>
        <w:jc w:val="center"/>
        <w:rPr>
          <w:sz w:val="22"/>
          <w:lang w:val="en-GB"/>
        </w:rPr>
      </w:pPr>
    </w:p>
    <w:p w14:paraId="7F998506" w14:textId="77777777" w:rsidR="00CB60A4" w:rsidRPr="00263F6F" w:rsidRDefault="00CB60A4" w:rsidP="00CB60A4">
      <w:pPr>
        <w:spacing w:before="0"/>
        <w:jc w:val="center"/>
        <w:rPr>
          <w:sz w:val="22"/>
          <w:lang w:val="en-GB"/>
        </w:rPr>
      </w:pPr>
    </w:p>
    <w:p w14:paraId="3F91428C" w14:textId="77777777" w:rsidR="00CB60A4" w:rsidRPr="00263F6F" w:rsidRDefault="00CB60A4" w:rsidP="00CB60A4">
      <w:pPr>
        <w:spacing w:before="0"/>
        <w:jc w:val="right"/>
        <w:rPr>
          <w:i/>
          <w:iCs/>
          <w:sz w:val="20"/>
          <w:lang w:val="en-GB"/>
        </w:rPr>
      </w:pPr>
      <w:r w:rsidRPr="00263F6F">
        <w:rPr>
          <w:i/>
          <w:iCs/>
          <w:sz w:val="20"/>
          <w:lang w:val="en-GB"/>
        </w:rPr>
        <w:t>Electronic Publication</w:t>
      </w:r>
    </w:p>
    <w:p w14:paraId="42B2C901" w14:textId="258E924F" w:rsidR="00CB60A4" w:rsidRPr="00263F6F" w:rsidRDefault="00CB60A4" w:rsidP="00DF7D57">
      <w:pPr>
        <w:spacing w:before="0"/>
        <w:jc w:val="right"/>
        <w:rPr>
          <w:sz w:val="20"/>
          <w:lang w:val="en-GB"/>
        </w:rPr>
      </w:pPr>
      <w:r w:rsidRPr="00263F6F">
        <w:rPr>
          <w:sz w:val="20"/>
          <w:lang w:val="en-GB"/>
        </w:rPr>
        <w:t>Geneva, 20</w:t>
      </w:r>
      <w:r w:rsidR="00FE62A1" w:rsidRPr="00263F6F">
        <w:rPr>
          <w:sz w:val="20"/>
          <w:lang w:val="en-GB"/>
        </w:rPr>
        <w:t>2</w:t>
      </w:r>
      <w:r w:rsidR="00F8453D">
        <w:rPr>
          <w:sz w:val="20"/>
          <w:lang w:val="en-GB"/>
        </w:rPr>
        <w:t>3</w:t>
      </w:r>
    </w:p>
    <w:p w14:paraId="5FD60487" w14:textId="7229DBFF" w:rsidR="00CB60A4" w:rsidRPr="00263F6F" w:rsidRDefault="00CB60A4" w:rsidP="00DF7D57">
      <w:pPr>
        <w:jc w:val="center"/>
        <w:rPr>
          <w:sz w:val="20"/>
          <w:lang w:val="en-GB"/>
        </w:rPr>
      </w:pPr>
      <w:r w:rsidRPr="00263F6F">
        <w:rPr>
          <w:sz w:val="20"/>
          <w:lang w:val="en-GB"/>
        </w:rPr>
        <w:sym w:font="Symbol" w:char="00E3"/>
      </w:r>
      <w:r w:rsidRPr="00263F6F">
        <w:rPr>
          <w:sz w:val="20"/>
          <w:lang w:val="en-GB"/>
        </w:rPr>
        <w:t xml:space="preserve"> ITU </w:t>
      </w:r>
      <w:bookmarkStart w:id="8" w:name="iiannee"/>
      <w:bookmarkEnd w:id="8"/>
      <w:r w:rsidRPr="00263F6F">
        <w:rPr>
          <w:sz w:val="20"/>
          <w:lang w:val="en-GB"/>
        </w:rPr>
        <w:t>20</w:t>
      </w:r>
      <w:r w:rsidR="00FE62A1" w:rsidRPr="00263F6F">
        <w:rPr>
          <w:sz w:val="20"/>
          <w:lang w:val="en-GB"/>
        </w:rPr>
        <w:t>2</w:t>
      </w:r>
      <w:r w:rsidR="00F8453D">
        <w:rPr>
          <w:sz w:val="20"/>
          <w:lang w:val="en-GB"/>
        </w:rPr>
        <w:t>3</w:t>
      </w:r>
    </w:p>
    <w:p w14:paraId="30788EBA" w14:textId="77777777" w:rsidR="00CB60A4" w:rsidRPr="00263F6F" w:rsidRDefault="00CB60A4" w:rsidP="00CB60A4">
      <w:pPr>
        <w:rPr>
          <w:sz w:val="18"/>
          <w:szCs w:val="18"/>
          <w:lang w:val="en-GB"/>
        </w:rPr>
      </w:pPr>
      <w:r w:rsidRPr="00263F6F">
        <w:rPr>
          <w:sz w:val="18"/>
          <w:szCs w:val="18"/>
          <w:lang w:val="en-GB"/>
        </w:rPr>
        <w:t>All rights reserved. No part of this publication may be reproduced, by any means whatsoever, without written permission of ITU.</w:t>
      </w:r>
    </w:p>
    <w:p w14:paraId="1C084DB0" w14:textId="77777777" w:rsidR="00CB60A4" w:rsidRPr="00263F6F"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263F6F" w:rsidSect="009F0D75">
          <w:pgSz w:w="11907" w:h="16834"/>
          <w:pgMar w:top="1418" w:right="1134" w:bottom="1134" w:left="1134" w:header="720" w:footer="482" w:gutter="0"/>
          <w:paperSrc w:first="15" w:other="15"/>
          <w:pgNumType w:fmt="lowerRoman" w:start="2"/>
          <w:cols w:space="720"/>
        </w:sectPr>
      </w:pPr>
    </w:p>
    <w:p w14:paraId="059923CB" w14:textId="2A663AF0" w:rsidR="00934ED7" w:rsidRPr="00263F6F" w:rsidRDefault="00934ED7" w:rsidP="00F85F0C">
      <w:pPr>
        <w:pStyle w:val="RepNo"/>
        <w:spacing w:before="0"/>
        <w:rPr>
          <w:lang w:val="en-GB"/>
        </w:rPr>
      </w:pPr>
      <w:bookmarkStart w:id="9" w:name="irecnoe"/>
      <w:bookmarkEnd w:id="9"/>
      <w:r w:rsidRPr="00263F6F">
        <w:rPr>
          <w:lang w:val="en-GB"/>
        </w:rPr>
        <w:lastRenderedPageBreak/>
        <w:t>R</w:t>
      </w:r>
      <w:r w:rsidR="008D3D8D" w:rsidRPr="00263F6F">
        <w:rPr>
          <w:lang w:val="en-GB"/>
        </w:rPr>
        <w:t>EPORT</w:t>
      </w:r>
      <w:r w:rsidRPr="00263F6F">
        <w:rPr>
          <w:lang w:val="en-GB"/>
        </w:rPr>
        <w:t xml:space="preserve">  </w:t>
      </w:r>
      <w:r w:rsidRPr="00263F6F">
        <w:rPr>
          <w:rStyle w:val="href"/>
          <w:lang w:val="en-GB"/>
        </w:rPr>
        <w:t xml:space="preserve">ITU-R  </w:t>
      </w:r>
      <w:r w:rsidR="002F00DE" w:rsidRPr="00263F6F">
        <w:rPr>
          <w:rStyle w:val="href"/>
          <w:lang w:val="en-GB"/>
        </w:rPr>
        <w:t>M</w:t>
      </w:r>
      <w:r w:rsidR="008D3D8D" w:rsidRPr="00263F6F">
        <w:rPr>
          <w:rStyle w:val="href"/>
          <w:lang w:val="en-GB"/>
        </w:rPr>
        <w:t>.</w:t>
      </w:r>
      <w:r w:rsidR="00150548" w:rsidRPr="00263F6F">
        <w:rPr>
          <w:rStyle w:val="href"/>
          <w:lang w:val="en-GB"/>
        </w:rPr>
        <w:t>2</w:t>
      </w:r>
      <w:r w:rsidR="0044127F" w:rsidRPr="00263F6F">
        <w:rPr>
          <w:rStyle w:val="href"/>
          <w:lang w:val="en-GB"/>
        </w:rPr>
        <w:t>5</w:t>
      </w:r>
      <w:r w:rsidR="00C27811" w:rsidRPr="00263F6F">
        <w:rPr>
          <w:rStyle w:val="href"/>
          <w:lang w:val="en-GB"/>
        </w:rPr>
        <w:t>1</w:t>
      </w:r>
      <w:r w:rsidR="00E953AF" w:rsidRPr="00263F6F">
        <w:rPr>
          <w:rStyle w:val="href"/>
          <w:lang w:val="en-GB"/>
        </w:rPr>
        <w:t>7</w:t>
      </w:r>
      <w:r w:rsidR="00150548" w:rsidRPr="00263F6F">
        <w:rPr>
          <w:rStyle w:val="href"/>
          <w:lang w:val="en-GB"/>
        </w:rPr>
        <w:t>-0</w:t>
      </w:r>
    </w:p>
    <w:p w14:paraId="5EFEE7D4" w14:textId="0C0566E8" w:rsidR="00313A68" w:rsidRPr="00263F6F" w:rsidRDefault="00E953AF" w:rsidP="00313A68">
      <w:pPr>
        <w:pStyle w:val="Reptitle"/>
        <w:rPr>
          <w:lang w:val="en-GB"/>
        </w:rPr>
      </w:pPr>
      <w:r w:rsidRPr="00263F6F">
        <w:rPr>
          <w:lang w:val="en-GB" w:eastAsia="zh-CN"/>
        </w:rPr>
        <w:t xml:space="preserve">Coexistence between land-mobile and fixed service applications </w:t>
      </w:r>
      <w:r w:rsidRPr="00263F6F">
        <w:rPr>
          <w:lang w:val="en-GB" w:eastAsia="zh-CN"/>
        </w:rPr>
        <w:br/>
        <w:t>operating in the frequency range 252-296 GHz</w:t>
      </w:r>
    </w:p>
    <w:p w14:paraId="46E435E3" w14:textId="18F19C57" w:rsidR="00441C23" w:rsidRPr="00263F6F" w:rsidRDefault="00441C23" w:rsidP="00441C23">
      <w:pPr>
        <w:pStyle w:val="Repdate"/>
        <w:rPr>
          <w:rFonts w:eastAsia="MS Mincho"/>
          <w:lang w:val="en-GB" w:eastAsia="ja-JP"/>
        </w:rPr>
      </w:pPr>
      <w:r w:rsidRPr="00263F6F">
        <w:rPr>
          <w:rFonts w:eastAsia="MS Mincho"/>
          <w:lang w:val="en-GB" w:eastAsia="ja-JP"/>
        </w:rPr>
        <w:t>(202</w:t>
      </w:r>
      <w:r w:rsidR="00C27811" w:rsidRPr="00263F6F">
        <w:rPr>
          <w:rFonts w:eastAsia="MS Mincho"/>
          <w:lang w:val="en-GB" w:eastAsia="ja-JP"/>
        </w:rPr>
        <w:t>2</w:t>
      </w:r>
      <w:r w:rsidRPr="00263F6F">
        <w:rPr>
          <w:rFonts w:eastAsia="MS Mincho"/>
          <w:lang w:val="en-GB" w:eastAsia="ja-JP"/>
        </w:rPr>
        <w:t>)</w:t>
      </w:r>
    </w:p>
    <w:p w14:paraId="376FC1A3" w14:textId="4964E0FA" w:rsidR="008434AE" w:rsidRDefault="008434AE" w:rsidP="00002B19">
      <w:pPr>
        <w:jc w:val="center"/>
        <w:rPr>
          <w:lang w:val="en-GB" w:eastAsia="ja-JP"/>
        </w:rPr>
      </w:pPr>
      <w:r w:rsidRPr="00263F6F">
        <w:rPr>
          <w:lang w:val="en-GB" w:eastAsia="ja-JP"/>
        </w:rPr>
        <w:t>TABLE OF CONTENTS</w:t>
      </w:r>
    </w:p>
    <w:p w14:paraId="3E17B6BB" w14:textId="4368BCA8" w:rsidR="00002B19" w:rsidRDefault="00002B19" w:rsidP="00002B19">
      <w:pPr>
        <w:pStyle w:val="toc0"/>
        <w:jc w:val="right"/>
        <w:rPr>
          <w:lang w:val="en-GB" w:eastAsia="ja-JP"/>
        </w:rPr>
      </w:pPr>
      <w:r>
        <w:rPr>
          <w:lang w:val="en-GB" w:eastAsia="ja-JP"/>
        </w:rPr>
        <w:t>Page</w:t>
      </w:r>
    </w:p>
    <w:p w14:paraId="70B7C203" w14:textId="33889181" w:rsidR="00002B19" w:rsidRDefault="00002B19">
      <w:pPr>
        <w:pStyle w:val="TOC1"/>
        <w:rPr>
          <w:rFonts w:asciiTheme="minorHAnsi" w:eastAsiaTheme="minorEastAsia" w:hAnsiTheme="minorHAnsi" w:cstheme="minorBidi"/>
          <w:noProof/>
          <w:sz w:val="22"/>
          <w:szCs w:val="22"/>
          <w:lang w:val="en-GB" w:eastAsia="en-GB"/>
        </w:rPr>
      </w:pPr>
      <w:r>
        <w:rPr>
          <w:lang w:val="en-GB" w:eastAsia="ja-JP"/>
        </w:rPr>
        <w:fldChar w:fldCharType="begin"/>
      </w:r>
      <w:r>
        <w:rPr>
          <w:lang w:val="en-GB" w:eastAsia="ja-JP"/>
        </w:rPr>
        <w:instrText xml:space="preserve"> TOC \o "1-2" \h \z \u </w:instrText>
      </w:r>
      <w:r>
        <w:rPr>
          <w:lang w:val="en-GB" w:eastAsia="ja-JP"/>
        </w:rPr>
        <w:fldChar w:fldCharType="separate"/>
      </w:r>
      <w:hyperlink w:anchor="_Toc122512294" w:history="1">
        <w:r w:rsidRPr="00A67FE9">
          <w:rPr>
            <w:rStyle w:val="Hyperlink"/>
            <w:noProof/>
            <w:lang w:val="en-GB"/>
          </w:rPr>
          <w:t>Policy on Intellectual Property Right (IPR)</w:t>
        </w:r>
        <w:r w:rsidR="00615726">
          <w:rPr>
            <w:rStyle w:val="Hyperlink"/>
            <w:noProof/>
            <w:lang w:val="en-GB"/>
          </w:rPr>
          <w:tab/>
        </w:r>
        <w:r>
          <w:rPr>
            <w:noProof/>
            <w:webHidden/>
          </w:rPr>
          <w:tab/>
        </w:r>
        <w:r>
          <w:rPr>
            <w:noProof/>
            <w:webHidden/>
          </w:rPr>
          <w:fldChar w:fldCharType="begin"/>
        </w:r>
        <w:r>
          <w:rPr>
            <w:noProof/>
            <w:webHidden/>
          </w:rPr>
          <w:instrText xml:space="preserve"> PAGEREF _Toc122512294 \h </w:instrText>
        </w:r>
        <w:r>
          <w:rPr>
            <w:noProof/>
            <w:webHidden/>
          </w:rPr>
        </w:r>
        <w:r>
          <w:rPr>
            <w:noProof/>
            <w:webHidden/>
          </w:rPr>
          <w:fldChar w:fldCharType="separate"/>
        </w:r>
        <w:r w:rsidR="00F8453D">
          <w:rPr>
            <w:noProof/>
            <w:webHidden/>
          </w:rPr>
          <w:t>ii</w:t>
        </w:r>
        <w:r>
          <w:rPr>
            <w:noProof/>
            <w:webHidden/>
          </w:rPr>
          <w:fldChar w:fldCharType="end"/>
        </w:r>
      </w:hyperlink>
    </w:p>
    <w:p w14:paraId="549AD756" w14:textId="693DF9AC" w:rsidR="00002B19" w:rsidRDefault="00F8453D">
      <w:pPr>
        <w:pStyle w:val="TOC1"/>
        <w:rPr>
          <w:rFonts w:asciiTheme="minorHAnsi" w:eastAsiaTheme="minorEastAsia" w:hAnsiTheme="minorHAnsi" w:cstheme="minorBidi"/>
          <w:noProof/>
          <w:sz w:val="22"/>
          <w:szCs w:val="22"/>
          <w:lang w:val="en-GB" w:eastAsia="en-GB"/>
        </w:rPr>
      </w:pPr>
      <w:hyperlink w:anchor="_Toc122512295" w:history="1">
        <w:r w:rsidR="00002B19" w:rsidRPr="00A67FE9">
          <w:rPr>
            <w:rStyle w:val="Hyperlink"/>
            <w:noProof/>
            <w:lang w:val="en-GB"/>
          </w:rPr>
          <w:t>1</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Introduction</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_Toc122512295 \h </w:instrText>
        </w:r>
        <w:r w:rsidR="00002B19">
          <w:rPr>
            <w:noProof/>
            <w:webHidden/>
          </w:rPr>
        </w:r>
        <w:r w:rsidR="00002B19">
          <w:rPr>
            <w:noProof/>
            <w:webHidden/>
          </w:rPr>
          <w:fldChar w:fldCharType="separate"/>
        </w:r>
        <w:r>
          <w:rPr>
            <w:noProof/>
            <w:webHidden/>
          </w:rPr>
          <w:t>2</w:t>
        </w:r>
        <w:r w:rsidR="00002B19">
          <w:rPr>
            <w:noProof/>
            <w:webHidden/>
          </w:rPr>
          <w:fldChar w:fldCharType="end"/>
        </w:r>
      </w:hyperlink>
    </w:p>
    <w:p w14:paraId="5343EDF6" w14:textId="5F13CF2A" w:rsidR="00002B19" w:rsidRDefault="00F8453D">
      <w:pPr>
        <w:pStyle w:val="TOC1"/>
        <w:rPr>
          <w:rFonts w:asciiTheme="minorHAnsi" w:eastAsiaTheme="minorEastAsia" w:hAnsiTheme="minorHAnsi" w:cstheme="minorBidi"/>
          <w:noProof/>
          <w:sz w:val="22"/>
          <w:szCs w:val="22"/>
          <w:lang w:val="en-GB" w:eastAsia="en-GB"/>
        </w:rPr>
      </w:pPr>
      <w:hyperlink w:anchor="_Toc122512296" w:history="1">
        <w:r w:rsidR="00002B19" w:rsidRPr="00A67FE9">
          <w:rPr>
            <w:rStyle w:val="Hyperlink"/>
            <w:noProof/>
            <w:lang w:val="en-GB"/>
          </w:rPr>
          <w:t>2</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Scope</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_Toc122512296 \h </w:instrText>
        </w:r>
        <w:r w:rsidR="00002B19">
          <w:rPr>
            <w:noProof/>
            <w:webHidden/>
          </w:rPr>
        </w:r>
        <w:r w:rsidR="00002B19">
          <w:rPr>
            <w:noProof/>
            <w:webHidden/>
          </w:rPr>
          <w:fldChar w:fldCharType="separate"/>
        </w:r>
        <w:r>
          <w:rPr>
            <w:noProof/>
            <w:webHidden/>
          </w:rPr>
          <w:t>2</w:t>
        </w:r>
        <w:r w:rsidR="00002B19">
          <w:rPr>
            <w:noProof/>
            <w:webHidden/>
          </w:rPr>
          <w:fldChar w:fldCharType="end"/>
        </w:r>
      </w:hyperlink>
    </w:p>
    <w:p w14:paraId="700CC989" w14:textId="03AF1D0C" w:rsidR="00002B19" w:rsidRDefault="00F8453D">
      <w:pPr>
        <w:pStyle w:val="TOC1"/>
        <w:rPr>
          <w:rFonts w:asciiTheme="minorHAnsi" w:eastAsiaTheme="minorEastAsia" w:hAnsiTheme="minorHAnsi" w:cstheme="minorBidi"/>
          <w:noProof/>
          <w:sz w:val="22"/>
          <w:szCs w:val="22"/>
          <w:lang w:val="en-GB" w:eastAsia="en-GB"/>
        </w:rPr>
      </w:pPr>
      <w:hyperlink w:anchor="_Toc122512297" w:history="1">
        <w:r w:rsidR="00002B19" w:rsidRPr="00A67FE9">
          <w:rPr>
            <w:rStyle w:val="Hyperlink"/>
            <w:noProof/>
            <w:lang w:val="en-GB"/>
          </w:rPr>
          <w:t>3</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Related Recommendations and Reports</w:t>
        </w:r>
        <w:r w:rsidR="00615726">
          <w:rPr>
            <w:rStyle w:val="Hyperlink"/>
            <w:noProof/>
            <w:lang w:val="en-GB"/>
          </w:rPr>
          <w:tab/>
        </w:r>
        <w:r w:rsidR="00002B19">
          <w:rPr>
            <w:noProof/>
            <w:webHidden/>
          </w:rPr>
          <w:tab/>
        </w:r>
        <w:r w:rsidR="00002B19">
          <w:rPr>
            <w:noProof/>
            <w:webHidden/>
          </w:rPr>
          <w:fldChar w:fldCharType="begin"/>
        </w:r>
        <w:r w:rsidR="00002B19">
          <w:rPr>
            <w:noProof/>
            <w:webHidden/>
          </w:rPr>
          <w:instrText xml:space="preserve"> PAGEREF _Toc122512297 \h </w:instrText>
        </w:r>
        <w:r w:rsidR="00002B19">
          <w:rPr>
            <w:noProof/>
            <w:webHidden/>
          </w:rPr>
        </w:r>
        <w:r w:rsidR="00002B19">
          <w:rPr>
            <w:noProof/>
            <w:webHidden/>
          </w:rPr>
          <w:fldChar w:fldCharType="separate"/>
        </w:r>
        <w:r>
          <w:rPr>
            <w:noProof/>
            <w:webHidden/>
          </w:rPr>
          <w:t>2</w:t>
        </w:r>
        <w:r w:rsidR="00002B19">
          <w:rPr>
            <w:noProof/>
            <w:webHidden/>
          </w:rPr>
          <w:fldChar w:fldCharType="end"/>
        </w:r>
      </w:hyperlink>
    </w:p>
    <w:p w14:paraId="359C7E70" w14:textId="645A609F" w:rsidR="00002B19" w:rsidRDefault="00F8453D">
      <w:pPr>
        <w:pStyle w:val="TOC1"/>
        <w:rPr>
          <w:rFonts w:asciiTheme="minorHAnsi" w:eastAsiaTheme="minorEastAsia" w:hAnsiTheme="minorHAnsi" w:cstheme="minorBidi"/>
          <w:noProof/>
          <w:sz w:val="22"/>
          <w:szCs w:val="22"/>
          <w:lang w:val="en-GB" w:eastAsia="en-GB"/>
        </w:rPr>
      </w:pPr>
      <w:hyperlink w:anchor="_Toc122512298" w:history="1">
        <w:r w:rsidR="00002B19" w:rsidRPr="00A67FE9">
          <w:rPr>
            <w:rStyle w:val="Hyperlink"/>
            <w:noProof/>
            <w:lang w:val="en-GB"/>
          </w:rPr>
          <w:t>4</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List of acronyms and abbreviations</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_Toc122512298 \h </w:instrText>
        </w:r>
        <w:r w:rsidR="00002B19">
          <w:rPr>
            <w:noProof/>
            <w:webHidden/>
          </w:rPr>
        </w:r>
        <w:r w:rsidR="00002B19">
          <w:rPr>
            <w:noProof/>
            <w:webHidden/>
          </w:rPr>
          <w:fldChar w:fldCharType="separate"/>
        </w:r>
        <w:r>
          <w:rPr>
            <w:noProof/>
            <w:webHidden/>
          </w:rPr>
          <w:t>2</w:t>
        </w:r>
        <w:r w:rsidR="00002B19">
          <w:rPr>
            <w:noProof/>
            <w:webHidden/>
          </w:rPr>
          <w:fldChar w:fldCharType="end"/>
        </w:r>
      </w:hyperlink>
    </w:p>
    <w:p w14:paraId="4FAB574B" w14:textId="107AF645" w:rsidR="00002B19" w:rsidRDefault="00F8453D">
      <w:pPr>
        <w:pStyle w:val="TOC1"/>
        <w:rPr>
          <w:rFonts w:asciiTheme="minorHAnsi" w:eastAsiaTheme="minorEastAsia" w:hAnsiTheme="minorHAnsi" w:cstheme="minorBidi"/>
          <w:noProof/>
          <w:sz w:val="22"/>
          <w:szCs w:val="22"/>
          <w:lang w:val="en-GB" w:eastAsia="en-GB"/>
        </w:rPr>
      </w:pPr>
      <w:hyperlink w:anchor="_Toc122512299" w:history="1">
        <w:r w:rsidR="00002B19" w:rsidRPr="00A67FE9">
          <w:rPr>
            <w:rStyle w:val="Hyperlink"/>
            <w:noProof/>
            <w:lang w:val="en-GB" w:eastAsia="ja-JP"/>
          </w:rPr>
          <w:t>5</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eastAsia="ja-JP"/>
          </w:rPr>
          <w:t>Technical and operational characteristics</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_Toc122512299 \h </w:instrText>
        </w:r>
        <w:r w:rsidR="00002B19">
          <w:rPr>
            <w:noProof/>
            <w:webHidden/>
          </w:rPr>
        </w:r>
        <w:r w:rsidR="00002B19">
          <w:rPr>
            <w:noProof/>
            <w:webHidden/>
          </w:rPr>
          <w:fldChar w:fldCharType="separate"/>
        </w:r>
        <w:r>
          <w:rPr>
            <w:noProof/>
            <w:webHidden/>
          </w:rPr>
          <w:t>3</w:t>
        </w:r>
        <w:r w:rsidR="00002B19">
          <w:rPr>
            <w:noProof/>
            <w:webHidden/>
          </w:rPr>
          <w:fldChar w:fldCharType="end"/>
        </w:r>
      </w:hyperlink>
    </w:p>
    <w:p w14:paraId="7B40B275" w14:textId="22E2CE9D" w:rsidR="00002B19" w:rsidRDefault="00F8453D">
      <w:pPr>
        <w:pStyle w:val="TOC2"/>
        <w:rPr>
          <w:rFonts w:asciiTheme="minorHAnsi" w:eastAsiaTheme="minorEastAsia" w:hAnsiTheme="minorHAnsi" w:cstheme="minorBidi"/>
          <w:noProof/>
          <w:sz w:val="22"/>
          <w:szCs w:val="22"/>
          <w:lang w:val="en-GB" w:eastAsia="en-GB"/>
        </w:rPr>
      </w:pPr>
      <w:hyperlink w:anchor="_Toc122512300" w:history="1">
        <w:r w:rsidR="00002B19" w:rsidRPr="00A67FE9">
          <w:rPr>
            <w:rStyle w:val="Hyperlink"/>
            <w:noProof/>
            <w:lang w:val="en-GB" w:eastAsia="ja-JP"/>
          </w:rPr>
          <w:t>5.1</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eastAsia="ja-JP"/>
          </w:rPr>
          <w:t>Technical and operational characteristics of LMS applications operating in the frequency range 252-296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_Toc122512300 \h </w:instrText>
        </w:r>
        <w:r w:rsidR="00002B19">
          <w:rPr>
            <w:noProof/>
            <w:webHidden/>
          </w:rPr>
        </w:r>
        <w:r w:rsidR="00002B19">
          <w:rPr>
            <w:noProof/>
            <w:webHidden/>
          </w:rPr>
          <w:fldChar w:fldCharType="separate"/>
        </w:r>
        <w:r>
          <w:rPr>
            <w:noProof/>
            <w:webHidden/>
          </w:rPr>
          <w:t>3</w:t>
        </w:r>
        <w:r w:rsidR="00002B19">
          <w:rPr>
            <w:noProof/>
            <w:webHidden/>
          </w:rPr>
          <w:fldChar w:fldCharType="end"/>
        </w:r>
      </w:hyperlink>
    </w:p>
    <w:p w14:paraId="7C0B2704" w14:textId="64874FCA" w:rsidR="00002B19" w:rsidRDefault="00F8453D">
      <w:pPr>
        <w:pStyle w:val="TOC2"/>
        <w:rPr>
          <w:rFonts w:asciiTheme="minorHAnsi" w:eastAsiaTheme="minorEastAsia" w:hAnsiTheme="minorHAnsi" w:cstheme="minorBidi"/>
          <w:noProof/>
          <w:sz w:val="22"/>
          <w:szCs w:val="22"/>
          <w:lang w:val="en-GB" w:eastAsia="en-GB"/>
        </w:rPr>
      </w:pPr>
      <w:hyperlink w:anchor="_Toc122512301" w:history="1">
        <w:r w:rsidR="00002B19" w:rsidRPr="00A67FE9">
          <w:rPr>
            <w:rStyle w:val="Hyperlink"/>
            <w:noProof/>
            <w:lang w:val="en-GB" w:eastAsia="ja-JP"/>
          </w:rPr>
          <w:t>5.2</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eastAsia="ja-JP"/>
          </w:rPr>
          <w:t>Technical and operational characteristics of FS operating in the frequency range 252</w:t>
        </w:r>
        <w:r w:rsidR="00002B19" w:rsidRPr="00A67FE9">
          <w:rPr>
            <w:rStyle w:val="Hyperlink"/>
            <w:noProof/>
            <w:lang w:val="en-GB" w:eastAsia="ja-JP"/>
          </w:rPr>
          <w:noBreakHyphen/>
          <w:t>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_Toc122512301 \h </w:instrText>
        </w:r>
        <w:r w:rsidR="00002B19">
          <w:rPr>
            <w:noProof/>
            <w:webHidden/>
          </w:rPr>
        </w:r>
        <w:r w:rsidR="00002B19">
          <w:rPr>
            <w:noProof/>
            <w:webHidden/>
          </w:rPr>
          <w:fldChar w:fldCharType="separate"/>
        </w:r>
        <w:r>
          <w:rPr>
            <w:noProof/>
            <w:webHidden/>
          </w:rPr>
          <w:t>4</w:t>
        </w:r>
        <w:r w:rsidR="00002B19">
          <w:rPr>
            <w:noProof/>
            <w:webHidden/>
          </w:rPr>
          <w:fldChar w:fldCharType="end"/>
        </w:r>
      </w:hyperlink>
    </w:p>
    <w:p w14:paraId="52E4AFAD" w14:textId="264296DD" w:rsidR="00002B19" w:rsidRDefault="00F8453D">
      <w:pPr>
        <w:pStyle w:val="TOC1"/>
        <w:rPr>
          <w:rFonts w:asciiTheme="minorHAnsi" w:eastAsiaTheme="minorEastAsia" w:hAnsiTheme="minorHAnsi" w:cstheme="minorBidi"/>
          <w:noProof/>
          <w:sz w:val="22"/>
          <w:szCs w:val="22"/>
          <w:lang w:val="en-GB" w:eastAsia="en-GB"/>
        </w:rPr>
      </w:pPr>
      <w:hyperlink w:anchor="_Toc122512302" w:history="1">
        <w:r w:rsidR="00002B19" w:rsidRPr="00A67FE9">
          <w:rPr>
            <w:rStyle w:val="Hyperlink"/>
            <w:noProof/>
            <w:lang w:val="en-GB" w:eastAsia="ja-JP"/>
          </w:rPr>
          <w:t>6</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Interference</w:t>
        </w:r>
        <w:r w:rsidR="00002B19" w:rsidRPr="00A67FE9">
          <w:rPr>
            <w:rStyle w:val="Hyperlink"/>
            <w:noProof/>
            <w:lang w:val="en-GB" w:eastAsia="ja-JP"/>
          </w:rPr>
          <w:t xml:space="preserve"> scenarios from LMS to FS applications operating in the frequency range 252-296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_Toc122512302 \h </w:instrText>
        </w:r>
        <w:r w:rsidR="00002B19">
          <w:rPr>
            <w:noProof/>
            <w:webHidden/>
          </w:rPr>
        </w:r>
        <w:r w:rsidR="00002B19">
          <w:rPr>
            <w:noProof/>
            <w:webHidden/>
          </w:rPr>
          <w:fldChar w:fldCharType="separate"/>
        </w:r>
        <w:r>
          <w:rPr>
            <w:noProof/>
            <w:webHidden/>
          </w:rPr>
          <w:t>6</w:t>
        </w:r>
        <w:r w:rsidR="00002B19">
          <w:rPr>
            <w:noProof/>
            <w:webHidden/>
          </w:rPr>
          <w:fldChar w:fldCharType="end"/>
        </w:r>
      </w:hyperlink>
    </w:p>
    <w:p w14:paraId="2A3456FE" w14:textId="656A770B" w:rsidR="00002B19" w:rsidRDefault="00F8453D">
      <w:pPr>
        <w:pStyle w:val="TOC2"/>
        <w:rPr>
          <w:rFonts w:asciiTheme="minorHAnsi" w:eastAsiaTheme="minorEastAsia" w:hAnsiTheme="minorHAnsi" w:cstheme="minorBidi"/>
          <w:noProof/>
          <w:sz w:val="22"/>
          <w:szCs w:val="22"/>
          <w:lang w:val="en-GB" w:eastAsia="en-GB"/>
        </w:rPr>
      </w:pPr>
      <w:hyperlink w:anchor="_Toc122512303" w:history="1">
        <w:r w:rsidR="00002B19" w:rsidRPr="00A67FE9">
          <w:rPr>
            <w:rStyle w:val="Hyperlink"/>
            <w:noProof/>
            <w:lang w:val="en-GB" w:eastAsia="ja-JP"/>
          </w:rPr>
          <w:t>6.1</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eastAsia="ja-JP"/>
          </w:rPr>
          <w:t>Interference scenarios from LMS to FS applications operating in the band 252</w:t>
        </w:r>
        <w:r w:rsidR="00002B19" w:rsidRPr="00A67FE9">
          <w:rPr>
            <w:rStyle w:val="Hyperlink"/>
            <w:noProof/>
            <w:lang w:val="en-GB" w:eastAsia="ja-JP"/>
          </w:rPr>
          <w:noBreakHyphen/>
          <w:t>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_Toc122512303 \h </w:instrText>
        </w:r>
        <w:r w:rsidR="00002B19">
          <w:rPr>
            <w:noProof/>
            <w:webHidden/>
          </w:rPr>
        </w:r>
        <w:r w:rsidR="00002B19">
          <w:rPr>
            <w:noProof/>
            <w:webHidden/>
          </w:rPr>
          <w:fldChar w:fldCharType="separate"/>
        </w:r>
        <w:r>
          <w:rPr>
            <w:noProof/>
            <w:webHidden/>
          </w:rPr>
          <w:t>6</w:t>
        </w:r>
        <w:r w:rsidR="00002B19">
          <w:rPr>
            <w:noProof/>
            <w:webHidden/>
          </w:rPr>
          <w:fldChar w:fldCharType="end"/>
        </w:r>
      </w:hyperlink>
    </w:p>
    <w:p w14:paraId="34FA0B44" w14:textId="1D49CC8D" w:rsidR="00002B19" w:rsidRDefault="00F8453D">
      <w:pPr>
        <w:pStyle w:val="TOC2"/>
        <w:rPr>
          <w:rFonts w:asciiTheme="minorHAnsi" w:eastAsiaTheme="minorEastAsia" w:hAnsiTheme="minorHAnsi" w:cstheme="minorBidi"/>
          <w:noProof/>
          <w:sz w:val="22"/>
          <w:szCs w:val="22"/>
          <w:lang w:val="en-GB" w:eastAsia="en-GB"/>
        </w:rPr>
      </w:pPr>
      <w:hyperlink w:anchor="_Toc122512304" w:history="1">
        <w:r w:rsidR="00002B19" w:rsidRPr="00A67FE9">
          <w:rPr>
            <w:rStyle w:val="Hyperlink"/>
            <w:noProof/>
            <w:lang w:val="en-GB"/>
          </w:rPr>
          <w:t>6.2</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 xml:space="preserve">Protection criterion for coexistence studies in the frequency range </w:t>
        </w:r>
        <w:r w:rsidR="00615726">
          <w:rPr>
            <w:rStyle w:val="Hyperlink"/>
            <w:noProof/>
            <w:lang w:val="en-GB"/>
          </w:rPr>
          <w:br/>
        </w:r>
        <w:r w:rsidR="00002B19" w:rsidRPr="00A67FE9">
          <w:rPr>
            <w:rStyle w:val="Hyperlink"/>
            <w:noProof/>
            <w:lang w:val="en-GB"/>
          </w:rPr>
          <w:t>252-296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_Toc122512304 \h </w:instrText>
        </w:r>
        <w:r w:rsidR="00002B19">
          <w:rPr>
            <w:noProof/>
            <w:webHidden/>
          </w:rPr>
        </w:r>
        <w:r w:rsidR="00002B19">
          <w:rPr>
            <w:noProof/>
            <w:webHidden/>
          </w:rPr>
          <w:fldChar w:fldCharType="separate"/>
        </w:r>
        <w:r>
          <w:rPr>
            <w:noProof/>
            <w:webHidden/>
          </w:rPr>
          <w:t>8</w:t>
        </w:r>
        <w:r w:rsidR="00002B19">
          <w:rPr>
            <w:noProof/>
            <w:webHidden/>
          </w:rPr>
          <w:fldChar w:fldCharType="end"/>
        </w:r>
      </w:hyperlink>
    </w:p>
    <w:p w14:paraId="778F03FF" w14:textId="2AB611DB" w:rsidR="00002B19" w:rsidRDefault="00F8453D">
      <w:pPr>
        <w:pStyle w:val="TOC2"/>
        <w:rPr>
          <w:rFonts w:asciiTheme="minorHAnsi" w:eastAsiaTheme="minorEastAsia" w:hAnsiTheme="minorHAnsi" w:cstheme="minorBidi"/>
          <w:noProof/>
          <w:sz w:val="22"/>
          <w:szCs w:val="22"/>
          <w:lang w:val="en-GB" w:eastAsia="en-GB"/>
        </w:rPr>
      </w:pPr>
      <w:hyperlink w:anchor="_Toc122512305" w:history="1">
        <w:r w:rsidR="00002B19" w:rsidRPr="00A67FE9">
          <w:rPr>
            <w:rStyle w:val="Hyperlink"/>
            <w:noProof/>
            <w:lang w:val="en-GB"/>
          </w:rPr>
          <w:t>6.3</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Propagation characteristics</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_Toc122512305 \h </w:instrText>
        </w:r>
        <w:r w:rsidR="00002B19">
          <w:rPr>
            <w:noProof/>
            <w:webHidden/>
          </w:rPr>
        </w:r>
        <w:r w:rsidR="00002B19">
          <w:rPr>
            <w:noProof/>
            <w:webHidden/>
          </w:rPr>
          <w:fldChar w:fldCharType="separate"/>
        </w:r>
        <w:r>
          <w:rPr>
            <w:noProof/>
            <w:webHidden/>
          </w:rPr>
          <w:t>9</w:t>
        </w:r>
        <w:r w:rsidR="00002B19">
          <w:rPr>
            <w:noProof/>
            <w:webHidden/>
          </w:rPr>
          <w:fldChar w:fldCharType="end"/>
        </w:r>
      </w:hyperlink>
    </w:p>
    <w:p w14:paraId="449934BD" w14:textId="626DAB8E" w:rsidR="00002B19" w:rsidRDefault="00F8453D">
      <w:pPr>
        <w:pStyle w:val="TOC2"/>
        <w:rPr>
          <w:rFonts w:asciiTheme="minorHAnsi" w:eastAsiaTheme="minorEastAsia" w:hAnsiTheme="minorHAnsi" w:cstheme="minorBidi"/>
          <w:noProof/>
          <w:sz w:val="22"/>
          <w:szCs w:val="22"/>
          <w:lang w:val="en-GB" w:eastAsia="en-GB"/>
        </w:rPr>
      </w:pPr>
      <w:hyperlink w:anchor="_Toc122512306" w:history="1">
        <w:r w:rsidR="00002B19" w:rsidRPr="00A67FE9">
          <w:rPr>
            <w:rStyle w:val="Hyperlink"/>
            <w:noProof/>
            <w:lang w:val="en-GB"/>
          </w:rPr>
          <w:t>6.4</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Simulation results</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_Toc122512306 \h </w:instrText>
        </w:r>
        <w:r w:rsidR="00002B19">
          <w:rPr>
            <w:noProof/>
            <w:webHidden/>
          </w:rPr>
        </w:r>
        <w:r w:rsidR="00002B19">
          <w:rPr>
            <w:noProof/>
            <w:webHidden/>
          </w:rPr>
          <w:fldChar w:fldCharType="separate"/>
        </w:r>
        <w:r>
          <w:rPr>
            <w:noProof/>
            <w:webHidden/>
          </w:rPr>
          <w:t>9</w:t>
        </w:r>
        <w:r w:rsidR="00002B19">
          <w:rPr>
            <w:noProof/>
            <w:webHidden/>
          </w:rPr>
          <w:fldChar w:fldCharType="end"/>
        </w:r>
      </w:hyperlink>
    </w:p>
    <w:p w14:paraId="44890E1A" w14:textId="5F49FEA9" w:rsidR="00002B19" w:rsidRDefault="00F8453D">
      <w:pPr>
        <w:pStyle w:val="TOC1"/>
        <w:rPr>
          <w:rFonts w:asciiTheme="minorHAnsi" w:eastAsiaTheme="minorEastAsia" w:hAnsiTheme="minorHAnsi" w:cstheme="minorBidi"/>
          <w:noProof/>
          <w:sz w:val="22"/>
          <w:szCs w:val="22"/>
          <w:lang w:val="en-GB" w:eastAsia="en-GB"/>
        </w:rPr>
      </w:pPr>
      <w:hyperlink w:anchor="_Toc122512307" w:history="1">
        <w:r w:rsidR="00002B19" w:rsidRPr="00A67FE9">
          <w:rPr>
            <w:rStyle w:val="Hyperlink"/>
            <w:noProof/>
            <w:lang w:val="en-GB" w:eastAsia="ja-JP"/>
          </w:rPr>
          <w:t>7</w:t>
        </w:r>
        <w:r w:rsidR="00002B19">
          <w:rPr>
            <w:rFonts w:asciiTheme="minorHAnsi" w:eastAsiaTheme="minorEastAsia" w:hAnsiTheme="minorHAnsi" w:cstheme="minorBidi"/>
            <w:noProof/>
            <w:sz w:val="22"/>
            <w:szCs w:val="22"/>
            <w:lang w:val="en-GB" w:eastAsia="en-GB"/>
          </w:rPr>
          <w:tab/>
        </w:r>
        <w:r w:rsidR="00002B19" w:rsidRPr="00A67FE9">
          <w:rPr>
            <w:rStyle w:val="Hyperlink"/>
            <w:noProof/>
            <w:lang w:val="en-GB"/>
          </w:rPr>
          <w:t>Summary</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_Toc122512307 \h </w:instrText>
        </w:r>
        <w:r w:rsidR="00002B19">
          <w:rPr>
            <w:noProof/>
            <w:webHidden/>
          </w:rPr>
        </w:r>
        <w:r w:rsidR="00002B19">
          <w:rPr>
            <w:noProof/>
            <w:webHidden/>
          </w:rPr>
          <w:fldChar w:fldCharType="separate"/>
        </w:r>
        <w:r>
          <w:rPr>
            <w:noProof/>
            <w:webHidden/>
          </w:rPr>
          <w:t>16</w:t>
        </w:r>
        <w:r w:rsidR="00002B19">
          <w:rPr>
            <w:noProof/>
            <w:webHidden/>
          </w:rPr>
          <w:fldChar w:fldCharType="end"/>
        </w:r>
      </w:hyperlink>
    </w:p>
    <w:p w14:paraId="58EED44F" w14:textId="17BC0567" w:rsidR="00002B19" w:rsidRDefault="00F8453D">
      <w:pPr>
        <w:pStyle w:val="TOC1"/>
        <w:rPr>
          <w:rFonts w:asciiTheme="minorHAnsi" w:eastAsiaTheme="minorEastAsia" w:hAnsiTheme="minorHAnsi" w:cstheme="minorBidi"/>
          <w:noProof/>
          <w:sz w:val="22"/>
          <w:szCs w:val="22"/>
          <w:lang w:val="en-GB" w:eastAsia="en-GB"/>
        </w:rPr>
      </w:pPr>
      <w:hyperlink w:anchor="_Toc122512308" w:history="1">
        <w:r w:rsidR="00002B19" w:rsidRPr="00A67FE9">
          <w:rPr>
            <w:rStyle w:val="Hyperlink"/>
            <w:noProof/>
            <w:lang w:val="en-GB"/>
          </w:rPr>
          <w:t xml:space="preserve">Annex </w:t>
        </w:r>
        <w:r w:rsidR="00002B19" w:rsidRPr="00A67FE9">
          <w:rPr>
            <w:rStyle w:val="Hyperlink"/>
            <w:noProof/>
            <w:lang w:val="en-GB" w:eastAsia="ja-JP"/>
          </w:rPr>
          <w:t xml:space="preserve">1 </w:t>
        </w:r>
        <w:r w:rsidR="00615726">
          <w:rPr>
            <w:rStyle w:val="Hyperlink"/>
            <w:noProof/>
            <w:lang w:val="en-GB" w:eastAsia="ja-JP"/>
          </w:rPr>
          <w:t>–</w:t>
        </w:r>
        <w:r w:rsidR="00002B19" w:rsidRPr="00A67FE9">
          <w:rPr>
            <w:rStyle w:val="Hyperlink"/>
            <w:noProof/>
            <w:lang w:val="en-GB" w:eastAsia="ja-JP"/>
          </w:rPr>
          <w:t xml:space="preserve"> </w:t>
        </w:r>
        <w:r w:rsidR="00002B19" w:rsidRPr="00A67FE9">
          <w:rPr>
            <w:rStyle w:val="Hyperlink"/>
            <w:noProof/>
            <w:lang w:val="en-GB"/>
          </w:rPr>
          <w:t xml:space="preserve">Extrapolation of building entry loss from Recommendation ITU-R </w:t>
        </w:r>
        <w:r w:rsidR="00002B19" w:rsidRPr="00A67FE9">
          <w:rPr>
            <w:rStyle w:val="Hyperlink"/>
            <w:noProof/>
            <w:lang w:val="en-GB" w:eastAsia="ja-JP"/>
          </w:rPr>
          <w:t>P.2109</w:t>
        </w:r>
        <w:r w:rsidR="00615726">
          <w:rPr>
            <w:rStyle w:val="Hyperlink"/>
            <w:noProof/>
            <w:lang w:val="en-GB" w:eastAsia="ja-JP"/>
          </w:rPr>
          <w:tab/>
        </w:r>
        <w:r w:rsidR="00002B19">
          <w:rPr>
            <w:noProof/>
            <w:webHidden/>
          </w:rPr>
          <w:tab/>
        </w:r>
        <w:r w:rsidR="00002B19">
          <w:rPr>
            <w:noProof/>
            <w:webHidden/>
          </w:rPr>
          <w:fldChar w:fldCharType="begin"/>
        </w:r>
        <w:r w:rsidR="00002B19">
          <w:rPr>
            <w:noProof/>
            <w:webHidden/>
          </w:rPr>
          <w:instrText xml:space="preserve"> PAGEREF _Toc122512308 \h </w:instrText>
        </w:r>
        <w:r w:rsidR="00002B19">
          <w:rPr>
            <w:noProof/>
            <w:webHidden/>
          </w:rPr>
        </w:r>
        <w:r w:rsidR="00002B19">
          <w:rPr>
            <w:noProof/>
            <w:webHidden/>
          </w:rPr>
          <w:fldChar w:fldCharType="separate"/>
        </w:r>
        <w:r>
          <w:rPr>
            <w:noProof/>
            <w:webHidden/>
          </w:rPr>
          <w:t>16</w:t>
        </w:r>
        <w:r w:rsidR="00002B19">
          <w:rPr>
            <w:noProof/>
            <w:webHidden/>
          </w:rPr>
          <w:fldChar w:fldCharType="end"/>
        </w:r>
      </w:hyperlink>
    </w:p>
    <w:p w14:paraId="5D53C4DF" w14:textId="4DAAB689" w:rsidR="00002B19" w:rsidRDefault="00F8453D">
      <w:pPr>
        <w:pStyle w:val="TOC1"/>
        <w:rPr>
          <w:rFonts w:asciiTheme="minorHAnsi" w:eastAsiaTheme="minorEastAsia" w:hAnsiTheme="minorHAnsi" w:cstheme="minorBidi"/>
          <w:noProof/>
          <w:sz w:val="22"/>
          <w:szCs w:val="22"/>
          <w:lang w:val="en-GB" w:eastAsia="en-GB"/>
        </w:rPr>
      </w:pPr>
      <w:hyperlink w:anchor="_Toc122512309" w:history="1">
        <w:r w:rsidR="00002B19" w:rsidRPr="00A67FE9">
          <w:rPr>
            <w:rStyle w:val="Hyperlink"/>
            <w:noProof/>
            <w:lang w:val="en-GB"/>
          </w:rPr>
          <w:t xml:space="preserve">Annex </w:t>
        </w:r>
        <w:r w:rsidR="00002B19" w:rsidRPr="00A67FE9">
          <w:rPr>
            <w:rStyle w:val="Hyperlink"/>
            <w:noProof/>
            <w:lang w:val="en-GB" w:eastAsia="ja-JP"/>
          </w:rPr>
          <w:t xml:space="preserve">2 </w:t>
        </w:r>
        <w:r w:rsidR="00615726">
          <w:rPr>
            <w:rStyle w:val="Hyperlink"/>
            <w:noProof/>
            <w:lang w:val="en-GB" w:eastAsia="ja-JP"/>
          </w:rPr>
          <w:t>–</w:t>
        </w:r>
        <w:r w:rsidR="00002B19" w:rsidRPr="00A67FE9">
          <w:rPr>
            <w:rStyle w:val="Hyperlink"/>
            <w:noProof/>
            <w:lang w:val="en-GB" w:eastAsia="ja-JP"/>
          </w:rPr>
          <w:t xml:space="preserve"> </w:t>
        </w:r>
        <w:r w:rsidR="00002B19" w:rsidRPr="00A67FE9">
          <w:rPr>
            <w:rStyle w:val="Hyperlink"/>
            <w:noProof/>
            <w:lang w:val="en-GB"/>
          </w:rPr>
          <w:t>Channel arrangement in the frequency range 252-296 GHz</w:t>
        </w:r>
        <w:r w:rsidR="00002B19">
          <w:rPr>
            <w:noProof/>
            <w:webHidden/>
          </w:rPr>
          <w:tab/>
        </w:r>
        <w:r w:rsidR="00615726">
          <w:rPr>
            <w:noProof/>
            <w:webHidden/>
          </w:rPr>
          <w:tab/>
        </w:r>
        <w:r w:rsidR="00002B19">
          <w:rPr>
            <w:noProof/>
            <w:webHidden/>
          </w:rPr>
          <w:fldChar w:fldCharType="begin"/>
        </w:r>
        <w:r w:rsidR="00002B19">
          <w:rPr>
            <w:noProof/>
            <w:webHidden/>
          </w:rPr>
          <w:instrText xml:space="preserve"> PAGEREF _Toc122512309 \h </w:instrText>
        </w:r>
        <w:r w:rsidR="00002B19">
          <w:rPr>
            <w:noProof/>
            <w:webHidden/>
          </w:rPr>
        </w:r>
        <w:r w:rsidR="00002B19">
          <w:rPr>
            <w:noProof/>
            <w:webHidden/>
          </w:rPr>
          <w:fldChar w:fldCharType="separate"/>
        </w:r>
        <w:r>
          <w:rPr>
            <w:noProof/>
            <w:webHidden/>
          </w:rPr>
          <w:t>17</w:t>
        </w:r>
        <w:r w:rsidR="00002B19">
          <w:rPr>
            <w:noProof/>
            <w:webHidden/>
          </w:rPr>
          <w:fldChar w:fldCharType="end"/>
        </w:r>
      </w:hyperlink>
    </w:p>
    <w:p w14:paraId="241A44DC" w14:textId="71B4879C" w:rsidR="00002B19" w:rsidRPr="00002B19" w:rsidRDefault="00002B19" w:rsidP="00002B19">
      <w:pPr>
        <w:rPr>
          <w:lang w:val="en-GB" w:eastAsia="ja-JP"/>
        </w:rPr>
      </w:pPr>
      <w:r>
        <w:rPr>
          <w:lang w:val="en-GB" w:eastAsia="ja-JP"/>
        </w:rPr>
        <w:fldChar w:fldCharType="end"/>
      </w:r>
    </w:p>
    <w:p w14:paraId="0C9F3C09" w14:textId="7ED91C3E" w:rsidR="00980FDC" w:rsidRPr="00263F6F"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bookmarkStart w:id="10" w:name="_Toc117177610"/>
      <w:bookmarkStart w:id="11" w:name="_Toc117177656"/>
      <w:r w:rsidRPr="00263F6F">
        <w:rPr>
          <w:lang w:val="en-GB"/>
        </w:rPr>
        <w:br w:type="page"/>
      </w:r>
    </w:p>
    <w:p w14:paraId="20C58268" w14:textId="222F5366" w:rsidR="008434AE" w:rsidRPr="00263F6F" w:rsidRDefault="008434AE" w:rsidP="008434AE">
      <w:pPr>
        <w:pStyle w:val="Heading1"/>
        <w:rPr>
          <w:lang w:val="en-GB"/>
        </w:rPr>
      </w:pPr>
      <w:bookmarkStart w:id="12" w:name="_Toc117687847"/>
      <w:bookmarkStart w:id="13" w:name="_Toc122512295"/>
      <w:r w:rsidRPr="00263F6F">
        <w:rPr>
          <w:lang w:val="en-GB"/>
        </w:rPr>
        <w:lastRenderedPageBreak/>
        <w:t>1</w:t>
      </w:r>
      <w:r w:rsidRPr="00263F6F">
        <w:rPr>
          <w:lang w:val="en-GB"/>
        </w:rPr>
        <w:tab/>
        <w:t>Introduction</w:t>
      </w:r>
      <w:bookmarkEnd w:id="10"/>
      <w:bookmarkEnd w:id="11"/>
      <w:bookmarkEnd w:id="12"/>
      <w:bookmarkEnd w:id="13"/>
    </w:p>
    <w:p w14:paraId="329F3DB7" w14:textId="3F99F9E4" w:rsidR="00C11308" w:rsidRPr="00263F6F" w:rsidRDefault="00C11308" w:rsidP="00C11308">
      <w:pPr>
        <w:rPr>
          <w:iCs/>
          <w:lang w:val="en-GB"/>
        </w:rPr>
      </w:pPr>
      <w:r w:rsidRPr="00263F6F">
        <w:rPr>
          <w:lang w:val="en-GB"/>
        </w:rPr>
        <w:t>Radio Regulations (RR) No.</w:t>
      </w:r>
      <w:r w:rsidRPr="00263F6F">
        <w:rPr>
          <w:b/>
          <w:lang w:val="en-GB"/>
        </w:rPr>
        <w:t xml:space="preserve"> </w:t>
      </w:r>
      <w:r w:rsidRPr="00263F6F">
        <w:rPr>
          <w:b/>
          <w:bCs/>
          <w:lang w:val="en-GB"/>
        </w:rPr>
        <w:t>5.565</w:t>
      </w:r>
      <w:r w:rsidRPr="00263F6F">
        <w:rPr>
          <w:lang w:val="en-GB"/>
        </w:rPr>
        <w:t xml:space="preserve"> identifies the specific frequency bands for the radio astronomy service, the Earth exploration-satellite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r w:rsidRPr="00263F6F">
        <w:rPr>
          <w:iCs/>
          <w:highlight w:val="cyan"/>
          <w:lang w:val="en-GB"/>
        </w:rPr>
        <w:t xml:space="preserve"> </w:t>
      </w:r>
    </w:p>
    <w:p w14:paraId="220F65A8" w14:textId="77777777" w:rsidR="00C11308" w:rsidRPr="00263F6F" w:rsidRDefault="00C11308" w:rsidP="00C11308">
      <w:pPr>
        <w:rPr>
          <w:lang w:val="en-GB" w:eastAsia="ja-JP"/>
        </w:rPr>
      </w:pPr>
      <w:r w:rsidRPr="00263F6F">
        <w:rPr>
          <w:lang w:val="en-GB" w:eastAsia="ja-JP"/>
        </w:rPr>
        <w:t xml:space="preserve">WRC-19 modified RR Article </w:t>
      </w:r>
      <w:r w:rsidRPr="00263F6F">
        <w:rPr>
          <w:b/>
          <w:bCs/>
          <w:lang w:val="en-GB" w:eastAsia="ja-JP"/>
        </w:rPr>
        <w:t>5</w:t>
      </w:r>
      <w:r w:rsidRPr="00263F6F">
        <w:rPr>
          <w:lang w:val="en-GB" w:eastAsia="ja-JP"/>
        </w:rPr>
        <w:t xml:space="preserve"> above 275 GHz in accordance with the results of WRC-19 agenda item 1.15. The new footnote RR No. </w:t>
      </w:r>
      <w:r w:rsidRPr="00263F6F">
        <w:rPr>
          <w:b/>
          <w:bCs/>
          <w:lang w:val="en-GB" w:eastAsia="ja-JP"/>
        </w:rPr>
        <w:t>5.564A</w:t>
      </w:r>
      <w:r w:rsidRPr="00263F6F">
        <w:rPr>
          <w:lang w:val="en-GB" w:eastAsia="ja-JP"/>
        </w:rPr>
        <w:t xml:space="preserve"> was added in the Table of Frequency Allocations to identify the frequency bands 275-296 GHz, 306-313 GHz, 318-333 GHz and 356-450 GHz for use by administrations for the implementation of land mobile service (LMS) and fixed service (FS) applications, where no specific conditions are necessary to protect Earth exploration-satellite service (passive) applications.</w:t>
      </w:r>
    </w:p>
    <w:p w14:paraId="43BB9F25" w14:textId="05F22510" w:rsidR="00C11308" w:rsidRPr="00263F6F" w:rsidRDefault="00C11308" w:rsidP="00C11308">
      <w:pPr>
        <w:rPr>
          <w:lang w:val="en-GB" w:eastAsia="ja-JP"/>
        </w:rPr>
      </w:pPr>
      <w:r w:rsidRPr="00263F6F">
        <w:rPr>
          <w:lang w:val="en-GB" w:eastAsia="ja-JP"/>
        </w:rPr>
        <w:t xml:space="preserve">In the Table of Frequency Allocations, the frequency bands 252-265 GHz and 265-275 GHz have already been allocated to the mobile and fixed services. If these bands and the newly identified band 275-296 GHz are simultaneously used for mobile and fixed service applications, coexistence operation of those applications in the total frequency band of 44 GHz should be examined using the technical and operational characteristics provided by Reports </w:t>
      </w:r>
      <w:hyperlink r:id="rId14" w:history="1">
        <w:r w:rsidR="003D49CE" w:rsidRPr="007407EB">
          <w:rPr>
            <w:rStyle w:val="Hyperlink"/>
            <w:color w:val="auto"/>
            <w:u w:val="none"/>
            <w:lang w:val="en-GB" w:eastAsia="ja-JP"/>
          </w:rPr>
          <w:t>ITU-R M.2417</w:t>
        </w:r>
      </w:hyperlink>
      <w:r w:rsidRPr="00263F6F">
        <w:rPr>
          <w:lang w:val="en-GB" w:eastAsia="ja-JP"/>
        </w:rPr>
        <w:t xml:space="preserve"> (for </w:t>
      </w:r>
      <w:r w:rsidRPr="00263F6F">
        <w:rPr>
          <w:iCs/>
          <w:lang w:val="en-GB"/>
        </w:rPr>
        <w:t>land-mobile service applications</w:t>
      </w:r>
      <w:r w:rsidRPr="00263F6F">
        <w:rPr>
          <w:lang w:val="en-GB" w:eastAsia="ja-JP"/>
        </w:rPr>
        <w:t xml:space="preserve">) and </w:t>
      </w:r>
      <w:r w:rsidR="003D49CE">
        <w:rPr>
          <w:lang w:val="en-GB"/>
        </w:rPr>
        <w:t>ITU-R</w:t>
      </w:r>
      <w:r w:rsidR="003D49CE" w:rsidRPr="00263F6F">
        <w:rPr>
          <w:lang w:val="en-GB"/>
        </w:rPr>
        <w:t xml:space="preserve"> </w:t>
      </w:r>
      <w:hyperlink r:id="rId15" w:history="1">
        <w:r w:rsidR="003D49CE" w:rsidRPr="007407EB">
          <w:rPr>
            <w:rStyle w:val="Hyperlink"/>
            <w:color w:val="auto"/>
            <w:u w:val="none"/>
            <w:lang w:val="en-GB"/>
          </w:rPr>
          <w:t>F.2416</w:t>
        </w:r>
      </w:hyperlink>
      <w:r w:rsidRPr="00263F6F">
        <w:rPr>
          <w:lang w:val="en-GB" w:eastAsia="ja-JP"/>
        </w:rPr>
        <w:t xml:space="preserve"> (for </w:t>
      </w:r>
      <w:r w:rsidRPr="00263F6F">
        <w:rPr>
          <w:iCs/>
          <w:lang w:val="en-GB"/>
        </w:rPr>
        <w:t>point-to-point fixed service applications</w:t>
      </w:r>
      <w:r w:rsidRPr="00263F6F">
        <w:rPr>
          <w:lang w:val="en-GB" w:eastAsia="ja-JP"/>
        </w:rPr>
        <w:t>).</w:t>
      </w:r>
    </w:p>
    <w:p w14:paraId="0FD5225D" w14:textId="77777777" w:rsidR="00C11308" w:rsidRPr="00263F6F" w:rsidRDefault="00C11308" w:rsidP="00C11308">
      <w:pPr>
        <w:pStyle w:val="Heading1"/>
        <w:rPr>
          <w:lang w:val="en-GB"/>
        </w:rPr>
      </w:pPr>
      <w:bookmarkStart w:id="14" w:name="_Toc122512296"/>
      <w:r w:rsidRPr="00263F6F">
        <w:rPr>
          <w:lang w:val="en-GB"/>
        </w:rPr>
        <w:t>2</w:t>
      </w:r>
      <w:r w:rsidRPr="00263F6F">
        <w:rPr>
          <w:lang w:val="en-GB"/>
        </w:rPr>
        <w:tab/>
        <w:t>Scope</w:t>
      </w:r>
      <w:bookmarkEnd w:id="14"/>
    </w:p>
    <w:p w14:paraId="7E940E0B" w14:textId="77777777" w:rsidR="00C11308" w:rsidRPr="00263F6F" w:rsidRDefault="00C11308" w:rsidP="00C11308">
      <w:pPr>
        <w:rPr>
          <w:lang w:val="en-GB" w:eastAsia="ja-JP"/>
        </w:rPr>
      </w:pPr>
      <w:r w:rsidRPr="00263F6F">
        <w:rPr>
          <w:rFonts w:asciiTheme="majorBidi" w:hAnsiTheme="majorBidi" w:cstheme="majorBidi"/>
          <w:lang w:val="en-GB" w:eastAsia="zh-CN"/>
        </w:rPr>
        <w:t>This Report provides the coexistence scenarios between LMS and FS applications operating in the frequency range 252-296 GHz, allowing to have a possible operation in co-frequency and adjacent frequency bands.</w:t>
      </w:r>
    </w:p>
    <w:p w14:paraId="10EBA80C" w14:textId="77777777" w:rsidR="00C11308" w:rsidRPr="00263F6F" w:rsidRDefault="00C11308" w:rsidP="00C11308">
      <w:pPr>
        <w:pStyle w:val="Heading1"/>
        <w:rPr>
          <w:lang w:val="en-GB"/>
        </w:rPr>
      </w:pPr>
      <w:bookmarkStart w:id="15" w:name="_Toc122512297"/>
      <w:r w:rsidRPr="00263F6F">
        <w:rPr>
          <w:lang w:val="en-GB"/>
        </w:rPr>
        <w:t>3</w:t>
      </w:r>
      <w:r w:rsidRPr="00263F6F">
        <w:rPr>
          <w:lang w:val="en-GB"/>
        </w:rPr>
        <w:tab/>
        <w:t>Related Recommendations and Reports</w:t>
      </w:r>
      <w:bookmarkEnd w:id="15"/>
    </w:p>
    <w:p w14:paraId="4C3F9D1F" w14:textId="36B7F167" w:rsidR="00002B19" w:rsidRPr="00263F6F" w:rsidRDefault="00002B19" w:rsidP="00002B19">
      <w:pPr>
        <w:pStyle w:val="Reftext"/>
        <w:rPr>
          <w:lang w:val="en-GB"/>
        </w:rPr>
      </w:pPr>
      <w:r w:rsidRPr="00263F6F">
        <w:rPr>
          <w:lang w:val="en-GB"/>
        </w:rPr>
        <w:t xml:space="preserve">Recommendation </w:t>
      </w:r>
      <w:hyperlink r:id="rId16" w:history="1">
        <w:r w:rsidRPr="00002B19">
          <w:rPr>
            <w:rStyle w:val="Hyperlink"/>
            <w:color w:val="auto"/>
            <w:u w:val="none"/>
            <w:lang w:val="en-GB"/>
          </w:rPr>
          <w:t>ITU-R F.699</w:t>
        </w:r>
      </w:hyperlink>
      <w:r>
        <w:rPr>
          <w:lang w:val="en-GB"/>
        </w:rPr>
        <w:t xml:space="preserve"> – </w:t>
      </w:r>
      <w:r w:rsidRPr="00263F6F">
        <w:rPr>
          <w:lang w:val="en-GB"/>
        </w:rPr>
        <w:t>Reference radiation patterns for fixed wireless system antennas for use in coordination studies and interference assessment in the frequency range from 100 MHz to 86 GHz</w:t>
      </w:r>
    </w:p>
    <w:p w14:paraId="3F7B9B35" w14:textId="21DBCEC7" w:rsidR="00002B19" w:rsidRPr="00263F6F" w:rsidRDefault="00002B19" w:rsidP="00002B19">
      <w:pPr>
        <w:pStyle w:val="Reftext"/>
        <w:rPr>
          <w:lang w:val="en-GB"/>
        </w:rPr>
      </w:pPr>
      <w:r w:rsidRPr="00263F6F">
        <w:rPr>
          <w:lang w:val="en-GB"/>
        </w:rPr>
        <w:t>Recommendation</w:t>
      </w:r>
      <w:r>
        <w:rPr>
          <w:lang w:val="en-GB"/>
        </w:rPr>
        <w:t xml:space="preserve"> </w:t>
      </w:r>
      <w:r w:rsidRPr="00225B7F">
        <w:rPr>
          <w:lang w:val="en-GB"/>
        </w:rPr>
        <w:t>ITU-R</w:t>
      </w:r>
      <w:r w:rsidRPr="00263F6F">
        <w:rPr>
          <w:lang w:val="en-GB"/>
        </w:rPr>
        <w:t xml:space="preserve"> </w:t>
      </w:r>
      <w:hyperlink r:id="rId17" w:history="1">
        <w:r w:rsidRPr="00225B7F">
          <w:rPr>
            <w:rStyle w:val="Hyperlink"/>
            <w:color w:val="auto"/>
            <w:u w:val="none"/>
            <w:lang w:val="en-GB"/>
          </w:rPr>
          <w:t>F.758</w:t>
        </w:r>
      </w:hyperlink>
      <w:r>
        <w:rPr>
          <w:lang w:val="en-GB"/>
        </w:rPr>
        <w:t xml:space="preserve"> – </w:t>
      </w:r>
      <w:r w:rsidRPr="00263F6F">
        <w:rPr>
          <w:lang w:val="en-GB"/>
        </w:rPr>
        <w:t>System parameters and considerations in the development of criteria for sharing or compatibility between digital fixed wireless systems in the fixed service and systems in other services and other sources of interference</w:t>
      </w:r>
    </w:p>
    <w:p w14:paraId="03FE1E25" w14:textId="465EB7E2" w:rsidR="00002B19" w:rsidRPr="00263F6F" w:rsidRDefault="00002B19" w:rsidP="00002B19">
      <w:pPr>
        <w:pStyle w:val="Reftext"/>
        <w:rPr>
          <w:lang w:val="en-GB"/>
        </w:rPr>
      </w:pPr>
      <w:r w:rsidRPr="000914BC">
        <w:rPr>
          <w:lang w:val="en-GB" w:eastAsia="ja-JP"/>
        </w:rPr>
        <w:t xml:space="preserve">Recommendation ITU-R </w:t>
      </w:r>
      <w:hyperlink r:id="rId18" w:history="1">
        <w:r w:rsidRPr="000914BC">
          <w:rPr>
            <w:lang w:val="en-GB" w:eastAsia="ja-JP"/>
          </w:rPr>
          <w:t>P.2109</w:t>
        </w:r>
      </w:hyperlink>
      <w:r>
        <w:rPr>
          <w:lang w:val="en-GB"/>
        </w:rPr>
        <w:t xml:space="preserve"> – </w:t>
      </w:r>
      <w:r w:rsidRPr="00263F6F">
        <w:rPr>
          <w:lang w:val="en-GB"/>
        </w:rPr>
        <w:t>Prediction of building entry loss</w:t>
      </w:r>
    </w:p>
    <w:p w14:paraId="46D71568" w14:textId="7493595E" w:rsidR="00002B19" w:rsidRPr="00263F6F" w:rsidRDefault="00002B19" w:rsidP="00002B19">
      <w:pPr>
        <w:pStyle w:val="Reftext"/>
        <w:rPr>
          <w:lang w:val="en-GB"/>
        </w:rPr>
      </w:pPr>
      <w:r w:rsidRPr="00263F6F">
        <w:rPr>
          <w:lang w:val="en-GB" w:eastAsia="ja-JP"/>
        </w:rPr>
        <w:t>Report</w:t>
      </w:r>
      <w:r>
        <w:rPr>
          <w:lang w:val="en-GB" w:eastAsia="ja-JP"/>
        </w:rPr>
        <w:t xml:space="preserve"> ITU-R</w:t>
      </w:r>
      <w:r w:rsidRPr="00263F6F">
        <w:rPr>
          <w:lang w:val="en-GB" w:eastAsia="ja-JP"/>
        </w:rPr>
        <w:t xml:space="preserve"> </w:t>
      </w:r>
      <w:hyperlink r:id="rId19" w:history="1">
        <w:r w:rsidRPr="00E8370B">
          <w:rPr>
            <w:rStyle w:val="Hyperlink"/>
            <w:color w:val="auto"/>
            <w:u w:val="none"/>
            <w:lang w:val="en-GB" w:eastAsia="ja-JP"/>
          </w:rPr>
          <w:t>F.2239</w:t>
        </w:r>
      </w:hyperlink>
      <w:r>
        <w:rPr>
          <w:lang w:val="en-GB"/>
        </w:rPr>
        <w:t xml:space="preserve"> – </w:t>
      </w:r>
      <w:r w:rsidRPr="00263F6F">
        <w:rPr>
          <w:lang w:val="en-GB"/>
        </w:rPr>
        <w:t>Coexistence between fixed service operating in 71-76 GHz, 81-86 GHz and 92</w:t>
      </w:r>
      <w:r>
        <w:rPr>
          <w:lang w:val="en-GB"/>
        </w:rPr>
        <w:noBreakHyphen/>
      </w:r>
      <w:r w:rsidRPr="00263F6F">
        <w:rPr>
          <w:lang w:val="en-GB"/>
        </w:rPr>
        <w:t>94</w:t>
      </w:r>
      <w:r>
        <w:rPr>
          <w:lang w:val="en-GB"/>
        </w:rPr>
        <w:t> </w:t>
      </w:r>
      <w:r w:rsidRPr="00263F6F">
        <w:rPr>
          <w:lang w:val="en-GB"/>
        </w:rPr>
        <w:t>GHz bands and passive services</w:t>
      </w:r>
    </w:p>
    <w:p w14:paraId="445D17D0" w14:textId="470925DA" w:rsidR="00002B19" w:rsidRPr="00263F6F" w:rsidRDefault="00002B19" w:rsidP="00002B19">
      <w:pPr>
        <w:pStyle w:val="Reftext"/>
        <w:rPr>
          <w:lang w:val="en-GB"/>
        </w:rPr>
      </w:pPr>
      <w:r w:rsidRPr="00263F6F">
        <w:rPr>
          <w:lang w:val="en-GB"/>
        </w:rPr>
        <w:t>Report</w:t>
      </w:r>
      <w:r>
        <w:rPr>
          <w:lang w:val="en-GB"/>
        </w:rPr>
        <w:t xml:space="preserve"> ITU-R</w:t>
      </w:r>
      <w:r w:rsidRPr="00263F6F">
        <w:rPr>
          <w:lang w:val="en-GB"/>
        </w:rPr>
        <w:t xml:space="preserve"> </w:t>
      </w:r>
      <w:hyperlink r:id="rId20" w:history="1">
        <w:r w:rsidRPr="007407EB">
          <w:rPr>
            <w:rStyle w:val="Hyperlink"/>
            <w:color w:val="auto"/>
            <w:u w:val="none"/>
            <w:lang w:val="en-GB"/>
          </w:rPr>
          <w:t>F.2416</w:t>
        </w:r>
      </w:hyperlink>
      <w:r>
        <w:rPr>
          <w:lang w:val="en-GB"/>
        </w:rPr>
        <w:t xml:space="preserve"> – </w:t>
      </w:r>
      <w:r w:rsidRPr="00263F6F">
        <w:rPr>
          <w:lang w:val="en-GB"/>
        </w:rPr>
        <w:t>Technical and operational characteristics and applications of the point-to-point fixed service applications operating in the frequency band 275-450 GHz</w:t>
      </w:r>
    </w:p>
    <w:p w14:paraId="42676905" w14:textId="2F9DBD59" w:rsidR="00002B19" w:rsidRPr="00263F6F" w:rsidRDefault="00002B19" w:rsidP="00002B19">
      <w:pPr>
        <w:pStyle w:val="Reftext"/>
        <w:rPr>
          <w:lang w:val="en-GB"/>
        </w:rPr>
      </w:pPr>
      <w:r w:rsidRPr="00263F6F">
        <w:rPr>
          <w:lang w:val="en-GB" w:eastAsia="ja-JP"/>
        </w:rPr>
        <w:t xml:space="preserve">Report </w:t>
      </w:r>
      <w:hyperlink r:id="rId21" w:history="1">
        <w:r w:rsidRPr="007407EB">
          <w:rPr>
            <w:rStyle w:val="Hyperlink"/>
            <w:color w:val="auto"/>
            <w:u w:val="none"/>
            <w:lang w:val="en-GB" w:eastAsia="ja-JP"/>
          </w:rPr>
          <w:t>ITU-R M.2417</w:t>
        </w:r>
      </w:hyperlink>
      <w:r>
        <w:rPr>
          <w:lang w:val="en-GB"/>
        </w:rPr>
        <w:t xml:space="preserve"> – </w:t>
      </w:r>
      <w:r w:rsidRPr="00263F6F">
        <w:rPr>
          <w:lang w:val="en-GB"/>
        </w:rPr>
        <w:t>Technical and operational characteristics of land-mobile service applications in the frequency range 275-450 GHz</w:t>
      </w:r>
    </w:p>
    <w:p w14:paraId="1434B238" w14:textId="3E57496B" w:rsidR="00002B19" w:rsidRPr="00263F6F" w:rsidRDefault="00002B19" w:rsidP="00002B19">
      <w:pPr>
        <w:pStyle w:val="Reftext"/>
        <w:rPr>
          <w:lang w:val="en-GB"/>
        </w:rPr>
      </w:pPr>
      <w:r w:rsidRPr="00263F6F">
        <w:rPr>
          <w:lang w:val="en-GB" w:eastAsia="ja-JP"/>
        </w:rPr>
        <w:t>Report</w:t>
      </w:r>
      <w:r>
        <w:rPr>
          <w:lang w:val="en-GB" w:eastAsia="ja-JP"/>
        </w:rPr>
        <w:t xml:space="preserve"> ITU-R</w:t>
      </w:r>
      <w:r w:rsidRPr="00263F6F">
        <w:rPr>
          <w:lang w:val="en-GB" w:eastAsia="ja-JP"/>
        </w:rPr>
        <w:t xml:space="preserve"> </w:t>
      </w:r>
      <w:hyperlink r:id="rId22" w:history="1">
        <w:r w:rsidRPr="007407EB">
          <w:rPr>
            <w:rStyle w:val="Hyperlink"/>
            <w:color w:val="auto"/>
            <w:u w:val="none"/>
            <w:lang w:val="en-GB" w:eastAsia="ja-JP"/>
          </w:rPr>
          <w:t>SM.2450</w:t>
        </w:r>
      </w:hyperlink>
      <w:r>
        <w:rPr>
          <w:lang w:val="en-GB"/>
        </w:rPr>
        <w:t xml:space="preserve"> – </w:t>
      </w:r>
      <w:r w:rsidRPr="00263F6F">
        <w:rPr>
          <w:lang w:val="en-GB"/>
        </w:rPr>
        <w:t>Sharing and compatibility studies between land-mobile, fixed and passive services in the frequency range 275-450 GHz</w:t>
      </w:r>
    </w:p>
    <w:p w14:paraId="1D77BF98" w14:textId="77777777" w:rsidR="00C11308" w:rsidRPr="00263F6F" w:rsidRDefault="00C11308" w:rsidP="00C11308">
      <w:pPr>
        <w:pStyle w:val="Heading1"/>
        <w:rPr>
          <w:lang w:val="en-GB"/>
        </w:rPr>
      </w:pPr>
      <w:bookmarkStart w:id="16" w:name="_Toc122512298"/>
      <w:r w:rsidRPr="00263F6F">
        <w:rPr>
          <w:lang w:val="en-GB"/>
        </w:rPr>
        <w:t>4</w:t>
      </w:r>
      <w:r w:rsidRPr="00263F6F">
        <w:rPr>
          <w:lang w:val="en-GB"/>
        </w:rPr>
        <w:tab/>
        <w:t>List of acronyms and abbreviations</w:t>
      </w:r>
      <w:bookmarkEnd w:id="16"/>
    </w:p>
    <w:p w14:paraId="19376128" w14:textId="3DF0E2ED" w:rsidR="00002B19" w:rsidRPr="00263F6F" w:rsidRDefault="00002B19" w:rsidP="00002B19">
      <w:pPr>
        <w:tabs>
          <w:tab w:val="clear" w:pos="794"/>
          <w:tab w:val="clear" w:pos="1191"/>
          <w:tab w:val="left" w:pos="1418"/>
        </w:tabs>
        <w:rPr>
          <w:lang w:val="en-GB"/>
        </w:rPr>
      </w:pPr>
      <w:r w:rsidRPr="00263F6F">
        <w:rPr>
          <w:lang w:val="en-GB"/>
        </w:rPr>
        <w:t>BBU</w:t>
      </w:r>
      <w:r w:rsidRPr="00263F6F">
        <w:rPr>
          <w:lang w:val="en-GB"/>
        </w:rPr>
        <w:tab/>
        <w:t>Baseband unit</w:t>
      </w:r>
    </w:p>
    <w:p w14:paraId="7C970D6D" w14:textId="26262684" w:rsidR="00002B19" w:rsidRPr="00263F6F" w:rsidRDefault="00002B19" w:rsidP="00002B19">
      <w:pPr>
        <w:tabs>
          <w:tab w:val="clear" w:pos="794"/>
          <w:tab w:val="clear" w:pos="1191"/>
          <w:tab w:val="left" w:pos="1418"/>
        </w:tabs>
        <w:rPr>
          <w:lang w:val="en-GB"/>
        </w:rPr>
      </w:pPr>
      <w:r w:rsidRPr="00263F6F">
        <w:rPr>
          <w:lang w:val="en-GB"/>
        </w:rPr>
        <w:t>BEL</w:t>
      </w:r>
      <w:r w:rsidRPr="00263F6F">
        <w:rPr>
          <w:lang w:val="en-GB"/>
        </w:rPr>
        <w:tab/>
        <w:t>Building entry loss</w:t>
      </w:r>
    </w:p>
    <w:p w14:paraId="49EAFCE4" w14:textId="265207EB" w:rsidR="00002B19" w:rsidRPr="00263F6F" w:rsidRDefault="00002B19" w:rsidP="00002B19">
      <w:pPr>
        <w:tabs>
          <w:tab w:val="clear" w:pos="794"/>
          <w:tab w:val="clear" w:pos="1191"/>
          <w:tab w:val="left" w:pos="1418"/>
        </w:tabs>
        <w:rPr>
          <w:lang w:val="en-GB"/>
        </w:rPr>
      </w:pPr>
      <w:r w:rsidRPr="00263F6F">
        <w:rPr>
          <w:lang w:val="en-GB"/>
        </w:rPr>
        <w:lastRenderedPageBreak/>
        <w:t>BER</w:t>
      </w:r>
      <w:r w:rsidRPr="00263F6F">
        <w:rPr>
          <w:lang w:val="en-GB"/>
        </w:rPr>
        <w:tab/>
        <w:t>Bit error ratio</w:t>
      </w:r>
    </w:p>
    <w:p w14:paraId="56F49F0D" w14:textId="3F30A60B" w:rsidR="00002B19" w:rsidRPr="00263F6F" w:rsidRDefault="00002B19" w:rsidP="00002B19">
      <w:pPr>
        <w:tabs>
          <w:tab w:val="clear" w:pos="794"/>
          <w:tab w:val="clear" w:pos="1191"/>
          <w:tab w:val="left" w:pos="1418"/>
        </w:tabs>
        <w:rPr>
          <w:lang w:val="en-GB"/>
        </w:rPr>
      </w:pPr>
      <w:r w:rsidRPr="00263F6F">
        <w:rPr>
          <w:lang w:val="en-GB"/>
        </w:rPr>
        <w:t>CPMS</w:t>
      </w:r>
      <w:r w:rsidRPr="00263F6F">
        <w:rPr>
          <w:lang w:val="en-GB"/>
        </w:rPr>
        <w:tab/>
        <w:t>Close proximity mobile system</w:t>
      </w:r>
    </w:p>
    <w:p w14:paraId="0186A8F7" w14:textId="708AE48F" w:rsidR="00002B19" w:rsidRPr="00263F6F" w:rsidRDefault="00002B19" w:rsidP="00002B19">
      <w:pPr>
        <w:tabs>
          <w:tab w:val="clear" w:pos="794"/>
          <w:tab w:val="clear" w:pos="1191"/>
          <w:tab w:val="left" w:pos="1418"/>
        </w:tabs>
        <w:rPr>
          <w:lang w:val="en-GB"/>
        </w:rPr>
      </w:pPr>
      <w:r w:rsidRPr="00263F6F">
        <w:rPr>
          <w:lang w:val="en-GB"/>
        </w:rPr>
        <w:t>CPMS MT</w:t>
      </w:r>
      <w:r w:rsidRPr="00263F6F">
        <w:rPr>
          <w:lang w:val="en-GB"/>
        </w:rPr>
        <w:tab/>
        <w:t>Close proximity mobile system – Mobile terminal</w:t>
      </w:r>
    </w:p>
    <w:p w14:paraId="260CCD25" w14:textId="2022A407" w:rsidR="00002B19" w:rsidRPr="00263F6F" w:rsidRDefault="00002B19" w:rsidP="00002B19">
      <w:pPr>
        <w:tabs>
          <w:tab w:val="clear" w:pos="794"/>
          <w:tab w:val="clear" w:pos="1191"/>
          <w:tab w:val="left" w:pos="1418"/>
        </w:tabs>
        <w:rPr>
          <w:lang w:val="en-GB"/>
        </w:rPr>
      </w:pPr>
      <w:r w:rsidRPr="00263F6F">
        <w:rPr>
          <w:lang w:val="en-GB"/>
        </w:rPr>
        <w:t>CPMS FS</w:t>
      </w:r>
      <w:r w:rsidRPr="00263F6F">
        <w:rPr>
          <w:lang w:val="en-GB"/>
        </w:rPr>
        <w:tab/>
        <w:t>Close proximity mobile system – Fixed station</w:t>
      </w:r>
    </w:p>
    <w:p w14:paraId="5426CDDF" w14:textId="3949F5D3" w:rsidR="00002B19" w:rsidRPr="00263F6F" w:rsidRDefault="00002B19" w:rsidP="00002B19">
      <w:pPr>
        <w:tabs>
          <w:tab w:val="clear" w:pos="794"/>
          <w:tab w:val="clear" w:pos="1191"/>
          <w:tab w:val="left" w:pos="1418"/>
        </w:tabs>
        <w:rPr>
          <w:lang w:val="en-GB"/>
        </w:rPr>
      </w:pPr>
      <w:r w:rsidRPr="00263F6F">
        <w:rPr>
          <w:rFonts w:eastAsia="SimSun"/>
          <w:lang w:val="en-GB" w:eastAsia="ja-JP"/>
        </w:rPr>
        <w:t>e.i.r.p.</w:t>
      </w:r>
      <w:r w:rsidRPr="00263F6F">
        <w:rPr>
          <w:lang w:val="en-GB"/>
        </w:rPr>
        <w:tab/>
        <w:t>Equivalent isotropically radiated power (see RR No. </w:t>
      </w:r>
      <w:r w:rsidRPr="00263F6F">
        <w:rPr>
          <w:b/>
          <w:lang w:val="en-GB"/>
        </w:rPr>
        <w:t>1.161)</w:t>
      </w:r>
    </w:p>
    <w:p w14:paraId="6FB4C9A6" w14:textId="5D9C923A" w:rsidR="00002B19" w:rsidRPr="00263F6F" w:rsidRDefault="00002B19" w:rsidP="00002B19">
      <w:pPr>
        <w:tabs>
          <w:tab w:val="clear" w:pos="794"/>
          <w:tab w:val="clear" w:pos="1191"/>
          <w:tab w:val="left" w:pos="1418"/>
        </w:tabs>
        <w:rPr>
          <w:lang w:val="en-GB"/>
        </w:rPr>
      </w:pPr>
      <w:r w:rsidRPr="00263F6F">
        <w:rPr>
          <w:lang w:val="en-GB"/>
        </w:rPr>
        <w:t>FDD</w:t>
      </w:r>
      <w:r w:rsidRPr="00263F6F">
        <w:rPr>
          <w:lang w:val="en-GB"/>
        </w:rPr>
        <w:tab/>
        <w:t>Frequency-division duplex</w:t>
      </w:r>
    </w:p>
    <w:p w14:paraId="05A8E18A" w14:textId="0358E2AB" w:rsidR="00002B19" w:rsidRPr="00263F6F" w:rsidRDefault="00002B19" w:rsidP="00002B19">
      <w:pPr>
        <w:tabs>
          <w:tab w:val="clear" w:pos="794"/>
          <w:tab w:val="clear" w:pos="1191"/>
          <w:tab w:val="left" w:pos="1418"/>
        </w:tabs>
        <w:rPr>
          <w:lang w:val="en-GB" w:eastAsia="ja-JP"/>
        </w:rPr>
      </w:pPr>
      <w:r w:rsidRPr="00263F6F">
        <w:rPr>
          <w:lang w:val="en-GB" w:eastAsia="ja-JP"/>
        </w:rPr>
        <w:t>FS</w:t>
      </w:r>
      <w:r w:rsidRPr="00263F6F">
        <w:rPr>
          <w:lang w:val="en-GB" w:eastAsia="ja-JP"/>
        </w:rPr>
        <w:tab/>
        <w:t>Fixed service</w:t>
      </w:r>
    </w:p>
    <w:p w14:paraId="3AE124E7" w14:textId="08C42E11" w:rsidR="00002B19" w:rsidRPr="00263F6F" w:rsidRDefault="00002B19" w:rsidP="00002B19">
      <w:pPr>
        <w:tabs>
          <w:tab w:val="clear" w:pos="794"/>
          <w:tab w:val="clear" w:pos="1191"/>
          <w:tab w:val="left" w:pos="1418"/>
        </w:tabs>
        <w:rPr>
          <w:lang w:val="en-GB" w:eastAsia="ja-JP"/>
        </w:rPr>
      </w:pPr>
      <w:r w:rsidRPr="00263F6F">
        <w:rPr>
          <w:lang w:val="en-GB" w:eastAsia="zh-CN"/>
        </w:rPr>
        <w:t>IEEE</w:t>
      </w:r>
      <w:r w:rsidRPr="00263F6F">
        <w:rPr>
          <w:lang w:val="en-GB" w:eastAsia="ja-JP"/>
        </w:rPr>
        <w:tab/>
      </w:r>
      <w:r w:rsidRPr="00263F6F">
        <w:rPr>
          <w:lang w:val="en-GB"/>
        </w:rPr>
        <w:t>Institute of Electrical and Electronic Engineers</w:t>
      </w:r>
    </w:p>
    <w:p w14:paraId="6A518D7A" w14:textId="5EA0B2ED" w:rsidR="00002B19" w:rsidRPr="00263F6F" w:rsidRDefault="00002B19" w:rsidP="00002B19">
      <w:pPr>
        <w:tabs>
          <w:tab w:val="clear" w:pos="794"/>
          <w:tab w:val="clear" w:pos="1191"/>
          <w:tab w:val="left" w:pos="1418"/>
        </w:tabs>
        <w:rPr>
          <w:lang w:val="en-GB" w:eastAsia="ja-JP"/>
        </w:rPr>
      </w:pPr>
      <w:r w:rsidRPr="00263F6F">
        <w:rPr>
          <w:i/>
          <w:iCs/>
          <w:lang w:val="en-GB" w:eastAsia="ja-JP"/>
        </w:rPr>
        <w:t>I</w:t>
      </w:r>
      <w:r w:rsidRPr="00263F6F">
        <w:rPr>
          <w:lang w:val="en-GB" w:eastAsia="ja-JP"/>
        </w:rPr>
        <w:t>/</w:t>
      </w:r>
      <w:r w:rsidRPr="00263F6F">
        <w:rPr>
          <w:i/>
          <w:iCs/>
          <w:lang w:val="en-GB" w:eastAsia="ja-JP"/>
        </w:rPr>
        <w:t>N</w:t>
      </w:r>
      <w:r w:rsidRPr="00263F6F">
        <w:rPr>
          <w:lang w:val="en-GB" w:eastAsia="ja-JP"/>
        </w:rPr>
        <w:tab/>
      </w:r>
      <w:r w:rsidRPr="00263F6F">
        <w:rPr>
          <w:lang w:val="en-GB"/>
        </w:rPr>
        <w:t>Interference to noise ratio</w:t>
      </w:r>
    </w:p>
    <w:p w14:paraId="55AD802C" w14:textId="0900D69E" w:rsidR="00002B19" w:rsidRPr="00263F6F" w:rsidRDefault="00002B19" w:rsidP="00002B19">
      <w:pPr>
        <w:tabs>
          <w:tab w:val="clear" w:pos="794"/>
          <w:tab w:val="clear" w:pos="1191"/>
          <w:tab w:val="left" w:pos="1418"/>
        </w:tabs>
        <w:rPr>
          <w:lang w:val="en-GB"/>
        </w:rPr>
      </w:pPr>
      <w:r w:rsidRPr="00263F6F">
        <w:rPr>
          <w:lang w:val="en-GB"/>
        </w:rPr>
        <w:t>LMS</w:t>
      </w:r>
      <w:r w:rsidRPr="00263F6F">
        <w:rPr>
          <w:lang w:val="en-GB"/>
        </w:rPr>
        <w:tab/>
        <w:t>Land mobile service</w:t>
      </w:r>
    </w:p>
    <w:p w14:paraId="7C1B05AD" w14:textId="5B82B601" w:rsidR="00002B19" w:rsidRPr="00263F6F" w:rsidRDefault="00002B19" w:rsidP="00002B19">
      <w:pPr>
        <w:tabs>
          <w:tab w:val="clear" w:pos="794"/>
          <w:tab w:val="clear" w:pos="1191"/>
          <w:tab w:val="left" w:pos="1418"/>
        </w:tabs>
        <w:rPr>
          <w:lang w:val="en-GB"/>
        </w:rPr>
      </w:pPr>
      <w:r w:rsidRPr="00263F6F">
        <w:rPr>
          <w:lang w:val="en-GB"/>
        </w:rPr>
        <w:t>PSD</w:t>
      </w:r>
      <w:r w:rsidRPr="00263F6F">
        <w:rPr>
          <w:lang w:val="en-GB"/>
        </w:rPr>
        <w:tab/>
        <w:t>Power spectrum density</w:t>
      </w:r>
    </w:p>
    <w:p w14:paraId="33B5BB0E" w14:textId="07457199" w:rsidR="00002B19" w:rsidRPr="00263F6F" w:rsidRDefault="00002B19" w:rsidP="00002B19">
      <w:pPr>
        <w:tabs>
          <w:tab w:val="clear" w:pos="794"/>
          <w:tab w:val="clear" w:pos="1191"/>
          <w:tab w:val="left" w:pos="1418"/>
        </w:tabs>
        <w:rPr>
          <w:lang w:val="en-GB" w:eastAsia="ja-JP"/>
        </w:rPr>
      </w:pPr>
      <w:r w:rsidRPr="00263F6F">
        <w:rPr>
          <w:lang w:val="en-GB" w:eastAsia="ja-JP"/>
        </w:rPr>
        <w:t>RRH</w:t>
      </w:r>
      <w:r w:rsidRPr="00263F6F">
        <w:rPr>
          <w:lang w:val="en-GB" w:eastAsia="ja-JP"/>
        </w:rPr>
        <w:tab/>
        <w:t>Remote radio head</w:t>
      </w:r>
    </w:p>
    <w:p w14:paraId="5DD5CFA4" w14:textId="6BD546B6" w:rsidR="00002B19" w:rsidRPr="00263F6F" w:rsidRDefault="00002B19" w:rsidP="00002B19">
      <w:pPr>
        <w:tabs>
          <w:tab w:val="clear" w:pos="794"/>
          <w:tab w:val="clear" w:pos="1191"/>
          <w:tab w:val="left" w:pos="1418"/>
        </w:tabs>
        <w:rPr>
          <w:lang w:val="en-GB" w:eastAsia="ja-JP"/>
        </w:rPr>
      </w:pPr>
      <w:r w:rsidRPr="00263F6F">
        <w:rPr>
          <w:lang w:val="en-GB" w:eastAsia="ja-JP"/>
        </w:rPr>
        <w:t>TDD</w:t>
      </w:r>
      <w:r w:rsidRPr="00263F6F">
        <w:rPr>
          <w:lang w:val="en-GB" w:eastAsia="ja-JP"/>
        </w:rPr>
        <w:tab/>
      </w:r>
      <w:r w:rsidRPr="00263F6F">
        <w:rPr>
          <w:lang w:val="en-GB"/>
        </w:rPr>
        <w:t>Time-division duplex</w:t>
      </w:r>
    </w:p>
    <w:p w14:paraId="18B37907" w14:textId="77777777" w:rsidR="00C11308" w:rsidRPr="00263F6F" w:rsidRDefault="00C11308" w:rsidP="00C11308">
      <w:pPr>
        <w:pStyle w:val="Heading1"/>
        <w:rPr>
          <w:lang w:val="en-GB" w:eastAsia="ja-JP"/>
        </w:rPr>
      </w:pPr>
      <w:bookmarkStart w:id="17" w:name="_Toc11081138"/>
      <w:bookmarkStart w:id="18" w:name="_Toc122512299"/>
      <w:r w:rsidRPr="00263F6F">
        <w:rPr>
          <w:lang w:val="en-GB" w:eastAsia="ja-JP"/>
        </w:rPr>
        <w:t>5</w:t>
      </w:r>
      <w:r w:rsidRPr="00263F6F">
        <w:rPr>
          <w:lang w:val="en-GB" w:eastAsia="ja-JP"/>
        </w:rPr>
        <w:tab/>
        <w:t>Technical and operational characteristics</w:t>
      </w:r>
      <w:bookmarkEnd w:id="17"/>
      <w:bookmarkEnd w:id="18"/>
    </w:p>
    <w:p w14:paraId="3836B6BE" w14:textId="77777777" w:rsidR="00C11308" w:rsidRPr="00263F6F" w:rsidRDefault="00C11308" w:rsidP="00C11308">
      <w:pPr>
        <w:pStyle w:val="Heading2"/>
        <w:rPr>
          <w:lang w:val="en-GB" w:eastAsia="ja-JP"/>
        </w:rPr>
      </w:pPr>
      <w:bookmarkStart w:id="19" w:name="_Toc11081139"/>
      <w:bookmarkStart w:id="20" w:name="_Toc122512300"/>
      <w:r w:rsidRPr="00263F6F">
        <w:rPr>
          <w:lang w:val="en-GB" w:eastAsia="ja-JP"/>
        </w:rPr>
        <w:t>5.1</w:t>
      </w:r>
      <w:r w:rsidRPr="00263F6F">
        <w:rPr>
          <w:lang w:val="en-GB" w:eastAsia="ja-JP"/>
        </w:rPr>
        <w:tab/>
        <w:t>Technical and operational characteristics of LMS applications operating in the frequency range 252-296 GHz</w:t>
      </w:r>
      <w:bookmarkEnd w:id="19"/>
      <w:bookmarkEnd w:id="20"/>
    </w:p>
    <w:p w14:paraId="260D6F84" w14:textId="77777777" w:rsidR="00C11308" w:rsidRPr="00263F6F" w:rsidRDefault="00C11308" w:rsidP="00C11308">
      <w:pPr>
        <w:pStyle w:val="TableNo"/>
        <w:rPr>
          <w:lang w:val="en-GB" w:eastAsia="ja-JP"/>
        </w:rPr>
      </w:pPr>
      <w:r w:rsidRPr="00263F6F">
        <w:rPr>
          <w:lang w:val="en-GB"/>
        </w:rPr>
        <w:t>TABLE</w:t>
      </w:r>
      <w:r w:rsidRPr="00263F6F">
        <w:rPr>
          <w:lang w:val="en-GB" w:eastAsia="ja-JP"/>
        </w:rPr>
        <w:t xml:space="preserve"> 1</w:t>
      </w:r>
    </w:p>
    <w:p w14:paraId="6C7BE248" w14:textId="77777777" w:rsidR="00C11308" w:rsidRPr="00263F6F" w:rsidRDefault="00C11308" w:rsidP="00C11308">
      <w:pPr>
        <w:pStyle w:val="Tabletitle"/>
        <w:rPr>
          <w:lang w:val="en-GB"/>
        </w:rPr>
      </w:pPr>
      <w:r w:rsidRPr="00263F6F">
        <w:rPr>
          <w:lang w:val="en-GB"/>
        </w:rPr>
        <w:t>Technical</w:t>
      </w:r>
      <w:r w:rsidRPr="00263F6F" w:rsidDel="001F122C">
        <w:rPr>
          <w:lang w:val="en-GB"/>
        </w:rPr>
        <w:t xml:space="preserve"> </w:t>
      </w:r>
      <w:r w:rsidRPr="00263F6F">
        <w:rPr>
          <w:lang w:val="en-GB"/>
        </w:rPr>
        <w:t xml:space="preserve">and operational characteristics of land mobile service applications </w:t>
      </w:r>
      <w:r w:rsidRPr="00263F6F">
        <w:rPr>
          <w:lang w:val="en-GB"/>
        </w:rPr>
        <w:br/>
        <w:t>operating in the frequency range 252-296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C11308" w:rsidRPr="00263F6F" w14:paraId="648A195A" w14:textId="77777777" w:rsidTr="00A07C8F">
        <w:trPr>
          <w:cantSplit/>
          <w:trHeight w:val="365"/>
          <w:tblHeader/>
          <w:jc w:val="center"/>
        </w:trPr>
        <w:tc>
          <w:tcPr>
            <w:tcW w:w="5529" w:type="dxa"/>
            <w:vAlign w:val="center"/>
          </w:tcPr>
          <w:p w14:paraId="67A4E15C" w14:textId="77777777" w:rsidR="00C11308" w:rsidRPr="00263F6F" w:rsidDel="009D0FF3" w:rsidRDefault="00C11308" w:rsidP="00AC5F8D">
            <w:pPr>
              <w:pStyle w:val="Tablehead"/>
              <w:rPr>
                <w:rFonts w:eastAsia="SimSun"/>
                <w:lang w:val="en-GB" w:eastAsia="ja-JP"/>
              </w:rPr>
            </w:pPr>
            <w:r w:rsidRPr="00263F6F">
              <w:rPr>
                <w:rFonts w:eastAsia="SimSun"/>
                <w:lang w:val="en-GB" w:eastAsia="ja-JP"/>
              </w:rPr>
              <w:t>Parameters</w:t>
            </w:r>
          </w:p>
        </w:tc>
        <w:tc>
          <w:tcPr>
            <w:tcW w:w="4110" w:type="dxa"/>
            <w:vAlign w:val="center"/>
          </w:tcPr>
          <w:p w14:paraId="3B667458" w14:textId="77777777" w:rsidR="00C11308" w:rsidRPr="00263F6F" w:rsidDel="009D0FF3" w:rsidRDefault="00C11308" w:rsidP="00AC5F8D">
            <w:pPr>
              <w:pStyle w:val="Tablehead"/>
              <w:rPr>
                <w:bCs/>
                <w:lang w:val="en-GB" w:eastAsia="ja-JP"/>
              </w:rPr>
            </w:pPr>
            <w:r w:rsidRPr="00263F6F">
              <w:rPr>
                <w:rFonts w:eastAsia="SimSun"/>
                <w:bCs/>
                <w:lang w:val="en-GB" w:eastAsia="ja-JP"/>
              </w:rPr>
              <w:t>Value</w:t>
            </w:r>
            <w:r w:rsidRPr="00263F6F">
              <w:rPr>
                <w:bCs/>
                <w:lang w:val="en-GB" w:eastAsia="ja-JP"/>
              </w:rPr>
              <w:t>s</w:t>
            </w:r>
          </w:p>
        </w:tc>
      </w:tr>
      <w:tr w:rsidR="00C11308" w:rsidRPr="00263F6F" w14:paraId="31E5514A" w14:textId="77777777" w:rsidTr="00A07C8F">
        <w:trPr>
          <w:cantSplit/>
          <w:jc w:val="center"/>
        </w:trPr>
        <w:tc>
          <w:tcPr>
            <w:tcW w:w="5529" w:type="dxa"/>
          </w:tcPr>
          <w:p w14:paraId="20FB732E" w14:textId="77777777" w:rsidR="00C11308" w:rsidRPr="00263F6F" w:rsidRDefault="00C11308" w:rsidP="00AC5F8D">
            <w:pPr>
              <w:pStyle w:val="Tabletext"/>
              <w:rPr>
                <w:rFonts w:eastAsia="SimSun"/>
                <w:lang w:val="en-GB" w:eastAsia="ja-JP"/>
              </w:rPr>
            </w:pPr>
            <w:r w:rsidRPr="00263F6F">
              <w:rPr>
                <w:rFonts w:eastAsia="SimSun"/>
                <w:lang w:val="en-GB" w:eastAsia="ja-JP"/>
              </w:rPr>
              <w:t>Frequency band (GHz)</w:t>
            </w:r>
          </w:p>
        </w:tc>
        <w:tc>
          <w:tcPr>
            <w:tcW w:w="4110" w:type="dxa"/>
          </w:tcPr>
          <w:p w14:paraId="697E6B3F" w14:textId="77777777" w:rsidR="00C11308" w:rsidRPr="00263F6F" w:rsidRDefault="00C11308" w:rsidP="00AC5F8D">
            <w:pPr>
              <w:pStyle w:val="Tabletext"/>
              <w:jc w:val="center"/>
              <w:rPr>
                <w:rFonts w:eastAsia="SimSun"/>
                <w:lang w:val="en-GB" w:eastAsia="ja-JP"/>
              </w:rPr>
            </w:pPr>
            <w:r w:rsidRPr="00263F6F">
              <w:rPr>
                <w:rFonts w:eastAsia="SimSun"/>
                <w:bCs/>
                <w:lang w:val="en-GB" w:eastAsia="ja-JP"/>
              </w:rPr>
              <w:t>252-296</w:t>
            </w:r>
          </w:p>
        </w:tc>
      </w:tr>
      <w:tr w:rsidR="00C11308" w:rsidRPr="00263F6F" w14:paraId="41F3C74B" w14:textId="77777777" w:rsidTr="00A07C8F">
        <w:trPr>
          <w:cantSplit/>
          <w:jc w:val="center"/>
        </w:trPr>
        <w:tc>
          <w:tcPr>
            <w:tcW w:w="5529" w:type="dxa"/>
          </w:tcPr>
          <w:p w14:paraId="456C51F5" w14:textId="77777777" w:rsidR="00C11308" w:rsidRPr="00263F6F" w:rsidRDefault="00C11308" w:rsidP="00AC5F8D">
            <w:pPr>
              <w:pStyle w:val="Tabletext"/>
              <w:rPr>
                <w:rFonts w:eastAsia="SimSun"/>
                <w:lang w:val="en-GB" w:eastAsia="ja-JP"/>
              </w:rPr>
            </w:pPr>
            <w:r w:rsidRPr="00263F6F">
              <w:rPr>
                <w:rFonts w:eastAsia="SimSun"/>
                <w:lang w:val="en-GB" w:eastAsia="ja-JP"/>
              </w:rPr>
              <w:t>Tx output power density (dBm/GHz)</w:t>
            </w:r>
          </w:p>
        </w:tc>
        <w:tc>
          <w:tcPr>
            <w:tcW w:w="4110" w:type="dxa"/>
          </w:tcPr>
          <w:p w14:paraId="6791082E" w14:textId="77777777" w:rsidR="00C11308" w:rsidRPr="00263F6F" w:rsidRDefault="00C11308" w:rsidP="00AC5F8D">
            <w:pPr>
              <w:pStyle w:val="Tabletext"/>
              <w:jc w:val="center"/>
              <w:rPr>
                <w:lang w:val="en-GB" w:eastAsia="ja-JP"/>
              </w:rPr>
            </w:pPr>
            <w:r w:rsidRPr="00263F6F">
              <w:rPr>
                <w:rFonts w:eastAsia="SimSun"/>
                <w:lang w:val="en-GB" w:eastAsia="ja-JP"/>
              </w:rPr>
              <w:t>−4.1…6.6</w:t>
            </w:r>
          </w:p>
        </w:tc>
      </w:tr>
      <w:tr w:rsidR="00C11308" w:rsidRPr="00263F6F" w14:paraId="7D898CF6" w14:textId="77777777" w:rsidTr="00A07C8F">
        <w:trPr>
          <w:cantSplit/>
          <w:jc w:val="center"/>
        </w:trPr>
        <w:tc>
          <w:tcPr>
            <w:tcW w:w="5529" w:type="dxa"/>
          </w:tcPr>
          <w:p w14:paraId="40316861" w14:textId="77777777" w:rsidR="00C11308" w:rsidRPr="00263F6F" w:rsidRDefault="00C11308" w:rsidP="00AC5F8D">
            <w:pPr>
              <w:pStyle w:val="Tabletext"/>
              <w:rPr>
                <w:rFonts w:eastAsia="SimSun"/>
                <w:lang w:val="en-GB" w:eastAsia="ja-JP"/>
              </w:rPr>
            </w:pPr>
            <w:r w:rsidRPr="00263F6F">
              <w:rPr>
                <w:rFonts w:eastAsia="SimSun"/>
                <w:lang w:val="en-GB" w:eastAsia="ja-JP"/>
              </w:rPr>
              <w:t>Max. e.i.r.p. density (dBm/GHz)</w:t>
            </w:r>
          </w:p>
        </w:tc>
        <w:tc>
          <w:tcPr>
            <w:tcW w:w="4110" w:type="dxa"/>
          </w:tcPr>
          <w:p w14:paraId="427E2CCD"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25.9…36.6</w:t>
            </w:r>
          </w:p>
        </w:tc>
      </w:tr>
      <w:tr w:rsidR="00C11308" w:rsidRPr="00263F6F" w14:paraId="119DDF84" w14:textId="77777777" w:rsidTr="00A07C8F">
        <w:trPr>
          <w:cantSplit/>
          <w:jc w:val="center"/>
        </w:trPr>
        <w:tc>
          <w:tcPr>
            <w:tcW w:w="5529" w:type="dxa"/>
          </w:tcPr>
          <w:p w14:paraId="20F1A710" w14:textId="7F7DC9A0" w:rsidR="00C11308" w:rsidRPr="00263F6F" w:rsidRDefault="00C11308" w:rsidP="00AC5F8D">
            <w:pPr>
              <w:pStyle w:val="Tabletext"/>
              <w:rPr>
                <w:rFonts w:eastAsia="SimSun"/>
                <w:lang w:val="en-GB" w:eastAsia="ja-JP"/>
              </w:rPr>
            </w:pPr>
            <w:r w:rsidRPr="00263F6F">
              <w:rPr>
                <w:rFonts w:eastAsia="SimSun"/>
                <w:lang w:val="en-GB" w:eastAsia="ja-JP"/>
              </w:rPr>
              <w:t xml:space="preserve">Duplex </w:t>
            </w:r>
            <w:r w:rsidR="004C3447" w:rsidRPr="00263F6F">
              <w:rPr>
                <w:rFonts w:eastAsia="SimSun"/>
                <w:lang w:val="en-GB" w:eastAsia="ja-JP"/>
              </w:rPr>
              <w:t>method</w:t>
            </w:r>
          </w:p>
        </w:tc>
        <w:tc>
          <w:tcPr>
            <w:tcW w:w="4110" w:type="dxa"/>
          </w:tcPr>
          <w:p w14:paraId="71A2E7A7"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FDD/TDD</w:t>
            </w:r>
          </w:p>
        </w:tc>
      </w:tr>
      <w:tr w:rsidR="00C11308" w:rsidRPr="000914BC" w14:paraId="50A7C180" w14:textId="77777777" w:rsidTr="00A07C8F">
        <w:trPr>
          <w:cantSplit/>
          <w:jc w:val="center"/>
        </w:trPr>
        <w:tc>
          <w:tcPr>
            <w:tcW w:w="5529" w:type="dxa"/>
          </w:tcPr>
          <w:p w14:paraId="70948984" w14:textId="77777777" w:rsidR="00C11308" w:rsidRPr="00263F6F" w:rsidRDefault="00C11308" w:rsidP="00AC5F8D">
            <w:pPr>
              <w:pStyle w:val="Tabletext"/>
              <w:rPr>
                <w:rFonts w:eastAsia="SimSun"/>
                <w:lang w:val="en-GB" w:eastAsia="ja-JP"/>
              </w:rPr>
            </w:pPr>
            <w:r w:rsidRPr="00263F6F">
              <w:rPr>
                <w:rFonts w:eastAsia="SimSun"/>
                <w:lang w:val="en-GB" w:eastAsia="ja-JP"/>
              </w:rPr>
              <w:t>Modulation</w:t>
            </w:r>
          </w:p>
        </w:tc>
        <w:tc>
          <w:tcPr>
            <w:tcW w:w="4110" w:type="dxa"/>
          </w:tcPr>
          <w:p w14:paraId="0D6C807F"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OOK/BPSK/QPSK/16QAM/64QAM</w:t>
            </w:r>
          </w:p>
          <w:p w14:paraId="168A3F36" w14:textId="77777777" w:rsidR="00C11308" w:rsidRPr="00263F6F" w:rsidRDefault="00C11308" w:rsidP="00AC5F8D">
            <w:pPr>
              <w:pStyle w:val="Tabletext"/>
              <w:jc w:val="center"/>
              <w:rPr>
                <w:lang w:val="en-GB" w:eastAsia="ja-JP"/>
              </w:rPr>
            </w:pPr>
            <w:r w:rsidRPr="00263F6F">
              <w:rPr>
                <w:rFonts w:eastAsia="SimSun"/>
                <w:lang w:val="en-GB" w:eastAsia="ja-JP"/>
              </w:rPr>
              <w:t>BPSK-OFDM/QPSK-OFDM/ 16QAM-OFDM/32QAM-OFDM/64QAM-OFDM</w:t>
            </w:r>
          </w:p>
        </w:tc>
      </w:tr>
      <w:tr w:rsidR="00C11308" w:rsidRPr="00263F6F" w14:paraId="5D738695" w14:textId="77777777" w:rsidTr="00A07C8F">
        <w:trPr>
          <w:cantSplit/>
          <w:jc w:val="center"/>
        </w:trPr>
        <w:tc>
          <w:tcPr>
            <w:tcW w:w="5529" w:type="dxa"/>
          </w:tcPr>
          <w:p w14:paraId="4EB71EE5" w14:textId="77777777" w:rsidR="00C11308" w:rsidRPr="00263F6F" w:rsidRDefault="00C11308" w:rsidP="00AC5F8D">
            <w:pPr>
              <w:pStyle w:val="Tabletext"/>
              <w:rPr>
                <w:rFonts w:eastAsia="SimSun"/>
                <w:lang w:val="en-GB" w:eastAsia="ja-JP"/>
              </w:rPr>
            </w:pPr>
            <w:r w:rsidRPr="00263F6F">
              <w:rPr>
                <w:rFonts w:eastAsia="SimSun"/>
                <w:lang w:val="en-GB" w:eastAsia="ja-JP"/>
              </w:rPr>
              <w:t>Average distance between CPMS fixed and mobile devices (m)</w:t>
            </w:r>
          </w:p>
        </w:tc>
        <w:tc>
          <w:tcPr>
            <w:tcW w:w="4110" w:type="dxa"/>
          </w:tcPr>
          <w:p w14:paraId="62291766"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0.1</w:t>
            </w:r>
          </w:p>
        </w:tc>
      </w:tr>
      <w:tr w:rsidR="00C11308" w:rsidRPr="00263F6F" w14:paraId="621CF098" w14:textId="77777777" w:rsidTr="00A07C8F">
        <w:trPr>
          <w:cantSplit/>
          <w:jc w:val="center"/>
        </w:trPr>
        <w:tc>
          <w:tcPr>
            <w:tcW w:w="5529" w:type="dxa"/>
          </w:tcPr>
          <w:p w14:paraId="33FEFCDD" w14:textId="77777777" w:rsidR="00C11308" w:rsidRPr="00263F6F" w:rsidRDefault="00C11308" w:rsidP="00AC5F8D">
            <w:pPr>
              <w:pStyle w:val="Tabletext"/>
              <w:rPr>
                <w:rFonts w:eastAsia="SimSun"/>
                <w:lang w:val="en-GB" w:eastAsia="ja-JP"/>
              </w:rPr>
            </w:pPr>
            <w:r w:rsidRPr="00263F6F">
              <w:rPr>
                <w:rFonts w:eastAsia="SimSun"/>
                <w:lang w:val="en-GB" w:eastAsia="ja-JP"/>
              </w:rPr>
              <w:t>Maximum distance between CPMS fixed and mobile devices (m)</w:t>
            </w:r>
          </w:p>
        </w:tc>
        <w:tc>
          <w:tcPr>
            <w:tcW w:w="4110" w:type="dxa"/>
          </w:tcPr>
          <w:p w14:paraId="583771FE"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w:t>
            </w:r>
          </w:p>
        </w:tc>
      </w:tr>
      <w:tr w:rsidR="00C11308" w:rsidRPr="00263F6F" w14:paraId="4BC47587" w14:textId="77777777" w:rsidTr="00A07C8F">
        <w:trPr>
          <w:cantSplit/>
          <w:jc w:val="center"/>
        </w:trPr>
        <w:tc>
          <w:tcPr>
            <w:tcW w:w="5529" w:type="dxa"/>
          </w:tcPr>
          <w:p w14:paraId="0B46D076" w14:textId="77777777" w:rsidR="00C11308" w:rsidRPr="00263F6F" w:rsidRDefault="00C11308" w:rsidP="00AC5F8D">
            <w:pPr>
              <w:pStyle w:val="Tabletext"/>
              <w:rPr>
                <w:rFonts w:eastAsia="SimSun"/>
                <w:lang w:val="en-GB" w:eastAsia="ja-JP"/>
              </w:rPr>
            </w:pPr>
            <w:r w:rsidRPr="00263F6F">
              <w:rPr>
                <w:rFonts w:eastAsia="SimSun"/>
                <w:lang w:val="en-GB" w:eastAsia="ja-JP"/>
              </w:rPr>
              <w:t>Antenna height (m)</w:t>
            </w:r>
          </w:p>
        </w:tc>
        <w:tc>
          <w:tcPr>
            <w:tcW w:w="4110" w:type="dxa"/>
          </w:tcPr>
          <w:p w14:paraId="36B7FF28"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w:t>
            </w:r>
            <w:r w:rsidRPr="00263F6F">
              <w:rPr>
                <w:lang w:val="en-GB" w:eastAsia="ja-JP"/>
              </w:rPr>
              <w:t>…</w:t>
            </w:r>
            <w:r w:rsidRPr="00263F6F">
              <w:rPr>
                <w:rFonts w:eastAsia="SimSun"/>
                <w:lang w:val="en-GB" w:eastAsia="ja-JP"/>
              </w:rPr>
              <w:t>2</w:t>
            </w:r>
          </w:p>
        </w:tc>
      </w:tr>
      <w:tr w:rsidR="00C11308" w:rsidRPr="00263F6F" w14:paraId="73726CA3" w14:textId="77777777" w:rsidTr="00A07C8F">
        <w:trPr>
          <w:cantSplit/>
          <w:jc w:val="center"/>
        </w:trPr>
        <w:tc>
          <w:tcPr>
            <w:tcW w:w="5529" w:type="dxa"/>
          </w:tcPr>
          <w:p w14:paraId="4ADD8745" w14:textId="77777777" w:rsidR="00C11308" w:rsidRPr="00263F6F" w:rsidRDefault="00C11308" w:rsidP="00AC5F8D">
            <w:pPr>
              <w:pStyle w:val="Tabletext"/>
              <w:rPr>
                <w:rFonts w:eastAsia="SimSun"/>
                <w:lang w:val="en-GB" w:eastAsia="ja-JP"/>
              </w:rPr>
            </w:pPr>
            <w:r w:rsidRPr="00263F6F">
              <w:rPr>
                <w:rFonts w:eastAsia="SimSun"/>
                <w:lang w:val="en-GB" w:eastAsia="ja-JP"/>
              </w:rPr>
              <w:t>Antenna beamwidth (degree)</w:t>
            </w:r>
          </w:p>
        </w:tc>
        <w:tc>
          <w:tcPr>
            <w:tcW w:w="4110" w:type="dxa"/>
          </w:tcPr>
          <w:p w14:paraId="2F9B49FE"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3</w:t>
            </w:r>
            <w:r w:rsidRPr="00263F6F">
              <w:rPr>
                <w:lang w:val="en-GB" w:eastAsia="ja-JP"/>
              </w:rPr>
              <w:t>…</w:t>
            </w:r>
            <w:r w:rsidRPr="00263F6F">
              <w:rPr>
                <w:rFonts w:eastAsia="SimSun"/>
                <w:lang w:val="en-GB" w:eastAsia="ja-JP"/>
              </w:rPr>
              <w:t>10</w:t>
            </w:r>
          </w:p>
        </w:tc>
      </w:tr>
      <w:tr w:rsidR="00C11308" w:rsidRPr="00263F6F" w14:paraId="024B985A" w14:textId="77777777" w:rsidTr="00A07C8F">
        <w:trPr>
          <w:cantSplit/>
          <w:jc w:val="center"/>
        </w:trPr>
        <w:tc>
          <w:tcPr>
            <w:tcW w:w="5529" w:type="dxa"/>
          </w:tcPr>
          <w:p w14:paraId="07BEA17B" w14:textId="77777777" w:rsidR="00C11308" w:rsidRPr="00263F6F" w:rsidRDefault="00C11308" w:rsidP="00AC5F8D">
            <w:pPr>
              <w:pStyle w:val="Tabletext"/>
              <w:rPr>
                <w:lang w:val="en-GB" w:eastAsia="ja-JP"/>
              </w:rPr>
            </w:pPr>
            <w:r w:rsidRPr="00263F6F">
              <w:rPr>
                <w:lang w:val="en-GB" w:eastAsia="ja-JP"/>
              </w:rPr>
              <w:t>Antenna elevation (degree)</w:t>
            </w:r>
          </w:p>
        </w:tc>
        <w:tc>
          <w:tcPr>
            <w:tcW w:w="4110" w:type="dxa"/>
          </w:tcPr>
          <w:p w14:paraId="37458D54" w14:textId="77777777" w:rsidR="00C11308" w:rsidRPr="00263F6F" w:rsidRDefault="00C11308" w:rsidP="00AC5F8D">
            <w:pPr>
              <w:pStyle w:val="Tabletext"/>
              <w:jc w:val="center"/>
              <w:rPr>
                <w:rFonts w:eastAsia="SimSun"/>
                <w:lang w:val="en-GB" w:eastAsia="ja-JP"/>
              </w:rPr>
            </w:pPr>
            <w:r w:rsidRPr="00263F6F">
              <w:rPr>
                <w:rFonts w:ascii="TimesNewRoman" w:hAnsi="TimesNewRoman" w:cs="TimesNewRoman"/>
                <w:szCs w:val="24"/>
                <w:lang w:val="en-GB" w:eastAsia="zh-CN"/>
              </w:rPr>
              <w:t>±</w:t>
            </w:r>
            <w:r w:rsidRPr="00263F6F">
              <w:rPr>
                <w:lang w:val="en-GB" w:eastAsia="ja-JP"/>
              </w:rPr>
              <w:t>90</w:t>
            </w:r>
          </w:p>
        </w:tc>
      </w:tr>
      <w:tr w:rsidR="00C11308" w:rsidRPr="00263F6F" w14:paraId="6B4C9B5A" w14:textId="77777777" w:rsidTr="00A07C8F">
        <w:trPr>
          <w:cantSplit/>
          <w:jc w:val="center"/>
        </w:trPr>
        <w:tc>
          <w:tcPr>
            <w:tcW w:w="5529" w:type="dxa"/>
          </w:tcPr>
          <w:p w14:paraId="29205717" w14:textId="77777777" w:rsidR="00C11308" w:rsidRPr="00263F6F" w:rsidRDefault="00C11308" w:rsidP="00AC5F8D">
            <w:pPr>
              <w:pStyle w:val="Tabletext"/>
              <w:rPr>
                <w:rFonts w:eastAsia="SimSun"/>
                <w:lang w:val="en-GB" w:eastAsia="ja-JP"/>
              </w:rPr>
            </w:pPr>
            <w:r w:rsidRPr="00263F6F">
              <w:rPr>
                <w:rFonts w:eastAsia="SimSun"/>
                <w:lang w:val="en-GB" w:eastAsia="ja-JP"/>
              </w:rPr>
              <w:t xml:space="preserve">Frequency reuse </w:t>
            </w:r>
          </w:p>
        </w:tc>
        <w:tc>
          <w:tcPr>
            <w:tcW w:w="4110" w:type="dxa"/>
          </w:tcPr>
          <w:p w14:paraId="58B9CF25"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w:t>
            </w:r>
          </w:p>
        </w:tc>
      </w:tr>
      <w:tr w:rsidR="00C11308" w:rsidRPr="00263F6F" w14:paraId="30382D44" w14:textId="77777777" w:rsidTr="00A07C8F">
        <w:trPr>
          <w:cantSplit/>
          <w:jc w:val="center"/>
        </w:trPr>
        <w:tc>
          <w:tcPr>
            <w:tcW w:w="5529" w:type="dxa"/>
          </w:tcPr>
          <w:p w14:paraId="74F0AE86" w14:textId="77777777" w:rsidR="00C11308" w:rsidRPr="00263F6F" w:rsidRDefault="00C11308" w:rsidP="00AC5F8D">
            <w:pPr>
              <w:pStyle w:val="Tabletext"/>
              <w:rPr>
                <w:lang w:val="en-GB" w:eastAsia="ja-JP"/>
              </w:rPr>
            </w:pPr>
            <w:r w:rsidRPr="00263F6F">
              <w:rPr>
                <w:lang w:val="en-GB" w:eastAsia="ja-JP"/>
              </w:rPr>
              <w:t>Antenna type</w:t>
            </w:r>
          </w:p>
        </w:tc>
        <w:tc>
          <w:tcPr>
            <w:tcW w:w="4110" w:type="dxa"/>
          </w:tcPr>
          <w:p w14:paraId="50643AFF" w14:textId="77777777" w:rsidR="00C11308" w:rsidRPr="00263F6F" w:rsidRDefault="00C11308" w:rsidP="00AC5F8D">
            <w:pPr>
              <w:pStyle w:val="Tabletext"/>
              <w:jc w:val="center"/>
              <w:rPr>
                <w:lang w:val="en-GB" w:eastAsia="ja-JP"/>
              </w:rPr>
            </w:pPr>
            <w:r w:rsidRPr="00263F6F">
              <w:rPr>
                <w:lang w:val="en-GB" w:eastAsia="ja-JP"/>
              </w:rPr>
              <w:t>Horn</w:t>
            </w:r>
          </w:p>
        </w:tc>
      </w:tr>
    </w:tbl>
    <w:p w14:paraId="0C6AFE9D" w14:textId="7DB40021" w:rsidR="00A07C8F" w:rsidRDefault="00A07C8F">
      <w:r>
        <w:br w:type="page"/>
      </w:r>
    </w:p>
    <w:p w14:paraId="2F685692" w14:textId="0C5D56AA" w:rsidR="00A07C8F" w:rsidRPr="00263F6F" w:rsidRDefault="00A07C8F" w:rsidP="00A07C8F">
      <w:pPr>
        <w:pStyle w:val="TableNo"/>
        <w:rPr>
          <w:lang w:val="en-GB" w:eastAsia="ja-JP"/>
        </w:rPr>
      </w:pPr>
      <w:r>
        <w:rPr>
          <w:lang w:val="en-GB"/>
        </w:rPr>
        <w:lastRenderedPageBreak/>
        <w:t>T</w:t>
      </w:r>
      <w:r w:rsidRPr="00263F6F">
        <w:rPr>
          <w:lang w:val="en-GB"/>
        </w:rPr>
        <w:t>ABLE</w:t>
      </w:r>
      <w:r w:rsidRPr="00263F6F">
        <w:rPr>
          <w:lang w:val="en-GB" w:eastAsia="ja-JP"/>
        </w:rPr>
        <w:t xml:space="preserve"> 1</w:t>
      </w:r>
      <w:r>
        <w:rPr>
          <w:lang w:val="en-GB" w:eastAsia="ja-JP"/>
        </w:rPr>
        <w:t xml:space="preserve"> (</w:t>
      </w:r>
      <w:r w:rsidRPr="00A07C8F">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A07C8F" w:rsidRPr="00263F6F" w14:paraId="7BA87840" w14:textId="77777777" w:rsidTr="008A70A8">
        <w:trPr>
          <w:cantSplit/>
          <w:trHeight w:val="365"/>
          <w:tblHeader/>
          <w:jc w:val="center"/>
        </w:trPr>
        <w:tc>
          <w:tcPr>
            <w:tcW w:w="5529" w:type="dxa"/>
            <w:vAlign w:val="center"/>
          </w:tcPr>
          <w:p w14:paraId="069E3AC3" w14:textId="77777777" w:rsidR="00A07C8F" w:rsidRPr="00263F6F" w:rsidDel="009D0FF3" w:rsidRDefault="00A07C8F" w:rsidP="008A70A8">
            <w:pPr>
              <w:pStyle w:val="Tablehead"/>
              <w:rPr>
                <w:rFonts w:eastAsia="SimSun"/>
                <w:lang w:val="en-GB" w:eastAsia="ja-JP"/>
              </w:rPr>
            </w:pPr>
            <w:r w:rsidRPr="00263F6F">
              <w:rPr>
                <w:rFonts w:eastAsia="SimSun"/>
                <w:lang w:val="en-GB" w:eastAsia="ja-JP"/>
              </w:rPr>
              <w:t>Parameters</w:t>
            </w:r>
          </w:p>
        </w:tc>
        <w:tc>
          <w:tcPr>
            <w:tcW w:w="4110" w:type="dxa"/>
            <w:vAlign w:val="center"/>
          </w:tcPr>
          <w:p w14:paraId="7F40FFF6" w14:textId="77777777" w:rsidR="00A07C8F" w:rsidRPr="00263F6F" w:rsidDel="009D0FF3" w:rsidRDefault="00A07C8F" w:rsidP="008A70A8">
            <w:pPr>
              <w:pStyle w:val="Tablehead"/>
              <w:rPr>
                <w:bCs/>
                <w:lang w:val="en-GB" w:eastAsia="ja-JP"/>
              </w:rPr>
            </w:pPr>
            <w:r w:rsidRPr="00263F6F">
              <w:rPr>
                <w:rFonts w:eastAsia="SimSun"/>
                <w:bCs/>
                <w:lang w:val="en-GB" w:eastAsia="ja-JP"/>
              </w:rPr>
              <w:t>Value</w:t>
            </w:r>
            <w:r w:rsidRPr="00263F6F">
              <w:rPr>
                <w:bCs/>
                <w:lang w:val="en-GB" w:eastAsia="ja-JP"/>
              </w:rPr>
              <w:t>s</w:t>
            </w:r>
          </w:p>
        </w:tc>
      </w:tr>
      <w:tr w:rsidR="00C11308" w:rsidRPr="00263F6F" w14:paraId="1FB05542" w14:textId="77777777" w:rsidTr="00A07C8F">
        <w:trPr>
          <w:cantSplit/>
          <w:jc w:val="center"/>
        </w:trPr>
        <w:tc>
          <w:tcPr>
            <w:tcW w:w="5529" w:type="dxa"/>
          </w:tcPr>
          <w:p w14:paraId="762D615E" w14:textId="57846030" w:rsidR="00C11308" w:rsidRPr="00263F6F" w:rsidRDefault="00C11308" w:rsidP="00AC5F8D">
            <w:pPr>
              <w:pStyle w:val="Tabletext"/>
              <w:rPr>
                <w:rFonts w:eastAsia="SimSun"/>
                <w:lang w:val="en-GB" w:eastAsia="ja-JP"/>
              </w:rPr>
            </w:pPr>
            <w:r w:rsidRPr="00263F6F">
              <w:rPr>
                <w:rFonts w:eastAsia="SimSun"/>
                <w:lang w:val="en-GB" w:eastAsia="ja-JP"/>
              </w:rPr>
              <w:t xml:space="preserve">Antenna pattern </w:t>
            </w:r>
          </w:p>
        </w:tc>
        <w:tc>
          <w:tcPr>
            <w:tcW w:w="4110" w:type="dxa"/>
          </w:tcPr>
          <w:p w14:paraId="45FD40EB"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Gaussian</w:t>
            </w:r>
          </w:p>
        </w:tc>
      </w:tr>
      <w:tr w:rsidR="00C11308" w:rsidRPr="00263F6F" w14:paraId="5DABEC9A" w14:textId="77777777" w:rsidTr="00A07C8F">
        <w:trPr>
          <w:cantSplit/>
          <w:jc w:val="center"/>
        </w:trPr>
        <w:tc>
          <w:tcPr>
            <w:tcW w:w="5529" w:type="dxa"/>
          </w:tcPr>
          <w:p w14:paraId="4AC38F4E" w14:textId="77777777" w:rsidR="00C11308" w:rsidRPr="00263F6F" w:rsidRDefault="00C11308" w:rsidP="00AC5F8D">
            <w:pPr>
              <w:pStyle w:val="Tabletext"/>
              <w:rPr>
                <w:rFonts w:eastAsia="SimSun"/>
                <w:lang w:val="en-GB" w:eastAsia="ja-JP"/>
              </w:rPr>
            </w:pPr>
            <w:r w:rsidRPr="00263F6F">
              <w:rPr>
                <w:rFonts w:eastAsia="SimSun"/>
                <w:lang w:val="en-GB" w:eastAsia="ja-JP"/>
              </w:rPr>
              <w:t xml:space="preserve">Antenna polarization </w:t>
            </w:r>
          </w:p>
        </w:tc>
        <w:tc>
          <w:tcPr>
            <w:tcW w:w="4110" w:type="dxa"/>
          </w:tcPr>
          <w:p w14:paraId="4B5D845E"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Linear</w:t>
            </w:r>
          </w:p>
        </w:tc>
      </w:tr>
      <w:tr w:rsidR="00C11308" w:rsidRPr="00263F6F" w14:paraId="35755EDC" w14:textId="77777777" w:rsidTr="00A07C8F">
        <w:trPr>
          <w:cantSplit/>
          <w:jc w:val="center"/>
        </w:trPr>
        <w:tc>
          <w:tcPr>
            <w:tcW w:w="5529" w:type="dxa"/>
          </w:tcPr>
          <w:p w14:paraId="27A0C3B6" w14:textId="77777777" w:rsidR="00C11308" w:rsidRPr="00263F6F" w:rsidRDefault="00C11308" w:rsidP="00AC5F8D">
            <w:pPr>
              <w:pStyle w:val="Tabletext"/>
              <w:rPr>
                <w:rFonts w:eastAsia="SimSun"/>
                <w:lang w:val="en-GB" w:eastAsia="ja-JP"/>
              </w:rPr>
            </w:pPr>
            <w:r w:rsidRPr="00263F6F">
              <w:rPr>
                <w:rFonts w:eastAsia="SimSun"/>
                <w:lang w:val="en-GB" w:eastAsia="ja-JP"/>
              </w:rPr>
              <w:t>Indoor CPMS fixed device deployment (%)</w:t>
            </w:r>
          </w:p>
        </w:tc>
        <w:tc>
          <w:tcPr>
            <w:tcW w:w="4110" w:type="dxa"/>
          </w:tcPr>
          <w:p w14:paraId="5D80E8F1"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100</w:t>
            </w:r>
          </w:p>
        </w:tc>
      </w:tr>
      <w:tr w:rsidR="00C11308" w:rsidRPr="00263F6F" w14:paraId="539D2DCA" w14:textId="77777777" w:rsidTr="00A07C8F">
        <w:trPr>
          <w:cantSplit/>
          <w:jc w:val="center"/>
        </w:trPr>
        <w:tc>
          <w:tcPr>
            <w:tcW w:w="5529" w:type="dxa"/>
          </w:tcPr>
          <w:p w14:paraId="72C4FAAE" w14:textId="77777777" w:rsidR="00C11308" w:rsidRPr="00263F6F" w:rsidRDefault="00C11308" w:rsidP="00AC5F8D">
            <w:pPr>
              <w:pStyle w:val="Tabletext"/>
              <w:rPr>
                <w:rFonts w:eastAsia="SimSun"/>
                <w:lang w:val="en-GB" w:eastAsia="ja-JP"/>
              </w:rPr>
            </w:pPr>
            <w:r w:rsidRPr="00263F6F">
              <w:rPr>
                <w:rFonts w:eastAsia="SimSun"/>
                <w:lang w:val="en-GB" w:eastAsia="ja-JP"/>
              </w:rPr>
              <w:t>Feeder loss (dB)</w:t>
            </w:r>
          </w:p>
        </w:tc>
        <w:tc>
          <w:tcPr>
            <w:tcW w:w="4110" w:type="dxa"/>
          </w:tcPr>
          <w:p w14:paraId="09D1E079"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2</w:t>
            </w:r>
          </w:p>
        </w:tc>
      </w:tr>
      <w:tr w:rsidR="00C11308" w:rsidRPr="00263F6F" w14:paraId="38130A16" w14:textId="77777777" w:rsidTr="00A07C8F">
        <w:trPr>
          <w:cantSplit/>
          <w:jc w:val="center"/>
        </w:trPr>
        <w:tc>
          <w:tcPr>
            <w:tcW w:w="5529" w:type="dxa"/>
          </w:tcPr>
          <w:p w14:paraId="4FF28230" w14:textId="77777777" w:rsidR="00C11308" w:rsidRPr="00263F6F" w:rsidRDefault="00C11308" w:rsidP="00AC5F8D">
            <w:pPr>
              <w:pStyle w:val="Tabletext"/>
              <w:rPr>
                <w:rFonts w:eastAsia="SimSun"/>
                <w:lang w:val="en-GB" w:eastAsia="ja-JP"/>
              </w:rPr>
            </w:pPr>
            <w:r w:rsidRPr="00263F6F">
              <w:rPr>
                <w:rFonts w:eastAsia="SimSun"/>
                <w:lang w:val="en-GB" w:eastAsia="ja-JP"/>
              </w:rPr>
              <w:t>Maximum CPMS fixed/mobile device output power (dBm)</w:t>
            </w:r>
          </w:p>
        </w:tc>
        <w:tc>
          <w:tcPr>
            <w:tcW w:w="4110" w:type="dxa"/>
          </w:tcPr>
          <w:p w14:paraId="2579432E"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10</w:t>
            </w:r>
          </w:p>
        </w:tc>
      </w:tr>
      <w:tr w:rsidR="00C11308" w:rsidRPr="00263F6F" w14:paraId="3DFDE055" w14:textId="77777777" w:rsidTr="00A07C8F">
        <w:trPr>
          <w:cantSplit/>
          <w:jc w:val="center"/>
        </w:trPr>
        <w:tc>
          <w:tcPr>
            <w:tcW w:w="5529" w:type="dxa"/>
          </w:tcPr>
          <w:p w14:paraId="4D76C7AE" w14:textId="77777777" w:rsidR="00C11308" w:rsidRPr="00263F6F" w:rsidRDefault="00C11308" w:rsidP="00AC5F8D">
            <w:pPr>
              <w:pStyle w:val="Tabletext"/>
              <w:rPr>
                <w:rFonts w:eastAsia="SimSun"/>
                <w:lang w:val="en-GB" w:eastAsia="ja-JP"/>
              </w:rPr>
            </w:pPr>
            <w:r w:rsidRPr="00263F6F">
              <w:rPr>
                <w:rFonts w:eastAsia="SimSun"/>
                <w:lang w:val="en-GB" w:eastAsia="ja-JP"/>
              </w:rPr>
              <w:t>Channel bandwidth (GHz)</w:t>
            </w:r>
          </w:p>
        </w:tc>
        <w:tc>
          <w:tcPr>
            <w:tcW w:w="4110" w:type="dxa"/>
          </w:tcPr>
          <w:p w14:paraId="60D7484F" w14:textId="15CD9374" w:rsidR="00C11308" w:rsidRPr="00263F6F" w:rsidRDefault="00C11308" w:rsidP="00AC5F8D">
            <w:pPr>
              <w:pStyle w:val="Tabletext"/>
              <w:jc w:val="center"/>
              <w:rPr>
                <w:rFonts w:eastAsia="SimSun"/>
                <w:szCs w:val="24"/>
                <w:lang w:val="en-GB" w:eastAsia="ja-JP"/>
              </w:rPr>
            </w:pPr>
            <w:r w:rsidRPr="00263F6F">
              <w:rPr>
                <w:rFonts w:eastAsia="SimSun"/>
                <w:szCs w:val="24"/>
                <w:lang w:val="en-GB" w:eastAsia="ja-JP"/>
              </w:rPr>
              <w:t xml:space="preserve">2.16/4.32/8.64/12.96/17.28/ </w:t>
            </w:r>
            <w:r w:rsidRPr="00263F6F">
              <w:rPr>
                <w:szCs w:val="24"/>
                <w:lang w:val="en-GB" w:eastAsia="ja-JP"/>
              </w:rPr>
              <w:t xml:space="preserve">25.92 </w:t>
            </w:r>
            <w:r w:rsidR="00D71007">
              <w:rPr>
                <w:szCs w:val="24"/>
                <w:lang w:val="en-GB" w:eastAsia="ja-JP"/>
              </w:rPr>
              <w:br/>
            </w:r>
            <w:r w:rsidRPr="00263F6F">
              <w:rPr>
                <w:szCs w:val="24"/>
                <w:lang w:val="en-GB" w:eastAsia="ja-JP"/>
              </w:rPr>
              <w:t>(see Annex 2)</w:t>
            </w:r>
          </w:p>
        </w:tc>
      </w:tr>
      <w:tr w:rsidR="00C11308" w:rsidRPr="00263F6F" w14:paraId="260CDB63" w14:textId="77777777" w:rsidTr="00A07C8F">
        <w:trPr>
          <w:cantSplit/>
          <w:jc w:val="center"/>
        </w:trPr>
        <w:tc>
          <w:tcPr>
            <w:tcW w:w="5529" w:type="dxa"/>
          </w:tcPr>
          <w:p w14:paraId="4F93EA5B" w14:textId="77777777" w:rsidR="00C11308" w:rsidRPr="00263F6F" w:rsidRDefault="00C11308" w:rsidP="00AC5F8D">
            <w:pPr>
              <w:pStyle w:val="Tabletext"/>
              <w:rPr>
                <w:rFonts w:eastAsia="SimSun"/>
                <w:lang w:val="en-GB" w:eastAsia="ja-JP"/>
              </w:rPr>
            </w:pPr>
            <w:r w:rsidRPr="00263F6F">
              <w:rPr>
                <w:rFonts w:eastAsia="SimSun"/>
                <w:lang w:val="en-GB" w:eastAsia="ja-JP"/>
              </w:rPr>
              <w:t xml:space="preserve">Transmitter spectrum mask </w:t>
            </w:r>
          </w:p>
        </w:tc>
        <w:tc>
          <w:tcPr>
            <w:tcW w:w="4110" w:type="dxa"/>
          </w:tcPr>
          <w:p w14:paraId="789277DA" w14:textId="4E7AD387" w:rsidR="00C11308" w:rsidRPr="00263F6F" w:rsidRDefault="00C11308" w:rsidP="00AC5F8D">
            <w:pPr>
              <w:pStyle w:val="Tabletext"/>
              <w:jc w:val="center"/>
              <w:rPr>
                <w:rFonts w:eastAsia="SimSun"/>
                <w:lang w:val="en-GB" w:eastAsia="ja-JP"/>
              </w:rPr>
            </w:pPr>
            <w:r w:rsidRPr="00263F6F">
              <w:rPr>
                <w:rFonts w:eastAsia="SimSun"/>
                <w:lang w:val="en-GB" w:eastAsia="ja-JP"/>
              </w:rPr>
              <w:t xml:space="preserve">Report ITU-R </w:t>
            </w:r>
            <w:hyperlink r:id="rId23" w:history="1">
              <w:r w:rsidR="00F57D9E" w:rsidRPr="008827D5">
                <w:rPr>
                  <w:rStyle w:val="Hyperlink"/>
                  <w:color w:val="auto"/>
                  <w:u w:val="none"/>
                  <w:lang w:val="en-GB" w:eastAsia="ja-JP"/>
                </w:rPr>
                <w:t>M.2417</w:t>
              </w:r>
            </w:hyperlink>
          </w:p>
        </w:tc>
      </w:tr>
      <w:tr w:rsidR="00C11308" w:rsidRPr="00263F6F" w14:paraId="71AD5DC8" w14:textId="77777777" w:rsidTr="00A07C8F">
        <w:trPr>
          <w:cantSplit/>
          <w:jc w:val="center"/>
        </w:trPr>
        <w:tc>
          <w:tcPr>
            <w:tcW w:w="5529" w:type="dxa"/>
          </w:tcPr>
          <w:p w14:paraId="56491BBD" w14:textId="77777777" w:rsidR="00C11308" w:rsidRPr="00263F6F" w:rsidRDefault="00C11308" w:rsidP="00AC5F8D">
            <w:pPr>
              <w:pStyle w:val="Tabletext"/>
              <w:rPr>
                <w:rFonts w:eastAsia="SimSun"/>
                <w:lang w:val="en-GB" w:eastAsia="ja-JP"/>
              </w:rPr>
            </w:pPr>
            <w:r w:rsidRPr="00263F6F">
              <w:rPr>
                <w:rFonts w:eastAsia="SimSun"/>
                <w:lang w:val="en-GB" w:eastAsia="ja-JP"/>
              </w:rPr>
              <w:t>Maximum CPMS fixed device antenna gain (dBi)</w:t>
            </w:r>
          </w:p>
        </w:tc>
        <w:tc>
          <w:tcPr>
            <w:tcW w:w="4110" w:type="dxa"/>
          </w:tcPr>
          <w:p w14:paraId="4DB9F308"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30</w:t>
            </w:r>
          </w:p>
        </w:tc>
      </w:tr>
      <w:tr w:rsidR="00C11308" w:rsidRPr="00263F6F" w14:paraId="2C5C1181" w14:textId="77777777" w:rsidTr="00A07C8F">
        <w:trPr>
          <w:cantSplit/>
          <w:jc w:val="center"/>
        </w:trPr>
        <w:tc>
          <w:tcPr>
            <w:tcW w:w="5529" w:type="dxa"/>
          </w:tcPr>
          <w:p w14:paraId="22F3C6BB" w14:textId="77777777" w:rsidR="00C11308" w:rsidRPr="00263F6F" w:rsidRDefault="00C11308" w:rsidP="00AC5F8D">
            <w:pPr>
              <w:pStyle w:val="Tabletext"/>
              <w:rPr>
                <w:rFonts w:eastAsia="SimSun"/>
                <w:lang w:val="en-GB" w:eastAsia="ja-JP"/>
              </w:rPr>
            </w:pPr>
            <w:r w:rsidRPr="00263F6F">
              <w:rPr>
                <w:rFonts w:eastAsia="SimSun"/>
                <w:lang w:val="en-GB" w:eastAsia="ja-JP"/>
              </w:rPr>
              <w:t>Maximum CPMS mobile device antenna gain (dBi)</w:t>
            </w:r>
          </w:p>
        </w:tc>
        <w:tc>
          <w:tcPr>
            <w:tcW w:w="4110" w:type="dxa"/>
          </w:tcPr>
          <w:p w14:paraId="7D1BBE2F"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15</w:t>
            </w:r>
          </w:p>
        </w:tc>
      </w:tr>
      <w:tr w:rsidR="00C11308" w:rsidRPr="00263F6F" w14:paraId="196FCE61" w14:textId="77777777" w:rsidTr="00A07C8F">
        <w:trPr>
          <w:cantSplit/>
          <w:jc w:val="center"/>
        </w:trPr>
        <w:tc>
          <w:tcPr>
            <w:tcW w:w="5529" w:type="dxa"/>
          </w:tcPr>
          <w:p w14:paraId="6318423A" w14:textId="77777777" w:rsidR="00C11308" w:rsidRPr="00263F6F" w:rsidRDefault="00C11308" w:rsidP="00AC5F8D">
            <w:pPr>
              <w:pStyle w:val="Tabletext"/>
              <w:rPr>
                <w:rFonts w:eastAsia="SimSun"/>
                <w:lang w:val="en-GB" w:eastAsia="ja-JP"/>
              </w:rPr>
            </w:pPr>
            <w:r w:rsidRPr="00263F6F">
              <w:rPr>
                <w:rFonts w:eastAsia="SimSun"/>
                <w:lang w:val="en-GB" w:eastAsia="ja-JP"/>
              </w:rPr>
              <w:t>Maximum CPMS fixed device output power (e.i.r.p.) (dBm)</w:t>
            </w:r>
          </w:p>
        </w:tc>
        <w:tc>
          <w:tcPr>
            <w:tcW w:w="4110" w:type="dxa"/>
          </w:tcPr>
          <w:p w14:paraId="34B18609"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40</w:t>
            </w:r>
          </w:p>
        </w:tc>
      </w:tr>
      <w:tr w:rsidR="00C11308" w:rsidRPr="00263F6F" w14:paraId="5EC82E87" w14:textId="77777777" w:rsidTr="00A07C8F">
        <w:trPr>
          <w:cantSplit/>
          <w:jc w:val="center"/>
        </w:trPr>
        <w:tc>
          <w:tcPr>
            <w:tcW w:w="5529" w:type="dxa"/>
          </w:tcPr>
          <w:p w14:paraId="714D212C" w14:textId="77777777" w:rsidR="00C11308" w:rsidRPr="00263F6F" w:rsidRDefault="00C11308" w:rsidP="00AC5F8D">
            <w:pPr>
              <w:pStyle w:val="Tabletext"/>
              <w:rPr>
                <w:rFonts w:eastAsia="SimSun"/>
                <w:lang w:val="en-GB" w:eastAsia="ja-JP"/>
              </w:rPr>
            </w:pPr>
            <w:r w:rsidRPr="00263F6F">
              <w:rPr>
                <w:rFonts w:eastAsia="SimSun"/>
                <w:lang w:val="en-GB" w:eastAsia="ja-JP"/>
              </w:rPr>
              <w:t>Maximum CPMS mobile device output power (e.i.r.p.) (dBm)</w:t>
            </w:r>
          </w:p>
        </w:tc>
        <w:tc>
          <w:tcPr>
            <w:tcW w:w="4110" w:type="dxa"/>
          </w:tcPr>
          <w:p w14:paraId="36FE8F31"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25</w:t>
            </w:r>
          </w:p>
        </w:tc>
      </w:tr>
      <w:tr w:rsidR="00C11308" w:rsidRPr="00263F6F" w14:paraId="233B6D92" w14:textId="77777777" w:rsidTr="00A07C8F">
        <w:trPr>
          <w:cantSplit/>
          <w:jc w:val="center"/>
        </w:trPr>
        <w:tc>
          <w:tcPr>
            <w:tcW w:w="5529" w:type="dxa"/>
          </w:tcPr>
          <w:p w14:paraId="40ADE82E" w14:textId="77777777" w:rsidR="00C11308" w:rsidRPr="00263F6F" w:rsidRDefault="00C11308" w:rsidP="00AC5F8D">
            <w:pPr>
              <w:pStyle w:val="Tabletext"/>
              <w:rPr>
                <w:rFonts w:eastAsia="SimSun"/>
                <w:lang w:val="en-GB" w:eastAsia="ja-JP"/>
              </w:rPr>
            </w:pPr>
            <w:r w:rsidRPr="00263F6F">
              <w:rPr>
                <w:rFonts w:eastAsia="SimSun"/>
                <w:lang w:val="en-GB" w:eastAsia="ja-JP"/>
              </w:rPr>
              <w:t>Average activity factor (%)</w:t>
            </w:r>
          </w:p>
        </w:tc>
        <w:tc>
          <w:tcPr>
            <w:tcW w:w="4110" w:type="dxa"/>
          </w:tcPr>
          <w:p w14:paraId="6AB0FF34"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0.76</w:t>
            </w:r>
          </w:p>
        </w:tc>
      </w:tr>
      <w:tr w:rsidR="00C11308" w:rsidRPr="00263F6F" w14:paraId="3B0AF0A6" w14:textId="77777777" w:rsidTr="00A07C8F">
        <w:trPr>
          <w:cantSplit/>
          <w:jc w:val="center"/>
        </w:trPr>
        <w:tc>
          <w:tcPr>
            <w:tcW w:w="5529" w:type="dxa"/>
          </w:tcPr>
          <w:p w14:paraId="39E7414C" w14:textId="77777777" w:rsidR="00C11308" w:rsidRPr="00263F6F" w:rsidRDefault="00C11308" w:rsidP="00AC5F8D">
            <w:pPr>
              <w:pStyle w:val="Tabletext"/>
              <w:rPr>
                <w:rFonts w:eastAsia="SimSun"/>
                <w:lang w:val="en-GB" w:eastAsia="ja-JP"/>
              </w:rPr>
            </w:pPr>
            <w:r w:rsidRPr="00263F6F">
              <w:rPr>
                <w:rFonts w:eastAsia="SimSun"/>
                <w:lang w:val="en-GB" w:eastAsia="ja-JP"/>
              </w:rPr>
              <w:t>Average CPMS fixed device power (dBm (e.i.r.p))</w:t>
            </w:r>
          </w:p>
        </w:tc>
        <w:tc>
          <w:tcPr>
            <w:tcW w:w="4110" w:type="dxa"/>
          </w:tcPr>
          <w:p w14:paraId="77C0D07B"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20</w:t>
            </w:r>
          </w:p>
        </w:tc>
      </w:tr>
      <w:tr w:rsidR="00C11308" w:rsidRPr="00263F6F" w14:paraId="49417166" w14:textId="77777777" w:rsidTr="00A07C8F">
        <w:trPr>
          <w:cantSplit/>
          <w:jc w:val="center"/>
        </w:trPr>
        <w:tc>
          <w:tcPr>
            <w:tcW w:w="5529" w:type="dxa"/>
          </w:tcPr>
          <w:p w14:paraId="2DBEF4C9" w14:textId="77777777" w:rsidR="00C11308" w:rsidRPr="00263F6F" w:rsidRDefault="00C11308" w:rsidP="00AC5F8D">
            <w:pPr>
              <w:pStyle w:val="Tabletext"/>
              <w:rPr>
                <w:rFonts w:eastAsia="SimSun"/>
                <w:lang w:val="en-GB" w:eastAsia="ja-JP"/>
              </w:rPr>
            </w:pPr>
            <w:r w:rsidRPr="00263F6F">
              <w:rPr>
                <w:rFonts w:eastAsia="SimSun"/>
                <w:color w:val="000000"/>
                <w:szCs w:val="24"/>
                <w:lang w:val="en-GB" w:eastAsia="ja-JP"/>
              </w:rPr>
              <w:t>Receiver noise figure typical (dB)</w:t>
            </w:r>
          </w:p>
        </w:tc>
        <w:tc>
          <w:tcPr>
            <w:tcW w:w="4110" w:type="dxa"/>
          </w:tcPr>
          <w:p w14:paraId="11C18CC1" w14:textId="77777777" w:rsidR="00C11308" w:rsidRPr="00263F6F" w:rsidRDefault="00C11308" w:rsidP="00AC5F8D">
            <w:pPr>
              <w:pStyle w:val="Tabletext"/>
              <w:jc w:val="center"/>
              <w:rPr>
                <w:rFonts w:eastAsia="SimSun"/>
                <w:lang w:val="en-GB" w:eastAsia="ja-JP"/>
              </w:rPr>
            </w:pPr>
            <w:r w:rsidRPr="00263F6F">
              <w:rPr>
                <w:rFonts w:eastAsia="SimSun"/>
                <w:lang w:val="en-GB" w:eastAsia="ja-JP"/>
              </w:rPr>
              <w:t>15</w:t>
            </w:r>
          </w:p>
        </w:tc>
      </w:tr>
      <w:tr w:rsidR="00C11308" w:rsidRPr="00263F6F" w14:paraId="1DED020D" w14:textId="77777777" w:rsidTr="00A07C8F">
        <w:trPr>
          <w:cantSplit/>
          <w:jc w:val="center"/>
        </w:trPr>
        <w:tc>
          <w:tcPr>
            <w:tcW w:w="5529" w:type="dxa"/>
          </w:tcPr>
          <w:p w14:paraId="6EA8331D" w14:textId="77777777" w:rsidR="00C11308" w:rsidRPr="00263F6F" w:rsidRDefault="00C11308" w:rsidP="00AC5F8D">
            <w:pPr>
              <w:pStyle w:val="Tabletext"/>
              <w:rPr>
                <w:rFonts w:eastAsia="MS Mincho"/>
                <w:color w:val="000000"/>
                <w:szCs w:val="24"/>
                <w:lang w:val="en-GB" w:eastAsia="ja-JP"/>
              </w:rPr>
            </w:pPr>
            <w:r w:rsidRPr="00263F6F">
              <w:rPr>
                <w:color w:val="000000"/>
                <w:szCs w:val="24"/>
                <w:lang w:val="en-GB" w:eastAsia="ja-JP"/>
              </w:rPr>
              <w:t>Density (per km</w:t>
            </w:r>
            <w:r w:rsidRPr="00263F6F">
              <w:rPr>
                <w:color w:val="000000"/>
                <w:szCs w:val="24"/>
                <w:vertAlign w:val="superscript"/>
                <w:lang w:val="en-GB" w:eastAsia="ja-JP"/>
              </w:rPr>
              <w:t>2</w:t>
            </w:r>
            <w:r w:rsidRPr="00263F6F">
              <w:rPr>
                <w:color w:val="000000"/>
                <w:szCs w:val="24"/>
                <w:lang w:val="en-GB" w:eastAsia="ja-JP"/>
              </w:rPr>
              <w:t>)</w:t>
            </w:r>
          </w:p>
        </w:tc>
        <w:tc>
          <w:tcPr>
            <w:tcW w:w="4110" w:type="dxa"/>
          </w:tcPr>
          <w:p w14:paraId="45BDD04D" w14:textId="77777777" w:rsidR="00C11308" w:rsidRPr="00263F6F" w:rsidRDefault="00C11308" w:rsidP="00AC5F8D">
            <w:pPr>
              <w:pStyle w:val="Tabletext"/>
              <w:jc w:val="center"/>
              <w:rPr>
                <w:rFonts w:eastAsia="MS Mincho"/>
                <w:lang w:val="en-GB" w:eastAsia="ja-JP"/>
              </w:rPr>
            </w:pPr>
            <w:r w:rsidRPr="00263F6F">
              <w:rPr>
                <w:lang w:val="en-GB" w:eastAsia="ja-JP"/>
              </w:rPr>
              <w:t>9.1</w:t>
            </w:r>
          </w:p>
        </w:tc>
      </w:tr>
    </w:tbl>
    <w:p w14:paraId="28746BAA" w14:textId="77777777" w:rsidR="00C11308" w:rsidRPr="00263F6F" w:rsidRDefault="00C11308" w:rsidP="00C11308">
      <w:pPr>
        <w:pStyle w:val="Tablefin"/>
      </w:pPr>
    </w:p>
    <w:p w14:paraId="1553226A" w14:textId="47092C9F" w:rsidR="00C11308" w:rsidRPr="00263F6F" w:rsidRDefault="00C11308" w:rsidP="00C11308">
      <w:pPr>
        <w:pStyle w:val="Heading2"/>
        <w:rPr>
          <w:lang w:val="en-GB" w:eastAsia="ja-JP"/>
        </w:rPr>
      </w:pPr>
      <w:bookmarkStart w:id="21" w:name="_Toc122512301"/>
      <w:r w:rsidRPr="00263F6F">
        <w:rPr>
          <w:lang w:val="en-GB" w:eastAsia="ja-JP"/>
        </w:rPr>
        <w:t>5.2</w:t>
      </w:r>
      <w:r w:rsidRPr="00263F6F">
        <w:rPr>
          <w:lang w:val="en-GB" w:eastAsia="ja-JP"/>
        </w:rPr>
        <w:tab/>
        <w:t>Technical and operational characteristics of FS operating in the frequency range 252</w:t>
      </w:r>
      <w:r w:rsidR="00091E52">
        <w:rPr>
          <w:lang w:val="en-GB" w:eastAsia="ja-JP"/>
        </w:rPr>
        <w:noBreakHyphen/>
      </w:r>
      <w:r w:rsidRPr="00263F6F">
        <w:rPr>
          <w:lang w:val="en-GB" w:eastAsia="ja-JP"/>
        </w:rPr>
        <w:t>296 GHz</w:t>
      </w:r>
      <w:bookmarkEnd w:id="21"/>
    </w:p>
    <w:p w14:paraId="315C0531" w14:textId="77777777" w:rsidR="00C11308" w:rsidRPr="00263F6F" w:rsidRDefault="00C11308" w:rsidP="00C11308">
      <w:pPr>
        <w:pStyle w:val="TableNo"/>
        <w:rPr>
          <w:lang w:val="en-GB"/>
        </w:rPr>
      </w:pPr>
      <w:r w:rsidRPr="00263F6F">
        <w:rPr>
          <w:lang w:val="en-GB"/>
        </w:rPr>
        <w:t>TABLE 2</w:t>
      </w:r>
    </w:p>
    <w:p w14:paraId="323FE39F" w14:textId="6DBA46F3" w:rsidR="00C11308" w:rsidRPr="00263F6F" w:rsidRDefault="00C11308" w:rsidP="00C11308">
      <w:pPr>
        <w:pStyle w:val="Tabletitle"/>
        <w:rPr>
          <w:lang w:val="en-GB"/>
        </w:rPr>
      </w:pPr>
      <w:bookmarkStart w:id="22" w:name="_Hlk122512861"/>
      <w:r w:rsidRPr="00263F6F">
        <w:rPr>
          <w:lang w:val="en-GB"/>
        </w:rPr>
        <w:t>Technical and operational characteristics of the fixed service applications planned to operate</w:t>
      </w:r>
      <w:r w:rsidR="00E74FD7">
        <w:rPr>
          <w:lang w:val="en-GB"/>
        </w:rPr>
        <w:t xml:space="preserve"> in the frquency range 252-296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C11308" w:rsidRPr="00263F6F" w14:paraId="5B3FB4DB" w14:textId="77777777" w:rsidTr="00A07C8F">
        <w:trPr>
          <w:cantSplit/>
          <w:tblHeader/>
          <w:jc w:val="center"/>
        </w:trPr>
        <w:tc>
          <w:tcPr>
            <w:tcW w:w="4395" w:type="dxa"/>
            <w:vAlign w:val="center"/>
          </w:tcPr>
          <w:bookmarkEnd w:id="22"/>
          <w:p w14:paraId="580C14CA" w14:textId="77777777" w:rsidR="00C11308" w:rsidRPr="00263F6F" w:rsidRDefault="00C11308" w:rsidP="00AC5F8D">
            <w:pPr>
              <w:pStyle w:val="Tablehead"/>
              <w:rPr>
                <w:rFonts w:eastAsiaTheme="minorEastAsia"/>
                <w:lang w:val="en-GB"/>
              </w:rPr>
            </w:pPr>
            <w:r w:rsidRPr="00263F6F">
              <w:rPr>
                <w:rFonts w:eastAsiaTheme="minorEastAsia"/>
                <w:lang w:val="en-GB"/>
              </w:rPr>
              <w:t>Parameter</w:t>
            </w:r>
          </w:p>
        </w:tc>
        <w:tc>
          <w:tcPr>
            <w:tcW w:w="5244" w:type="dxa"/>
            <w:vAlign w:val="center"/>
          </w:tcPr>
          <w:p w14:paraId="628674E7" w14:textId="77777777" w:rsidR="00C11308" w:rsidRPr="00263F6F" w:rsidRDefault="00C11308" w:rsidP="00AC5F8D">
            <w:pPr>
              <w:pStyle w:val="Tablehead"/>
              <w:rPr>
                <w:rFonts w:eastAsiaTheme="minorEastAsia"/>
                <w:lang w:val="en-GB"/>
              </w:rPr>
            </w:pPr>
            <w:r w:rsidRPr="00263F6F">
              <w:rPr>
                <w:rFonts w:eastAsiaTheme="minorEastAsia"/>
                <w:lang w:val="en-GB"/>
              </w:rPr>
              <w:t>Values</w:t>
            </w:r>
          </w:p>
        </w:tc>
      </w:tr>
      <w:tr w:rsidR="00C11308" w:rsidRPr="00263F6F" w14:paraId="19DDCA52" w14:textId="77777777" w:rsidTr="00A07C8F">
        <w:trPr>
          <w:cantSplit/>
          <w:jc w:val="center"/>
        </w:trPr>
        <w:tc>
          <w:tcPr>
            <w:tcW w:w="4395" w:type="dxa"/>
          </w:tcPr>
          <w:p w14:paraId="360A27D3" w14:textId="77777777" w:rsidR="00C11308" w:rsidRPr="00263F6F" w:rsidRDefault="00C11308" w:rsidP="00AC5F8D">
            <w:pPr>
              <w:pStyle w:val="Tabletext"/>
              <w:rPr>
                <w:lang w:val="en-GB" w:eastAsia="ja-JP"/>
              </w:rPr>
            </w:pPr>
            <w:r w:rsidRPr="00263F6F">
              <w:rPr>
                <w:lang w:val="en-GB" w:eastAsia="ja-JP"/>
              </w:rPr>
              <w:t>Frequency band (GHz)</w:t>
            </w:r>
          </w:p>
        </w:tc>
        <w:tc>
          <w:tcPr>
            <w:tcW w:w="5244" w:type="dxa"/>
          </w:tcPr>
          <w:p w14:paraId="3EA6A391" w14:textId="77777777" w:rsidR="00C11308" w:rsidRPr="00263F6F" w:rsidRDefault="00C11308" w:rsidP="00AC5F8D">
            <w:pPr>
              <w:pStyle w:val="Tabletext"/>
              <w:jc w:val="center"/>
              <w:rPr>
                <w:lang w:val="en-GB" w:eastAsia="ja-JP"/>
              </w:rPr>
            </w:pPr>
            <w:r w:rsidRPr="00263F6F">
              <w:rPr>
                <w:lang w:val="en-GB" w:eastAsia="ja-JP"/>
              </w:rPr>
              <w:t>252-296</w:t>
            </w:r>
          </w:p>
        </w:tc>
      </w:tr>
      <w:tr w:rsidR="00C11308" w:rsidRPr="00263F6F" w14:paraId="57885202" w14:textId="77777777" w:rsidTr="00A07C8F">
        <w:trPr>
          <w:cantSplit/>
          <w:jc w:val="center"/>
        </w:trPr>
        <w:tc>
          <w:tcPr>
            <w:tcW w:w="4395" w:type="dxa"/>
          </w:tcPr>
          <w:p w14:paraId="6CA75AB1" w14:textId="77777777" w:rsidR="00C11308" w:rsidRPr="00263F6F" w:rsidRDefault="00C11308" w:rsidP="00AC5F8D">
            <w:pPr>
              <w:pStyle w:val="Tabletext"/>
              <w:rPr>
                <w:lang w:val="en-GB"/>
              </w:rPr>
            </w:pPr>
            <w:r w:rsidRPr="00263F6F">
              <w:rPr>
                <w:lang w:val="en-GB"/>
              </w:rPr>
              <w:t>Duplex Method</w:t>
            </w:r>
          </w:p>
        </w:tc>
        <w:tc>
          <w:tcPr>
            <w:tcW w:w="5244" w:type="dxa"/>
          </w:tcPr>
          <w:p w14:paraId="6B4F2D43" w14:textId="77777777" w:rsidR="00C11308" w:rsidRPr="00263F6F" w:rsidRDefault="00C11308" w:rsidP="00AC5F8D">
            <w:pPr>
              <w:pStyle w:val="Tabletext"/>
              <w:jc w:val="center"/>
              <w:rPr>
                <w:lang w:val="en-GB"/>
              </w:rPr>
            </w:pPr>
            <w:r w:rsidRPr="00263F6F">
              <w:rPr>
                <w:lang w:val="en-GB"/>
              </w:rPr>
              <w:t>FDD/TDD</w:t>
            </w:r>
          </w:p>
        </w:tc>
      </w:tr>
      <w:tr w:rsidR="00C11308" w:rsidRPr="000914BC" w14:paraId="29E1F41D" w14:textId="77777777" w:rsidTr="00A07C8F">
        <w:trPr>
          <w:cantSplit/>
          <w:jc w:val="center"/>
        </w:trPr>
        <w:tc>
          <w:tcPr>
            <w:tcW w:w="4395" w:type="dxa"/>
          </w:tcPr>
          <w:p w14:paraId="23BEFB82" w14:textId="77777777" w:rsidR="00C11308" w:rsidRPr="00263F6F" w:rsidRDefault="00C11308" w:rsidP="00AC5F8D">
            <w:pPr>
              <w:pStyle w:val="Tabletext"/>
              <w:rPr>
                <w:lang w:val="en-GB"/>
              </w:rPr>
            </w:pPr>
            <w:r w:rsidRPr="00263F6F">
              <w:rPr>
                <w:lang w:val="en-GB"/>
              </w:rPr>
              <w:t xml:space="preserve">Modulation </w:t>
            </w:r>
          </w:p>
        </w:tc>
        <w:tc>
          <w:tcPr>
            <w:tcW w:w="5244" w:type="dxa"/>
          </w:tcPr>
          <w:p w14:paraId="70C36977" w14:textId="77777777" w:rsidR="00C11308" w:rsidRPr="00263F6F" w:rsidRDefault="00C11308" w:rsidP="00AC5F8D">
            <w:pPr>
              <w:pStyle w:val="Tabletext"/>
              <w:jc w:val="center"/>
              <w:rPr>
                <w:lang w:val="en-GB"/>
              </w:rPr>
            </w:pPr>
            <w:r w:rsidRPr="00263F6F">
              <w:rPr>
                <w:lang w:val="en-GB"/>
              </w:rPr>
              <w:t>BPSK/QPSK/8PSK/8APSK/16QAM/32QAM/64QAM</w:t>
            </w:r>
          </w:p>
          <w:p w14:paraId="13B1DFC3" w14:textId="77777777" w:rsidR="00C11308" w:rsidRPr="00263F6F" w:rsidRDefault="00C11308" w:rsidP="00AC5F8D">
            <w:pPr>
              <w:pStyle w:val="Tabletext"/>
              <w:jc w:val="center"/>
              <w:rPr>
                <w:lang w:val="en-GB"/>
              </w:rPr>
            </w:pPr>
            <w:r w:rsidRPr="00263F6F">
              <w:rPr>
                <w:lang w:val="en-GB"/>
              </w:rPr>
              <w:t>BPSK-OFDM/QPSK-OFDM/ 16QAM-OFDM/32QAM-OFDM/64QAM-OFDM</w:t>
            </w:r>
          </w:p>
        </w:tc>
      </w:tr>
      <w:tr w:rsidR="00C11308" w:rsidRPr="00263F6F" w14:paraId="0BE81E72" w14:textId="77777777" w:rsidTr="00A07C8F">
        <w:trPr>
          <w:cantSplit/>
          <w:jc w:val="center"/>
        </w:trPr>
        <w:tc>
          <w:tcPr>
            <w:tcW w:w="4395" w:type="dxa"/>
          </w:tcPr>
          <w:p w14:paraId="5C5EBFD2" w14:textId="77777777" w:rsidR="00C11308" w:rsidRPr="00263F6F" w:rsidRDefault="00C11308" w:rsidP="00AC5F8D">
            <w:pPr>
              <w:pStyle w:val="Tabletext"/>
              <w:rPr>
                <w:lang w:val="en-GB"/>
              </w:rPr>
            </w:pPr>
            <w:r w:rsidRPr="00263F6F">
              <w:rPr>
                <w:lang w:val="en-GB"/>
              </w:rPr>
              <w:t xml:space="preserve">Channel bandwidth (GHz) </w:t>
            </w:r>
          </w:p>
        </w:tc>
        <w:tc>
          <w:tcPr>
            <w:tcW w:w="5244" w:type="dxa"/>
          </w:tcPr>
          <w:p w14:paraId="39F1B97A" w14:textId="77777777" w:rsidR="00C11308" w:rsidRPr="00263F6F" w:rsidRDefault="00C11308" w:rsidP="00AC5F8D">
            <w:pPr>
              <w:pStyle w:val="Tabletext"/>
              <w:jc w:val="center"/>
              <w:rPr>
                <w:lang w:val="en-GB"/>
              </w:rPr>
            </w:pPr>
            <w:r w:rsidRPr="00263F6F">
              <w:rPr>
                <w:lang w:val="en-GB"/>
              </w:rPr>
              <w:t>2…25 (FDD)</w:t>
            </w:r>
          </w:p>
          <w:p w14:paraId="09653D2A" w14:textId="77777777" w:rsidR="00C11308" w:rsidRPr="00263F6F" w:rsidRDefault="00C11308" w:rsidP="00AC5F8D">
            <w:pPr>
              <w:pStyle w:val="Tabletext"/>
              <w:jc w:val="center"/>
              <w:rPr>
                <w:lang w:val="en-GB"/>
              </w:rPr>
            </w:pPr>
            <w:r w:rsidRPr="00263F6F">
              <w:rPr>
                <w:lang w:val="en-GB"/>
              </w:rPr>
              <w:t>2…50 (TDD)</w:t>
            </w:r>
          </w:p>
        </w:tc>
      </w:tr>
      <w:tr w:rsidR="00C11308" w:rsidRPr="00263F6F" w14:paraId="67BE0920" w14:textId="77777777" w:rsidTr="00A07C8F">
        <w:trPr>
          <w:cantSplit/>
          <w:jc w:val="center"/>
        </w:trPr>
        <w:tc>
          <w:tcPr>
            <w:tcW w:w="4395" w:type="dxa"/>
          </w:tcPr>
          <w:p w14:paraId="62E4B901" w14:textId="77777777" w:rsidR="00C11308" w:rsidRPr="00263F6F" w:rsidRDefault="00C11308" w:rsidP="00AC5F8D">
            <w:pPr>
              <w:pStyle w:val="Tabletext"/>
              <w:rPr>
                <w:lang w:val="en-GB"/>
              </w:rPr>
            </w:pPr>
            <w:r w:rsidRPr="00263F6F">
              <w:rPr>
                <w:lang w:val="en-GB"/>
              </w:rPr>
              <w:t>Spectrum mask</w:t>
            </w:r>
          </w:p>
        </w:tc>
        <w:tc>
          <w:tcPr>
            <w:tcW w:w="5244" w:type="dxa"/>
          </w:tcPr>
          <w:p w14:paraId="7B9A410A" w14:textId="31AB5BAB" w:rsidR="00C11308" w:rsidRPr="00263F6F" w:rsidRDefault="00C11308" w:rsidP="00AC5F8D">
            <w:pPr>
              <w:pStyle w:val="Tabletext"/>
              <w:jc w:val="center"/>
              <w:rPr>
                <w:lang w:val="en-GB"/>
              </w:rPr>
            </w:pPr>
            <w:r w:rsidRPr="00263F6F">
              <w:rPr>
                <w:lang w:val="en-GB"/>
              </w:rPr>
              <w:t>See Table 3 below</w:t>
            </w:r>
          </w:p>
        </w:tc>
      </w:tr>
      <w:tr w:rsidR="00C11308" w:rsidRPr="00263F6F" w14:paraId="4C669674" w14:textId="77777777" w:rsidTr="00A07C8F">
        <w:trPr>
          <w:cantSplit/>
          <w:jc w:val="center"/>
        </w:trPr>
        <w:tc>
          <w:tcPr>
            <w:tcW w:w="4395" w:type="dxa"/>
          </w:tcPr>
          <w:p w14:paraId="0071116E" w14:textId="77777777" w:rsidR="00C11308" w:rsidRPr="00263F6F" w:rsidRDefault="00C11308" w:rsidP="00AC5F8D">
            <w:pPr>
              <w:pStyle w:val="Tabletext"/>
              <w:rPr>
                <w:lang w:val="en-GB"/>
              </w:rPr>
            </w:pPr>
            <w:r w:rsidRPr="00263F6F">
              <w:rPr>
                <w:lang w:val="en-GB"/>
              </w:rPr>
              <w:t xml:space="preserve">Tx output power range (dBm) </w:t>
            </w:r>
          </w:p>
        </w:tc>
        <w:tc>
          <w:tcPr>
            <w:tcW w:w="5244" w:type="dxa"/>
          </w:tcPr>
          <w:p w14:paraId="0CB665A8" w14:textId="77777777" w:rsidR="00C11308" w:rsidRPr="00263F6F" w:rsidRDefault="00C11308" w:rsidP="00AC5F8D">
            <w:pPr>
              <w:pStyle w:val="Tabletext"/>
              <w:jc w:val="center"/>
              <w:rPr>
                <w:lang w:val="en-GB"/>
              </w:rPr>
            </w:pPr>
            <w:r w:rsidRPr="00263F6F">
              <w:rPr>
                <w:lang w:val="en-GB"/>
              </w:rPr>
              <w:t>0…20</w:t>
            </w:r>
          </w:p>
        </w:tc>
      </w:tr>
      <w:tr w:rsidR="00C11308" w:rsidRPr="00263F6F" w14:paraId="74E55ECD" w14:textId="77777777" w:rsidTr="00A07C8F">
        <w:trPr>
          <w:cantSplit/>
          <w:jc w:val="center"/>
        </w:trPr>
        <w:tc>
          <w:tcPr>
            <w:tcW w:w="4395" w:type="dxa"/>
          </w:tcPr>
          <w:p w14:paraId="16A6BCDE" w14:textId="77777777" w:rsidR="00C11308" w:rsidRPr="00263F6F" w:rsidRDefault="00C11308" w:rsidP="00AC5F8D">
            <w:pPr>
              <w:pStyle w:val="Tabletext"/>
              <w:rPr>
                <w:lang w:val="en-GB"/>
              </w:rPr>
            </w:pPr>
            <w:r w:rsidRPr="00263F6F">
              <w:rPr>
                <w:lang w:val="en-GB"/>
              </w:rPr>
              <w:t>Tx output power density range (dBm/GHz)</w:t>
            </w:r>
          </w:p>
        </w:tc>
        <w:tc>
          <w:tcPr>
            <w:tcW w:w="5244" w:type="dxa"/>
          </w:tcPr>
          <w:p w14:paraId="15A84ED8" w14:textId="3A995EE7" w:rsidR="00C11308" w:rsidRPr="00263F6F" w:rsidRDefault="00A07C8F" w:rsidP="00AC5F8D">
            <w:pPr>
              <w:pStyle w:val="Tabletext"/>
              <w:jc w:val="center"/>
              <w:rPr>
                <w:lang w:val="en-GB"/>
              </w:rPr>
            </w:pPr>
            <w:r>
              <w:rPr>
                <w:lang w:val="en-GB"/>
              </w:rPr>
              <w:t>−</w:t>
            </w:r>
            <w:r w:rsidR="00C11308" w:rsidRPr="00263F6F">
              <w:rPr>
                <w:lang w:val="en-GB"/>
              </w:rPr>
              <w:t>17…17</w:t>
            </w:r>
          </w:p>
        </w:tc>
      </w:tr>
      <w:tr w:rsidR="00C11308" w:rsidRPr="00263F6F" w14:paraId="49F51A97" w14:textId="77777777" w:rsidTr="00A07C8F">
        <w:trPr>
          <w:cantSplit/>
          <w:jc w:val="center"/>
        </w:trPr>
        <w:tc>
          <w:tcPr>
            <w:tcW w:w="4395" w:type="dxa"/>
          </w:tcPr>
          <w:p w14:paraId="1E72D05E" w14:textId="77777777" w:rsidR="00C11308" w:rsidRPr="00263F6F" w:rsidRDefault="00C11308" w:rsidP="00AC5F8D">
            <w:pPr>
              <w:pStyle w:val="Tabletext"/>
              <w:rPr>
                <w:lang w:val="en-GB"/>
              </w:rPr>
            </w:pPr>
            <w:r w:rsidRPr="00263F6F">
              <w:rPr>
                <w:lang w:val="en-GB"/>
              </w:rPr>
              <w:t xml:space="preserve">Feeder/multiplexer loss range (dB) </w:t>
            </w:r>
          </w:p>
        </w:tc>
        <w:tc>
          <w:tcPr>
            <w:tcW w:w="5244" w:type="dxa"/>
          </w:tcPr>
          <w:p w14:paraId="35B05D39" w14:textId="77777777" w:rsidR="00C11308" w:rsidRPr="00263F6F" w:rsidRDefault="00C11308" w:rsidP="00AC5F8D">
            <w:pPr>
              <w:pStyle w:val="Tabletext"/>
              <w:jc w:val="center"/>
              <w:rPr>
                <w:lang w:val="en-GB"/>
              </w:rPr>
            </w:pPr>
            <w:r w:rsidRPr="00263F6F">
              <w:rPr>
                <w:lang w:val="en-GB"/>
              </w:rPr>
              <w:t>0…3</w:t>
            </w:r>
          </w:p>
        </w:tc>
      </w:tr>
      <w:tr w:rsidR="00C11308" w:rsidRPr="00263F6F" w14:paraId="2B853C09" w14:textId="77777777" w:rsidTr="00A07C8F">
        <w:trPr>
          <w:cantSplit/>
          <w:jc w:val="center"/>
        </w:trPr>
        <w:tc>
          <w:tcPr>
            <w:tcW w:w="4395" w:type="dxa"/>
          </w:tcPr>
          <w:p w14:paraId="5B09E640" w14:textId="77777777" w:rsidR="00C11308" w:rsidRPr="00263F6F" w:rsidRDefault="00C11308" w:rsidP="00AC5F8D">
            <w:pPr>
              <w:pStyle w:val="Tabletext"/>
              <w:rPr>
                <w:lang w:val="en-GB"/>
              </w:rPr>
            </w:pPr>
            <w:r w:rsidRPr="00263F6F">
              <w:rPr>
                <w:lang w:val="en-GB"/>
              </w:rPr>
              <w:t xml:space="preserve">Antenna gain range (dBi) </w:t>
            </w:r>
          </w:p>
        </w:tc>
        <w:tc>
          <w:tcPr>
            <w:tcW w:w="5244" w:type="dxa"/>
          </w:tcPr>
          <w:p w14:paraId="25D30576" w14:textId="77777777" w:rsidR="00C11308" w:rsidRPr="00263F6F" w:rsidRDefault="00C11308" w:rsidP="00AC5F8D">
            <w:pPr>
              <w:pStyle w:val="Tabletext"/>
              <w:jc w:val="center"/>
              <w:rPr>
                <w:lang w:val="en-GB"/>
              </w:rPr>
            </w:pPr>
            <w:r w:rsidRPr="00263F6F">
              <w:rPr>
                <w:lang w:val="en-GB"/>
              </w:rPr>
              <w:t>24…50</w:t>
            </w:r>
          </w:p>
        </w:tc>
      </w:tr>
      <w:tr w:rsidR="00C11308" w:rsidRPr="00263F6F" w14:paraId="300053D7" w14:textId="77777777" w:rsidTr="00A07C8F">
        <w:trPr>
          <w:cantSplit/>
          <w:jc w:val="center"/>
        </w:trPr>
        <w:tc>
          <w:tcPr>
            <w:tcW w:w="4395" w:type="dxa"/>
          </w:tcPr>
          <w:p w14:paraId="315CF9A4" w14:textId="77777777" w:rsidR="00C11308" w:rsidRPr="00263F6F" w:rsidRDefault="00C11308" w:rsidP="00AC5F8D">
            <w:pPr>
              <w:pStyle w:val="Tabletext"/>
              <w:rPr>
                <w:lang w:val="en-GB"/>
              </w:rPr>
            </w:pPr>
            <w:r w:rsidRPr="00263F6F">
              <w:rPr>
                <w:lang w:val="en-GB"/>
              </w:rPr>
              <w:t>e.i.r.p. range (dBm)</w:t>
            </w:r>
          </w:p>
        </w:tc>
        <w:tc>
          <w:tcPr>
            <w:tcW w:w="5244" w:type="dxa"/>
          </w:tcPr>
          <w:p w14:paraId="56E1D049" w14:textId="77777777" w:rsidR="00C11308" w:rsidRPr="00263F6F" w:rsidRDefault="00C11308" w:rsidP="00AC5F8D">
            <w:pPr>
              <w:pStyle w:val="Tabletext"/>
              <w:jc w:val="center"/>
              <w:rPr>
                <w:lang w:val="en-GB"/>
              </w:rPr>
            </w:pPr>
            <w:r w:rsidRPr="00263F6F">
              <w:rPr>
                <w:lang w:val="en-GB"/>
              </w:rPr>
              <w:t>44…70</w:t>
            </w:r>
          </w:p>
        </w:tc>
      </w:tr>
      <w:tr w:rsidR="00C11308" w:rsidRPr="00263F6F" w14:paraId="37AB9DC2" w14:textId="77777777" w:rsidTr="00A07C8F">
        <w:trPr>
          <w:cantSplit/>
          <w:jc w:val="center"/>
        </w:trPr>
        <w:tc>
          <w:tcPr>
            <w:tcW w:w="4395" w:type="dxa"/>
          </w:tcPr>
          <w:p w14:paraId="179D3859" w14:textId="77777777" w:rsidR="00C11308" w:rsidRPr="00263F6F" w:rsidRDefault="00C11308" w:rsidP="00AC5F8D">
            <w:pPr>
              <w:pStyle w:val="Tabletext"/>
              <w:rPr>
                <w:lang w:val="en-GB"/>
              </w:rPr>
            </w:pPr>
            <w:r w:rsidRPr="00263F6F">
              <w:rPr>
                <w:lang w:val="en-GB"/>
              </w:rPr>
              <w:t xml:space="preserve">e.i.r.p. density range (dBm/GHz) </w:t>
            </w:r>
          </w:p>
        </w:tc>
        <w:tc>
          <w:tcPr>
            <w:tcW w:w="5244" w:type="dxa"/>
          </w:tcPr>
          <w:p w14:paraId="05876EA0" w14:textId="77777777" w:rsidR="00C11308" w:rsidRPr="00263F6F" w:rsidRDefault="00C11308" w:rsidP="00AC5F8D">
            <w:pPr>
              <w:pStyle w:val="Tabletext"/>
              <w:jc w:val="center"/>
              <w:rPr>
                <w:lang w:val="en-GB"/>
              </w:rPr>
            </w:pPr>
            <w:r w:rsidRPr="00263F6F">
              <w:rPr>
                <w:lang w:val="en-GB"/>
              </w:rPr>
              <w:t>30…67</w:t>
            </w:r>
          </w:p>
        </w:tc>
      </w:tr>
    </w:tbl>
    <w:p w14:paraId="1542B5D1" w14:textId="3D5F1E59" w:rsidR="00A07C8F" w:rsidRPr="00263F6F" w:rsidRDefault="00A07C8F" w:rsidP="00A07C8F">
      <w:pPr>
        <w:pStyle w:val="TableNo"/>
        <w:rPr>
          <w:lang w:val="en-GB"/>
        </w:rPr>
      </w:pPr>
      <w:r>
        <w:rPr>
          <w:lang w:val="en-GB"/>
        </w:rPr>
        <w:lastRenderedPageBreak/>
        <w:t>T</w:t>
      </w:r>
      <w:r w:rsidRPr="00263F6F">
        <w:rPr>
          <w:lang w:val="en-GB"/>
        </w:rPr>
        <w:t>ABLE 2</w:t>
      </w:r>
      <w:r>
        <w:rPr>
          <w:lang w:val="en-GB"/>
        </w:rPr>
        <w:t xml:space="preserve"> (</w:t>
      </w:r>
      <w:r w:rsidRPr="00A07C8F">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A07C8F" w:rsidRPr="00263F6F" w14:paraId="66F4BC33" w14:textId="77777777" w:rsidTr="008A70A8">
        <w:trPr>
          <w:cantSplit/>
          <w:tblHeader/>
          <w:jc w:val="center"/>
        </w:trPr>
        <w:tc>
          <w:tcPr>
            <w:tcW w:w="4395" w:type="dxa"/>
            <w:vAlign w:val="center"/>
          </w:tcPr>
          <w:p w14:paraId="7F51E9A8" w14:textId="77777777" w:rsidR="00A07C8F" w:rsidRPr="00263F6F" w:rsidRDefault="00A07C8F" w:rsidP="008A70A8">
            <w:pPr>
              <w:pStyle w:val="Tablehead"/>
              <w:rPr>
                <w:rFonts w:eastAsiaTheme="minorEastAsia"/>
                <w:lang w:val="en-GB"/>
              </w:rPr>
            </w:pPr>
            <w:r w:rsidRPr="00263F6F">
              <w:rPr>
                <w:rFonts w:eastAsiaTheme="minorEastAsia"/>
                <w:lang w:val="en-GB"/>
              </w:rPr>
              <w:t>Parameter</w:t>
            </w:r>
          </w:p>
        </w:tc>
        <w:tc>
          <w:tcPr>
            <w:tcW w:w="5244" w:type="dxa"/>
            <w:vAlign w:val="center"/>
          </w:tcPr>
          <w:p w14:paraId="047DBE28" w14:textId="77777777" w:rsidR="00A07C8F" w:rsidRPr="00263F6F" w:rsidRDefault="00A07C8F" w:rsidP="008A70A8">
            <w:pPr>
              <w:pStyle w:val="Tablehead"/>
              <w:rPr>
                <w:rFonts w:eastAsiaTheme="minorEastAsia"/>
                <w:lang w:val="en-GB"/>
              </w:rPr>
            </w:pPr>
            <w:r w:rsidRPr="00263F6F">
              <w:rPr>
                <w:rFonts w:eastAsiaTheme="minorEastAsia"/>
                <w:lang w:val="en-GB"/>
              </w:rPr>
              <w:t>Values</w:t>
            </w:r>
          </w:p>
        </w:tc>
      </w:tr>
      <w:tr w:rsidR="00C11308" w:rsidRPr="000914BC" w14:paraId="13054DCC" w14:textId="77777777" w:rsidTr="00A07C8F">
        <w:trPr>
          <w:cantSplit/>
          <w:jc w:val="center"/>
        </w:trPr>
        <w:tc>
          <w:tcPr>
            <w:tcW w:w="4395" w:type="dxa"/>
          </w:tcPr>
          <w:p w14:paraId="4DCFE6B4" w14:textId="7443B2CB" w:rsidR="00C11308" w:rsidRPr="00263F6F" w:rsidRDefault="00C11308" w:rsidP="00AC5F8D">
            <w:pPr>
              <w:pStyle w:val="Tabletext"/>
              <w:rPr>
                <w:lang w:val="en-GB"/>
              </w:rPr>
            </w:pPr>
            <w:r w:rsidRPr="00263F6F">
              <w:rPr>
                <w:lang w:val="en-GB"/>
              </w:rPr>
              <w:t>Antenna pattern</w:t>
            </w:r>
          </w:p>
        </w:tc>
        <w:tc>
          <w:tcPr>
            <w:tcW w:w="5244" w:type="dxa"/>
          </w:tcPr>
          <w:p w14:paraId="3BD26F51" w14:textId="247BA041" w:rsidR="00C11308" w:rsidRPr="00091E52" w:rsidRDefault="00C11308" w:rsidP="00AC5F8D">
            <w:pPr>
              <w:pStyle w:val="Tabletext"/>
              <w:jc w:val="center"/>
              <w:rPr>
                <w:lang w:val="en-GB"/>
              </w:rPr>
            </w:pPr>
            <w:r w:rsidRPr="00091E52">
              <w:rPr>
                <w:lang w:val="en-GB"/>
              </w:rPr>
              <w:t xml:space="preserve">Recs ITU-R </w:t>
            </w:r>
            <w:hyperlink r:id="rId24" w:history="1">
              <w:r w:rsidRPr="003725C0">
                <w:rPr>
                  <w:rStyle w:val="Hyperlink"/>
                  <w:color w:val="auto"/>
                  <w:u w:val="none"/>
                  <w:lang w:val="en-GB"/>
                </w:rPr>
                <w:t>F.699</w:t>
              </w:r>
            </w:hyperlink>
            <w:r w:rsidR="00091E52" w:rsidRPr="003725C0">
              <w:rPr>
                <w:lang w:val="en-GB"/>
              </w:rPr>
              <w:t xml:space="preserve"> and</w:t>
            </w:r>
            <w:r w:rsidRPr="003725C0">
              <w:rPr>
                <w:lang w:val="en-GB"/>
              </w:rPr>
              <w:t xml:space="preserve"> ITU-R </w:t>
            </w:r>
            <w:hyperlink r:id="rId25" w:history="1">
              <w:r w:rsidRPr="003725C0">
                <w:rPr>
                  <w:rStyle w:val="Hyperlink"/>
                  <w:color w:val="auto"/>
                  <w:u w:val="none"/>
                  <w:lang w:val="en-GB"/>
                </w:rPr>
                <w:t>F.1336</w:t>
              </w:r>
            </w:hyperlink>
          </w:p>
        </w:tc>
      </w:tr>
      <w:tr w:rsidR="00C11308" w:rsidRPr="00263F6F" w14:paraId="4732963D" w14:textId="77777777" w:rsidTr="00A07C8F">
        <w:trPr>
          <w:cantSplit/>
          <w:jc w:val="center"/>
        </w:trPr>
        <w:tc>
          <w:tcPr>
            <w:tcW w:w="4395" w:type="dxa"/>
          </w:tcPr>
          <w:p w14:paraId="4D8636A4" w14:textId="77777777" w:rsidR="00C11308" w:rsidRPr="00263F6F" w:rsidRDefault="00C11308" w:rsidP="00AC5F8D">
            <w:pPr>
              <w:pStyle w:val="Tabletext"/>
              <w:rPr>
                <w:lang w:val="en-GB"/>
              </w:rPr>
            </w:pPr>
            <w:r w:rsidRPr="00263F6F">
              <w:rPr>
                <w:lang w:val="en-GB"/>
              </w:rPr>
              <w:t>Antenna type</w:t>
            </w:r>
          </w:p>
        </w:tc>
        <w:tc>
          <w:tcPr>
            <w:tcW w:w="5244" w:type="dxa"/>
          </w:tcPr>
          <w:p w14:paraId="30EB1FE0" w14:textId="133720B7" w:rsidR="00C11308" w:rsidRPr="00263F6F" w:rsidRDefault="00C11308" w:rsidP="00AC5F8D">
            <w:pPr>
              <w:pStyle w:val="Tabletext"/>
              <w:jc w:val="center"/>
              <w:rPr>
                <w:lang w:val="en-GB"/>
              </w:rPr>
            </w:pPr>
            <w:r w:rsidRPr="00263F6F">
              <w:rPr>
                <w:lang w:val="en-GB"/>
              </w:rPr>
              <w:t xml:space="preserve">Parabolic </w:t>
            </w:r>
            <w:r w:rsidR="00263F6F" w:rsidRPr="00263F6F">
              <w:rPr>
                <w:lang w:val="en-GB"/>
              </w:rPr>
              <w:t>reflector</w:t>
            </w:r>
          </w:p>
        </w:tc>
      </w:tr>
      <w:tr w:rsidR="00C11308" w:rsidRPr="00263F6F" w14:paraId="5E3659DD" w14:textId="77777777" w:rsidTr="00A07C8F">
        <w:trPr>
          <w:cantSplit/>
          <w:jc w:val="center"/>
        </w:trPr>
        <w:tc>
          <w:tcPr>
            <w:tcW w:w="4395" w:type="dxa"/>
          </w:tcPr>
          <w:p w14:paraId="7ABA6F09" w14:textId="77777777" w:rsidR="00C11308" w:rsidRPr="00263F6F" w:rsidRDefault="00C11308" w:rsidP="00AC5F8D">
            <w:pPr>
              <w:pStyle w:val="Tabletext"/>
              <w:rPr>
                <w:lang w:val="en-GB"/>
              </w:rPr>
            </w:pPr>
            <w:r w:rsidRPr="00263F6F">
              <w:rPr>
                <w:lang w:val="en-GB"/>
              </w:rPr>
              <w:t>Antenna height</w:t>
            </w:r>
            <w:r w:rsidRPr="00263F6F" w:rsidDel="006529D2">
              <w:rPr>
                <w:position w:val="6"/>
                <w:sz w:val="18"/>
                <w:lang w:val="en-GB"/>
              </w:rPr>
              <w:t xml:space="preserve"> </w:t>
            </w:r>
            <w:r w:rsidRPr="00263F6F">
              <w:rPr>
                <w:lang w:val="en-GB"/>
              </w:rPr>
              <w:t>(m)</w:t>
            </w:r>
          </w:p>
        </w:tc>
        <w:tc>
          <w:tcPr>
            <w:tcW w:w="5244" w:type="dxa"/>
          </w:tcPr>
          <w:p w14:paraId="5D42940B" w14:textId="77777777" w:rsidR="00C11308" w:rsidRPr="00263F6F" w:rsidRDefault="00C11308" w:rsidP="00AC5F8D">
            <w:pPr>
              <w:pStyle w:val="Tabletext"/>
              <w:jc w:val="center"/>
              <w:rPr>
                <w:lang w:val="en-GB"/>
              </w:rPr>
            </w:pPr>
            <w:r w:rsidRPr="00263F6F">
              <w:rPr>
                <w:lang w:val="en-GB"/>
              </w:rPr>
              <w:t>6…25</w:t>
            </w:r>
          </w:p>
        </w:tc>
      </w:tr>
      <w:tr w:rsidR="00C11308" w:rsidRPr="00263F6F" w14:paraId="4D41DA65" w14:textId="77777777" w:rsidTr="00A07C8F">
        <w:trPr>
          <w:cantSplit/>
          <w:jc w:val="center"/>
        </w:trPr>
        <w:tc>
          <w:tcPr>
            <w:tcW w:w="4395" w:type="dxa"/>
          </w:tcPr>
          <w:p w14:paraId="66225464" w14:textId="77777777" w:rsidR="00C11308" w:rsidRPr="00263F6F" w:rsidRDefault="00C11308" w:rsidP="00AC5F8D">
            <w:pPr>
              <w:pStyle w:val="Tabletext"/>
              <w:rPr>
                <w:lang w:val="en-GB"/>
              </w:rPr>
            </w:pPr>
            <w:r w:rsidRPr="00263F6F">
              <w:rPr>
                <w:lang w:val="en-GB"/>
              </w:rPr>
              <w:t>Antenna elevation (degree)</w:t>
            </w:r>
          </w:p>
        </w:tc>
        <w:tc>
          <w:tcPr>
            <w:tcW w:w="5244" w:type="dxa"/>
          </w:tcPr>
          <w:p w14:paraId="4E0C69C0" w14:textId="77777777" w:rsidR="00C11308" w:rsidRPr="00263F6F" w:rsidRDefault="00C11308" w:rsidP="00AC5F8D">
            <w:pPr>
              <w:pStyle w:val="Tabletext"/>
              <w:jc w:val="center"/>
              <w:rPr>
                <w:lang w:val="en-GB"/>
              </w:rPr>
            </w:pPr>
            <w:r w:rsidRPr="00263F6F">
              <w:rPr>
                <w:lang w:val="en-GB"/>
              </w:rPr>
              <w:t>±20 (typical)</w:t>
            </w:r>
          </w:p>
        </w:tc>
      </w:tr>
      <w:tr w:rsidR="00C11308" w:rsidRPr="00263F6F" w14:paraId="1640358F" w14:textId="77777777" w:rsidTr="00A07C8F">
        <w:trPr>
          <w:cantSplit/>
          <w:jc w:val="center"/>
        </w:trPr>
        <w:tc>
          <w:tcPr>
            <w:tcW w:w="4395" w:type="dxa"/>
          </w:tcPr>
          <w:p w14:paraId="726420E4" w14:textId="77777777" w:rsidR="00C11308" w:rsidRPr="00263F6F" w:rsidRDefault="00C11308" w:rsidP="00AC5F8D">
            <w:pPr>
              <w:pStyle w:val="Tabletext"/>
              <w:rPr>
                <w:lang w:val="en-GB"/>
              </w:rPr>
            </w:pPr>
            <w:r w:rsidRPr="00263F6F">
              <w:rPr>
                <w:lang w:val="en-GB"/>
              </w:rPr>
              <w:t xml:space="preserve">Receiver noise figure typical (dB) </w:t>
            </w:r>
          </w:p>
        </w:tc>
        <w:tc>
          <w:tcPr>
            <w:tcW w:w="5244" w:type="dxa"/>
          </w:tcPr>
          <w:p w14:paraId="064EC09F" w14:textId="77777777" w:rsidR="00C11308" w:rsidRPr="00263F6F" w:rsidRDefault="00C11308" w:rsidP="00AC5F8D">
            <w:pPr>
              <w:pStyle w:val="Tabletext"/>
              <w:jc w:val="center"/>
              <w:rPr>
                <w:lang w:val="en-GB"/>
              </w:rPr>
            </w:pPr>
            <w:r w:rsidRPr="00263F6F">
              <w:rPr>
                <w:lang w:val="en-GB"/>
              </w:rPr>
              <w:t>15</w:t>
            </w:r>
          </w:p>
        </w:tc>
      </w:tr>
      <w:tr w:rsidR="00C11308" w:rsidRPr="00263F6F" w14:paraId="060357F1" w14:textId="77777777" w:rsidTr="00A07C8F">
        <w:trPr>
          <w:cantSplit/>
          <w:jc w:val="center"/>
        </w:trPr>
        <w:tc>
          <w:tcPr>
            <w:tcW w:w="4395" w:type="dxa"/>
          </w:tcPr>
          <w:p w14:paraId="38535F5B" w14:textId="77777777" w:rsidR="00C11308" w:rsidRPr="00263F6F" w:rsidRDefault="00C11308" w:rsidP="00AC5F8D">
            <w:pPr>
              <w:pStyle w:val="Tabletext"/>
              <w:rPr>
                <w:lang w:val="en-GB"/>
              </w:rPr>
            </w:pPr>
            <w:r w:rsidRPr="00263F6F">
              <w:rPr>
                <w:lang w:val="en-GB"/>
              </w:rPr>
              <w:t>Receiver noise power density typical (dBm/GHz)</w:t>
            </w:r>
          </w:p>
        </w:tc>
        <w:tc>
          <w:tcPr>
            <w:tcW w:w="5244" w:type="dxa"/>
          </w:tcPr>
          <w:p w14:paraId="717DE692" w14:textId="77777777" w:rsidR="00C11308" w:rsidRPr="00263F6F" w:rsidRDefault="00C11308" w:rsidP="00AC5F8D">
            <w:pPr>
              <w:pStyle w:val="Tabletext"/>
              <w:jc w:val="center"/>
              <w:rPr>
                <w:lang w:val="en-GB"/>
              </w:rPr>
            </w:pPr>
            <w:r w:rsidRPr="00263F6F">
              <w:rPr>
                <w:lang w:val="en-GB"/>
              </w:rPr>
              <w:t>−69</w:t>
            </w:r>
          </w:p>
        </w:tc>
      </w:tr>
      <w:tr w:rsidR="00C11308" w:rsidRPr="00263F6F" w14:paraId="398B68C0" w14:textId="77777777" w:rsidTr="00A07C8F">
        <w:trPr>
          <w:cantSplit/>
          <w:jc w:val="center"/>
        </w:trPr>
        <w:tc>
          <w:tcPr>
            <w:tcW w:w="4395" w:type="dxa"/>
          </w:tcPr>
          <w:p w14:paraId="4951776A" w14:textId="77777777" w:rsidR="00C11308" w:rsidRPr="00263F6F" w:rsidRDefault="00C11308" w:rsidP="00AC5F8D">
            <w:pPr>
              <w:pStyle w:val="Tabletext"/>
              <w:rPr>
                <w:lang w:val="en-GB"/>
              </w:rPr>
            </w:pPr>
            <w:r w:rsidRPr="00263F6F">
              <w:rPr>
                <w:lang w:val="en-GB"/>
              </w:rPr>
              <w:t>Normalized Rx input level for 1 × 10</w:t>
            </w:r>
            <w:r w:rsidRPr="00263F6F">
              <w:rPr>
                <w:vertAlign w:val="superscript"/>
                <w:lang w:val="en-GB"/>
              </w:rPr>
              <w:t>-6</w:t>
            </w:r>
            <w:r w:rsidRPr="00263F6F">
              <w:rPr>
                <w:lang w:val="en-GB"/>
              </w:rPr>
              <w:t xml:space="preserve"> BER (dBm/GHz)</w:t>
            </w:r>
          </w:p>
        </w:tc>
        <w:tc>
          <w:tcPr>
            <w:tcW w:w="5244" w:type="dxa"/>
          </w:tcPr>
          <w:p w14:paraId="555F068E" w14:textId="77777777" w:rsidR="00C11308" w:rsidRPr="00263F6F" w:rsidRDefault="00C11308" w:rsidP="00AC5F8D">
            <w:pPr>
              <w:pStyle w:val="Tabletext"/>
              <w:jc w:val="center"/>
              <w:rPr>
                <w:lang w:val="en-GB"/>
              </w:rPr>
            </w:pPr>
            <w:r w:rsidRPr="00263F6F">
              <w:rPr>
                <w:lang w:val="en-GB"/>
              </w:rPr>
              <w:t>−61…−54</w:t>
            </w:r>
          </w:p>
        </w:tc>
      </w:tr>
      <w:tr w:rsidR="00C11308" w:rsidRPr="00263F6F" w14:paraId="398BD544" w14:textId="77777777" w:rsidTr="00A07C8F">
        <w:trPr>
          <w:cantSplit/>
          <w:jc w:val="center"/>
        </w:trPr>
        <w:tc>
          <w:tcPr>
            <w:tcW w:w="4395" w:type="dxa"/>
          </w:tcPr>
          <w:p w14:paraId="343E6E8F" w14:textId="77777777" w:rsidR="00C11308" w:rsidRPr="00263F6F" w:rsidRDefault="00C11308" w:rsidP="00AC5F8D">
            <w:pPr>
              <w:pStyle w:val="Tabletext"/>
              <w:rPr>
                <w:lang w:val="en-GB"/>
              </w:rPr>
            </w:pPr>
            <w:r w:rsidRPr="00263F6F">
              <w:rPr>
                <w:lang w:val="en-GB"/>
              </w:rPr>
              <w:t>Link length (m)</w:t>
            </w:r>
          </w:p>
        </w:tc>
        <w:tc>
          <w:tcPr>
            <w:tcW w:w="5244" w:type="dxa"/>
          </w:tcPr>
          <w:p w14:paraId="5A243180" w14:textId="77777777" w:rsidR="00C11308" w:rsidRPr="00263F6F" w:rsidRDefault="00C11308" w:rsidP="00AC5F8D">
            <w:pPr>
              <w:pStyle w:val="Tabletext"/>
              <w:jc w:val="center"/>
              <w:rPr>
                <w:lang w:val="en-GB"/>
              </w:rPr>
            </w:pPr>
            <w:r w:rsidRPr="00263F6F">
              <w:rPr>
                <w:lang w:val="en-GB"/>
              </w:rPr>
              <w:t>100…300</w:t>
            </w:r>
          </w:p>
        </w:tc>
      </w:tr>
      <w:tr w:rsidR="00C11308" w:rsidRPr="00263F6F" w14:paraId="1BFD0E19" w14:textId="77777777" w:rsidTr="00A07C8F">
        <w:trPr>
          <w:cantSplit/>
          <w:jc w:val="center"/>
        </w:trPr>
        <w:tc>
          <w:tcPr>
            <w:tcW w:w="4395" w:type="dxa"/>
            <w:tcBorders>
              <w:top w:val="single" w:sz="4" w:space="0" w:color="auto"/>
              <w:left w:val="single" w:sz="4" w:space="0" w:color="auto"/>
              <w:bottom w:val="single" w:sz="4" w:space="0" w:color="auto"/>
              <w:right w:val="single" w:sz="4" w:space="0" w:color="auto"/>
            </w:tcBorders>
          </w:tcPr>
          <w:p w14:paraId="44815C68" w14:textId="77777777" w:rsidR="00C11308" w:rsidRPr="00263F6F" w:rsidRDefault="00C11308" w:rsidP="00AC5F8D">
            <w:pPr>
              <w:pStyle w:val="Tabletext"/>
              <w:rPr>
                <w:rFonts w:eastAsia="Calibri"/>
                <w:lang w:val="en-GB"/>
              </w:rPr>
            </w:pPr>
            <w:r w:rsidRPr="00263F6F">
              <w:rPr>
                <w:rFonts w:eastAsia="Calibri"/>
                <w:i/>
                <w:iCs/>
                <w:lang w:val="en-GB"/>
              </w:rPr>
              <w:t>I</w:t>
            </w:r>
            <w:r w:rsidRPr="00616E4E">
              <w:rPr>
                <w:rFonts w:eastAsia="Calibri"/>
                <w:lang w:val="en-GB"/>
              </w:rPr>
              <w:t>/</w:t>
            </w:r>
            <w:r w:rsidRPr="00263F6F">
              <w:rPr>
                <w:rFonts w:eastAsia="Calibri"/>
                <w:i/>
                <w:iCs/>
                <w:lang w:val="en-GB"/>
              </w:rPr>
              <w:t>N</w:t>
            </w:r>
            <w:r w:rsidRPr="00263F6F">
              <w:rPr>
                <w:rFonts w:eastAsia="Calibri"/>
                <w:lang w:val="en-GB"/>
              </w:rPr>
              <w:t xml:space="preserve"> protection criteria</w:t>
            </w:r>
          </w:p>
        </w:tc>
        <w:tc>
          <w:tcPr>
            <w:tcW w:w="5244" w:type="dxa"/>
            <w:tcBorders>
              <w:top w:val="single" w:sz="4" w:space="0" w:color="auto"/>
              <w:left w:val="single" w:sz="4" w:space="0" w:color="auto"/>
              <w:bottom w:val="single" w:sz="4" w:space="0" w:color="auto"/>
              <w:right w:val="single" w:sz="4" w:space="0" w:color="auto"/>
            </w:tcBorders>
          </w:tcPr>
          <w:p w14:paraId="31C2DF4B" w14:textId="6B12F8C2" w:rsidR="00C11308" w:rsidRPr="00263F6F" w:rsidRDefault="00C11308" w:rsidP="00AC5F8D">
            <w:pPr>
              <w:pStyle w:val="Tabletext"/>
              <w:jc w:val="center"/>
              <w:rPr>
                <w:lang w:val="en-GB"/>
              </w:rPr>
            </w:pPr>
            <w:r w:rsidRPr="00263F6F">
              <w:rPr>
                <w:lang w:val="en-GB"/>
              </w:rPr>
              <w:t>Rec</w:t>
            </w:r>
            <w:r w:rsidR="00091E52">
              <w:rPr>
                <w:lang w:val="en-GB"/>
              </w:rPr>
              <w:t>.</w:t>
            </w:r>
            <w:r w:rsidRPr="00263F6F">
              <w:rPr>
                <w:lang w:val="en-GB"/>
              </w:rPr>
              <w:t xml:space="preserve"> ITU-R </w:t>
            </w:r>
            <w:hyperlink r:id="rId26" w:history="1">
              <w:r w:rsidR="0094628D" w:rsidRPr="00225B7F">
                <w:rPr>
                  <w:rStyle w:val="Hyperlink"/>
                  <w:color w:val="auto"/>
                  <w:u w:val="none"/>
                  <w:lang w:val="en-GB"/>
                </w:rPr>
                <w:t>F.758</w:t>
              </w:r>
            </w:hyperlink>
          </w:p>
        </w:tc>
      </w:tr>
      <w:tr w:rsidR="00C11308" w:rsidRPr="00263F6F" w14:paraId="16EFCD97" w14:textId="77777777" w:rsidTr="00A07C8F">
        <w:trPr>
          <w:cantSplit/>
          <w:jc w:val="center"/>
        </w:trPr>
        <w:tc>
          <w:tcPr>
            <w:tcW w:w="4395" w:type="dxa"/>
            <w:tcBorders>
              <w:top w:val="single" w:sz="4" w:space="0" w:color="auto"/>
              <w:left w:val="single" w:sz="4" w:space="0" w:color="auto"/>
              <w:bottom w:val="single" w:sz="4" w:space="0" w:color="auto"/>
              <w:right w:val="single" w:sz="4" w:space="0" w:color="auto"/>
            </w:tcBorders>
          </w:tcPr>
          <w:p w14:paraId="5612A45B" w14:textId="77777777" w:rsidR="00C11308" w:rsidRPr="00263F6F" w:rsidRDefault="00C11308" w:rsidP="00AC5F8D">
            <w:pPr>
              <w:pStyle w:val="Tabletext"/>
              <w:rPr>
                <w:lang w:val="en-GB" w:eastAsia="ja-JP"/>
              </w:rPr>
            </w:pPr>
            <w:r w:rsidRPr="00263F6F">
              <w:rPr>
                <w:lang w:val="en-GB" w:eastAsia="ja-JP"/>
              </w:rPr>
              <w:t>Density (per km</w:t>
            </w:r>
            <w:r w:rsidRPr="00263F6F">
              <w:rPr>
                <w:vertAlign w:val="superscript"/>
                <w:lang w:val="en-GB" w:eastAsia="ja-JP"/>
              </w:rPr>
              <w:t>2</w:t>
            </w:r>
            <w:r w:rsidRPr="00263F6F">
              <w:rPr>
                <w:lang w:val="en-GB" w:eastAsia="ja-JP"/>
              </w:rPr>
              <w:t>)</w:t>
            </w:r>
          </w:p>
        </w:tc>
        <w:tc>
          <w:tcPr>
            <w:tcW w:w="5244" w:type="dxa"/>
            <w:tcBorders>
              <w:top w:val="single" w:sz="4" w:space="0" w:color="auto"/>
              <w:left w:val="single" w:sz="4" w:space="0" w:color="auto"/>
              <w:bottom w:val="single" w:sz="4" w:space="0" w:color="auto"/>
              <w:right w:val="single" w:sz="4" w:space="0" w:color="auto"/>
            </w:tcBorders>
          </w:tcPr>
          <w:p w14:paraId="243817A5" w14:textId="77777777" w:rsidR="00C11308" w:rsidRPr="00263F6F" w:rsidRDefault="00C11308" w:rsidP="00AC5F8D">
            <w:pPr>
              <w:pStyle w:val="Tabletext"/>
              <w:jc w:val="center"/>
              <w:rPr>
                <w:lang w:val="en-GB" w:eastAsia="ja-JP"/>
              </w:rPr>
            </w:pPr>
            <w:r w:rsidRPr="00263F6F">
              <w:rPr>
                <w:lang w:val="en-GB" w:eastAsia="ja-JP"/>
              </w:rPr>
              <w:t>8.4</w:t>
            </w:r>
          </w:p>
        </w:tc>
      </w:tr>
    </w:tbl>
    <w:p w14:paraId="08AED9A0" w14:textId="77777777" w:rsidR="00C11308" w:rsidRPr="00263F6F" w:rsidRDefault="00C11308" w:rsidP="00C11308">
      <w:pPr>
        <w:pStyle w:val="Tablefin"/>
      </w:pPr>
      <w:bookmarkStart w:id="23" w:name="_Toc11081146"/>
    </w:p>
    <w:p w14:paraId="36DF7258" w14:textId="77777777" w:rsidR="00C11308" w:rsidRPr="00263F6F" w:rsidRDefault="00C11308" w:rsidP="00C11308">
      <w:pPr>
        <w:pStyle w:val="Headingb"/>
        <w:rPr>
          <w:lang w:val="en-GB"/>
        </w:rPr>
      </w:pPr>
      <w:r w:rsidRPr="00263F6F">
        <w:rPr>
          <w:lang w:val="en-GB"/>
        </w:rPr>
        <w:t>FS transmitter spectrum mask</w:t>
      </w:r>
    </w:p>
    <w:p w14:paraId="35325BAF" w14:textId="5B037CCF" w:rsidR="00C11308" w:rsidRPr="00263F6F" w:rsidRDefault="00C11308" w:rsidP="00C11308">
      <w:pPr>
        <w:rPr>
          <w:lang w:val="en-GB" w:eastAsia="ja-JP"/>
        </w:rPr>
      </w:pPr>
      <w:r w:rsidRPr="00263F6F">
        <w:rPr>
          <w:lang w:val="en-GB" w:eastAsia="ja-JP"/>
        </w:rPr>
        <w:t>The following spectrum mask is taken from IEEE Std 802.15.3d</w:t>
      </w:r>
      <w:r w:rsidRPr="00263F6F">
        <w:rPr>
          <w:vertAlign w:val="superscript"/>
          <w:lang w:val="en-GB" w:eastAsia="ja-JP"/>
        </w:rPr>
        <w:t>TM</w:t>
      </w:r>
      <w:r w:rsidRPr="00263F6F">
        <w:rPr>
          <w:lang w:val="en-GB" w:eastAsia="ja-JP"/>
        </w:rPr>
        <w:t>-2017</w:t>
      </w:r>
      <w:r w:rsidRPr="00263F6F">
        <w:rPr>
          <w:vertAlign w:val="superscript"/>
          <w:lang w:val="en-GB" w:eastAsia="ja-JP"/>
        </w:rPr>
        <w:t xml:space="preserve"> </w:t>
      </w:r>
      <w:r w:rsidRPr="00263F6F">
        <w:rPr>
          <w:lang w:val="en-GB" w:eastAsia="ja-JP"/>
        </w:rPr>
        <w:t>as shown in Fig</w:t>
      </w:r>
      <w:r w:rsidR="00263F6F">
        <w:rPr>
          <w:lang w:val="en-GB" w:eastAsia="ja-JP"/>
        </w:rPr>
        <w:t>.</w:t>
      </w:r>
      <w:r w:rsidRPr="00263F6F">
        <w:rPr>
          <w:lang w:val="en-GB" w:eastAsia="ja-JP"/>
        </w:rPr>
        <w:t xml:space="preserve"> 1 and Table 3.</w:t>
      </w:r>
    </w:p>
    <w:p w14:paraId="67F40783" w14:textId="77777777" w:rsidR="00C11308" w:rsidRPr="00263F6F" w:rsidRDefault="00C11308" w:rsidP="00C11308">
      <w:pPr>
        <w:pStyle w:val="FigureNo"/>
        <w:rPr>
          <w:lang w:val="en-GB"/>
        </w:rPr>
      </w:pPr>
      <w:r w:rsidRPr="00263F6F">
        <w:rPr>
          <w:lang w:val="en-GB"/>
        </w:rPr>
        <w:t>FIGURE 1</w:t>
      </w:r>
    </w:p>
    <w:p w14:paraId="17D11C9C" w14:textId="77777777" w:rsidR="00C11308" w:rsidRPr="00263F6F" w:rsidRDefault="00C11308" w:rsidP="00C11308">
      <w:pPr>
        <w:pStyle w:val="Figuretitle"/>
        <w:rPr>
          <w:lang w:val="en-GB" w:eastAsia="ja-JP"/>
        </w:rPr>
      </w:pPr>
      <w:r w:rsidRPr="00263F6F">
        <w:rPr>
          <w:lang w:val="en-GB"/>
        </w:rPr>
        <w:t>Generic transmit spectral mask</w:t>
      </w:r>
    </w:p>
    <w:p w14:paraId="4C43555A" w14:textId="15F24883" w:rsidR="00C11308" w:rsidRPr="00263F6F" w:rsidRDefault="00E65D68" w:rsidP="00C11308">
      <w:pPr>
        <w:pStyle w:val="Figure"/>
        <w:rPr>
          <w:lang w:val="en-GB"/>
        </w:rPr>
      </w:pPr>
      <w:r>
        <w:rPr>
          <w:noProof/>
          <w:lang w:val="en-GB"/>
        </w:rPr>
        <w:drawing>
          <wp:inline distT="0" distB="0" distL="0" distR="0" wp14:anchorId="4157AAEE" wp14:editId="0AD48C34">
            <wp:extent cx="5718060" cy="3304039"/>
            <wp:effectExtent l="0" t="0" r="0" b="0"/>
            <wp:docPr id="78" name="Picture 78"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antenna&#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8060" cy="3304039"/>
                    </a:xfrm>
                    <a:prstGeom prst="rect">
                      <a:avLst/>
                    </a:prstGeom>
                  </pic:spPr>
                </pic:pic>
              </a:graphicData>
            </a:graphic>
          </wp:inline>
        </w:drawing>
      </w:r>
    </w:p>
    <w:p w14:paraId="4E2E3EE0" w14:textId="249FDFA0" w:rsidR="00C11308" w:rsidRPr="00263F6F" w:rsidRDefault="00C11308" w:rsidP="00C11308">
      <w:pPr>
        <w:pStyle w:val="Normalaftertitle"/>
        <w:rPr>
          <w:lang w:val="en-GB"/>
        </w:rPr>
      </w:pPr>
      <w:r w:rsidRPr="00263F6F">
        <w:rPr>
          <w:lang w:val="en-GB"/>
        </w:rPr>
        <w:t>The parameters of the PSD indicated in Fig</w:t>
      </w:r>
      <w:r w:rsidR="00AB1117">
        <w:rPr>
          <w:lang w:val="en-GB"/>
        </w:rPr>
        <w:t>.</w:t>
      </w:r>
      <w:r w:rsidRPr="00263F6F">
        <w:rPr>
          <w:lang w:val="en-GB"/>
        </w:rPr>
        <w:t xml:space="preserve"> 1 are defined in Table 3.</w:t>
      </w:r>
    </w:p>
    <w:p w14:paraId="5F2F07C4" w14:textId="77777777" w:rsidR="00C11308" w:rsidRPr="00263F6F" w:rsidRDefault="00C11308" w:rsidP="00C11308">
      <w:pPr>
        <w:pStyle w:val="TableNo"/>
        <w:rPr>
          <w:lang w:val="en-GB"/>
        </w:rPr>
      </w:pPr>
      <w:r w:rsidRPr="00263F6F">
        <w:rPr>
          <w:lang w:val="en-GB"/>
        </w:rPr>
        <w:lastRenderedPageBreak/>
        <w:t>TABLE 3</w:t>
      </w:r>
    </w:p>
    <w:p w14:paraId="2A49D5BA" w14:textId="77777777" w:rsidR="00C11308" w:rsidRPr="00263F6F" w:rsidRDefault="00C11308" w:rsidP="00C11308">
      <w:pPr>
        <w:pStyle w:val="Tabletitle"/>
        <w:rPr>
          <w:lang w:val="en-GB" w:eastAsia="ja-JP"/>
        </w:rPr>
      </w:pPr>
      <w:r w:rsidRPr="00263F6F">
        <w:rPr>
          <w:lang w:val="en-GB" w:eastAsia="ja-JP"/>
        </w:rPr>
        <w:t xml:space="preserve">Transmitter spectrum mask parameters </w:t>
      </w:r>
    </w:p>
    <w:tbl>
      <w:tblPr>
        <w:tblStyle w:val="TableGrid"/>
        <w:tblW w:w="7518" w:type="dxa"/>
        <w:jc w:val="center"/>
        <w:tblLook w:val="04A0" w:firstRow="1" w:lastRow="0" w:firstColumn="1" w:lastColumn="0" w:noHBand="0" w:noVBand="1"/>
      </w:tblPr>
      <w:tblGrid>
        <w:gridCol w:w="2127"/>
        <w:gridCol w:w="1390"/>
        <w:gridCol w:w="1334"/>
        <w:gridCol w:w="1333"/>
        <w:gridCol w:w="1334"/>
      </w:tblGrid>
      <w:tr w:rsidR="00C11308" w:rsidRPr="00263F6F" w14:paraId="5474920C"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hideMark/>
          </w:tcPr>
          <w:p w14:paraId="6D990D25" w14:textId="77777777" w:rsidR="00C11308" w:rsidRPr="00263F6F" w:rsidRDefault="00C11308" w:rsidP="00AC5F8D">
            <w:pPr>
              <w:pStyle w:val="Tablehead"/>
              <w:keepLines/>
              <w:rPr>
                <w:lang w:val="en-GB"/>
              </w:rPr>
            </w:pPr>
            <w:r w:rsidRPr="00263F6F">
              <w:rPr>
                <w:lang w:val="en-GB"/>
              </w:rPr>
              <w:t>Channel bandwidth (GHz)</w:t>
            </w:r>
          </w:p>
        </w:tc>
        <w:tc>
          <w:tcPr>
            <w:tcW w:w="1390" w:type="dxa"/>
            <w:tcBorders>
              <w:top w:val="single" w:sz="4" w:space="0" w:color="auto"/>
              <w:left w:val="single" w:sz="4" w:space="0" w:color="auto"/>
              <w:bottom w:val="single" w:sz="4" w:space="0" w:color="auto"/>
              <w:right w:val="single" w:sz="4" w:space="0" w:color="auto"/>
            </w:tcBorders>
          </w:tcPr>
          <w:p w14:paraId="239A36B6" w14:textId="12E674E1" w:rsidR="00C11308" w:rsidRPr="00263F6F" w:rsidRDefault="00245087" w:rsidP="00AC5F8D">
            <w:pPr>
              <w:pStyle w:val="Tablehead"/>
              <w:keepLines/>
              <w:rPr>
                <w:lang w:val="en-GB"/>
              </w:rPr>
            </w:pPr>
            <w:r w:rsidRPr="00D9222A">
              <w:rPr>
                <w:i/>
                <w:iCs/>
                <w:lang w:val="en-GB"/>
              </w:rPr>
              <w:t>f</w:t>
            </w:r>
            <w:r w:rsidRPr="00D9222A">
              <w:rPr>
                <w:vertAlign w:val="subscript"/>
                <w:lang w:val="en-GB"/>
              </w:rPr>
              <w:t>1</w:t>
            </w:r>
            <w:r w:rsidRPr="00263F6F">
              <w:rPr>
                <w:lang w:val="en-GB"/>
              </w:rPr>
              <w:t xml:space="preserve"> </w:t>
            </w:r>
            <w:r w:rsidR="003207C8">
              <w:rPr>
                <w:lang w:val="en-GB"/>
              </w:rPr>
              <w:br/>
            </w:r>
            <w:r w:rsidRPr="00263F6F">
              <w:rPr>
                <w:lang w:val="en-GB"/>
              </w:rPr>
              <w:t>(GHz)</w:t>
            </w:r>
          </w:p>
        </w:tc>
        <w:tc>
          <w:tcPr>
            <w:tcW w:w="1334" w:type="dxa"/>
            <w:tcBorders>
              <w:top w:val="single" w:sz="4" w:space="0" w:color="auto"/>
              <w:left w:val="single" w:sz="4" w:space="0" w:color="auto"/>
              <w:bottom w:val="single" w:sz="4" w:space="0" w:color="auto"/>
              <w:right w:val="single" w:sz="4" w:space="0" w:color="auto"/>
            </w:tcBorders>
            <w:hideMark/>
          </w:tcPr>
          <w:p w14:paraId="6E3197BE" w14:textId="48113EBA" w:rsidR="00C11308" w:rsidRPr="00263F6F" w:rsidRDefault="003207C8" w:rsidP="00AC5F8D">
            <w:pPr>
              <w:pStyle w:val="Tablehead"/>
              <w:keepLines/>
              <w:rPr>
                <w:lang w:val="en-GB"/>
              </w:rPr>
            </w:pPr>
            <w:r w:rsidRPr="00D9222A">
              <w:rPr>
                <w:i/>
                <w:iCs/>
                <w:lang w:val="en-GB"/>
              </w:rPr>
              <w:t>f</w:t>
            </w:r>
            <w:r w:rsidR="0097601D">
              <w:rPr>
                <w:vertAlign w:val="subscript"/>
                <w:lang w:val="en-GB"/>
              </w:rPr>
              <w:t>2</w:t>
            </w:r>
            <w:r w:rsidRPr="00263F6F">
              <w:rPr>
                <w:lang w:val="en-GB"/>
              </w:rPr>
              <w:t xml:space="preserve"> </w:t>
            </w:r>
            <w:r>
              <w:rPr>
                <w:lang w:val="en-GB"/>
              </w:rPr>
              <w:br/>
            </w:r>
            <w:r w:rsidRPr="00263F6F">
              <w:rPr>
                <w:lang w:val="en-GB"/>
              </w:rPr>
              <w:t>(GHz)</w:t>
            </w:r>
          </w:p>
        </w:tc>
        <w:tc>
          <w:tcPr>
            <w:tcW w:w="1333" w:type="dxa"/>
            <w:tcBorders>
              <w:top w:val="single" w:sz="4" w:space="0" w:color="auto"/>
              <w:left w:val="single" w:sz="4" w:space="0" w:color="auto"/>
              <w:bottom w:val="single" w:sz="4" w:space="0" w:color="auto"/>
              <w:right w:val="single" w:sz="4" w:space="0" w:color="auto"/>
            </w:tcBorders>
            <w:hideMark/>
          </w:tcPr>
          <w:p w14:paraId="7F9733A1" w14:textId="19100A89" w:rsidR="00C11308" w:rsidRPr="00263F6F" w:rsidRDefault="003207C8" w:rsidP="00AC5F8D">
            <w:pPr>
              <w:pStyle w:val="Tablehead"/>
              <w:keepLines/>
              <w:rPr>
                <w:lang w:val="en-GB"/>
              </w:rPr>
            </w:pPr>
            <w:r w:rsidRPr="00D9222A">
              <w:rPr>
                <w:i/>
                <w:iCs/>
                <w:lang w:val="en-GB"/>
              </w:rPr>
              <w:t>f</w:t>
            </w:r>
            <w:r w:rsidR="0097601D">
              <w:rPr>
                <w:vertAlign w:val="subscript"/>
                <w:lang w:val="en-GB"/>
              </w:rPr>
              <w:t>3</w:t>
            </w:r>
            <w:r w:rsidRPr="00263F6F">
              <w:rPr>
                <w:lang w:val="en-GB"/>
              </w:rPr>
              <w:t xml:space="preserve"> </w:t>
            </w:r>
            <w:r>
              <w:rPr>
                <w:lang w:val="en-GB"/>
              </w:rPr>
              <w:br/>
            </w:r>
            <w:r w:rsidRPr="00263F6F">
              <w:rPr>
                <w:lang w:val="en-GB"/>
              </w:rPr>
              <w:t>(GHz)</w:t>
            </w:r>
          </w:p>
        </w:tc>
        <w:tc>
          <w:tcPr>
            <w:tcW w:w="1334" w:type="dxa"/>
            <w:tcBorders>
              <w:top w:val="single" w:sz="4" w:space="0" w:color="auto"/>
              <w:left w:val="single" w:sz="4" w:space="0" w:color="auto"/>
              <w:bottom w:val="single" w:sz="4" w:space="0" w:color="auto"/>
              <w:right w:val="single" w:sz="4" w:space="0" w:color="auto"/>
            </w:tcBorders>
            <w:hideMark/>
          </w:tcPr>
          <w:p w14:paraId="66A49EFF" w14:textId="343C35A5" w:rsidR="00C11308" w:rsidRPr="00263F6F" w:rsidRDefault="003207C8" w:rsidP="00AC5F8D">
            <w:pPr>
              <w:pStyle w:val="Tablehead"/>
              <w:keepLines/>
              <w:rPr>
                <w:lang w:val="en-GB"/>
              </w:rPr>
            </w:pPr>
            <w:r w:rsidRPr="00D9222A">
              <w:rPr>
                <w:i/>
                <w:iCs/>
                <w:lang w:val="en-GB"/>
              </w:rPr>
              <w:t>f</w:t>
            </w:r>
            <w:r w:rsidR="0097601D">
              <w:rPr>
                <w:vertAlign w:val="subscript"/>
                <w:lang w:val="en-GB"/>
              </w:rPr>
              <w:t>4</w:t>
            </w:r>
            <w:r w:rsidRPr="00263F6F">
              <w:rPr>
                <w:lang w:val="en-GB"/>
              </w:rPr>
              <w:t xml:space="preserve"> </w:t>
            </w:r>
            <w:r>
              <w:rPr>
                <w:lang w:val="en-GB"/>
              </w:rPr>
              <w:br/>
            </w:r>
            <w:r w:rsidRPr="00263F6F">
              <w:rPr>
                <w:lang w:val="en-GB"/>
              </w:rPr>
              <w:t>(GHz)</w:t>
            </w:r>
          </w:p>
        </w:tc>
      </w:tr>
      <w:tr w:rsidR="00C11308" w:rsidRPr="00263F6F" w14:paraId="3EABF326"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1713C867" w14:textId="5C63C127" w:rsidR="00C11308" w:rsidRPr="00263F6F" w:rsidRDefault="00EA26BE" w:rsidP="00AC5F8D">
            <w:pPr>
              <w:pStyle w:val="Tabletext"/>
              <w:keepNext/>
              <w:keepLines/>
              <w:jc w:val="center"/>
              <w:rPr>
                <w:lang w:val="en-GB"/>
              </w:rPr>
            </w:pPr>
            <w:r>
              <w:rPr>
                <w:lang w:val="en-GB"/>
              </w:rPr>
              <w:t>0</w:t>
            </w:r>
            <w:r w:rsidR="00C11308" w:rsidRPr="00263F6F">
              <w:rPr>
                <w:lang w:val="en-GB"/>
              </w:rPr>
              <w:t>.160</w:t>
            </w:r>
          </w:p>
        </w:tc>
        <w:tc>
          <w:tcPr>
            <w:tcW w:w="1390" w:type="dxa"/>
            <w:tcBorders>
              <w:top w:val="single" w:sz="4" w:space="0" w:color="auto"/>
              <w:left w:val="single" w:sz="4" w:space="0" w:color="auto"/>
              <w:bottom w:val="single" w:sz="4" w:space="0" w:color="auto"/>
              <w:right w:val="single" w:sz="4" w:space="0" w:color="auto"/>
            </w:tcBorders>
            <w:hideMark/>
          </w:tcPr>
          <w:p w14:paraId="6CFBDC6D" w14:textId="77777777" w:rsidR="00C11308" w:rsidRPr="00263F6F" w:rsidRDefault="00C11308" w:rsidP="00AC5F8D">
            <w:pPr>
              <w:pStyle w:val="Tabletext"/>
              <w:keepNext/>
              <w:keepLines/>
              <w:jc w:val="center"/>
              <w:rPr>
                <w:lang w:val="en-GB"/>
              </w:rPr>
            </w:pPr>
            <w:r w:rsidRPr="00263F6F">
              <w:rPr>
                <w:lang w:val="en-GB"/>
              </w:rPr>
              <w:t>0.94</w:t>
            </w:r>
          </w:p>
        </w:tc>
        <w:tc>
          <w:tcPr>
            <w:tcW w:w="1334" w:type="dxa"/>
            <w:tcBorders>
              <w:top w:val="single" w:sz="4" w:space="0" w:color="auto"/>
              <w:left w:val="single" w:sz="4" w:space="0" w:color="auto"/>
              <w:bottom w:val="single" w:sz="4" w:space="0" w:color="auto"/>
              <w:right w:val="single" w:sz="4" w:space="0" w:color="auto"/>
            </w:tcBorders>
            <w:hideMark/>
          </w:tcPr>
          <w:p w14:paraId="1544269B" w14:textId="77777777" w:rsidR="00C11308" w:rsidRPr="00263F6F" w:rsidRDefault="00C11308" w:rsidP="00AC5F8D">
            <w:pPr>
              <w:pStyle w:val="Tabletext"/>
              <w:keepNext/>
              <w:keepLines/>
              <w:jc w:val="center"/>
              <w:rPr>
                <w:lang w:val="en-GB"/>
              </w:rPr>
            </w:pPr>
            <w:r w:rsidRPr="00263F6F">
              <w:rPr>
                <w:lang w:val="en-GB"/>
              </w:rPr>
              <w:t>1.10</w:t>
            </w:r>
          </w:p>
        </w:tc>
        <w:tc>
          <w:tcPr>
            <w:tcW w:w="1333" w:type="dxa"/>
            <w:tcBorders>
              <w:top w:val="single" w:sz="4" w:space="0" w:color="auto"/>
              <w:left w:val="single" w:sz="4" w:space="0" w:color="auto"/>
              <w:bottom w:val="single" w:sz="4" w:space="0" w:color="auto"/>
              <w:right w:val="single" w:sz="4" w:space="0" w:color="auto"/>
            </w:tcBorders>
            <w:hideMark/>
          </w:tcPr>
          <w:p w14:paraId="7289B616" w14:textId="77777777" w:rsidR="00C11308" w:rsidRPr="00263F6F" w:rsidRDefault="00C11308" w:rsidP="00AC5F8D">
            <w:pPr>
              <w:pStyle w:val="Tabletext"/>
              <w:keepNext/>
              <w:keepLines/>
              <w:jc w:val="center"/>
              <w:rPr>
                <w:lang w:val="en-GB"/>
              </w:rPr>
            </w:pPr>
            <w:r w:rsidRPr="00263F6F">
              <w:rPr>
                <w:lang w:val="en-GB"/>
              </w:rPr>
              <w:t>1.60</w:t>
            </w:r>
          </w:p>
        </w:tc>
        <w:tc>
          <w:tcPr>
            <w:tcW w:w="1334" w:type="dxa"/>
            <w:tcBorders>
              <w:top w:val="single" w:sz="4" w:space="0" w:color="auto"/>
              <w:left w:val="single" w:sz="4" w:space="0" w:color="auto"/>
              <w:bottom w:val="single" w:sz="4" w:space="0" w:color="auto"/>
              <w:right w:val="single" w:sz="4" w:space="0" w:color="auto"/>
            </w:tcBorders>
            <w:hideMark/>
          </w:tcPr>
          <w:p w14:paraId="281B6986" w14:textId="77777777" w:rsidR="00C11308" w:rsidRPr="00263F6F" w:rsidRDefault="00C11308" w:rsidP="00AC5F8D">
            <w:pPr>
              <w:pStyle w:val="Tabletext"/>
              <w:keepNext/>
              <w:keepLines/>
              <w:jc w:val="center"/>
              <w:rPr>
                <w:lang w:val="en-GB"/>
              </w:rPr>
            </w:pPr>
            <w:r w:rsidRPr="00263F6F">
              <w:rPr>
                <w:lang w:val="en-GB"/>
              </w:rPr>
              <w:t>2.20</w:t>
            </w:r>
          </w:p>
        </w:tc>
      </w:tr>
      <w:tr w:rsidR="00C11308" w:rsidRPr="00263F6F" w14:paraId="0791BD84"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659BDEDB" w14:textId="77777777" w:rsidR="00C11308" w:rsidRPr="00263F6F" w:rsidRDefault="00C11308" w:rsidP="00AC5F8D">
            <w:pPr>
              <w:pStyle w:val="Tabletext"/>
              <w:jc w:val="center"/>
              <w:rPr>
                <w:lang w:val="en-GB"/>
              </w:rPr>
            </w:pPr>
            <w:r w:rsidRPr="00263F6F">
              <w:rPr>
                <w:lang w:val="en-GB"/>
              </w:rPr>
              <w:t>4.320</w:t>
            </w:r>
          </w:p>
        </w:tc>
        <w:tc>
          <w:tcPr>
            <w:tcW w:w="1390" w:type="dxa"/>
            <w:tcBorders>
              <w:top w:val="single" w:sz="4" w:space="0" w:color="auto"/>
              <w:left w:val="single" w:sz="4" w:space="0" w:color="auto"/>
              <w:bottom w:val="single" w:sz="4" w:space="0" w:color="auto"/>
              <w:right w:val="single" w:sz="4" w:space="0" w:color="auto"/>
            </w:tcBorders>
            <w:hideMark/>
          </w:tcPr>
          <w:p w14:paraId="27C16089" w14:textId="77777777" w:rsidR="00C11308" w:rsidRPr="00263F6F" w:rsidRDefault="00C11308" w:rsidP="00AC5F8D">
            <w:pPr>
              <w:pStyle w:val="Tabletext"/>
              <w:jc w:val="center"/>
              <w:rPr>
                <w:lang w:val="en-GB"/>
              </w:rPr>
            </w:pPr>
            <w:r w:rsidRPr="00263F6F">
              <w:rPr>
                <w:lang w:val="en-GB"/>
              </w:rPr>
              <w:t>2.02</w:t>
            </w:r>
          </w:p>
        </w:tc>
        <w:tc>
          <w:tcPr>
            <w:tcW w:w="1334" w:type="dxa"/>
            <w:tcBorders>
              <w:top w:val="single" w:sz="4" w:space="0" w:color="auto"/>
              <w:left w:val="single" w:sz="4" w:space="0" w:color="auto"/>
              <w:bottom w:val="single" w:sz="4" w:space="0" w:color="auto"/>
              <w:right w:val="single" w:sz="4" w:space="0" w:color="auto"/>
            </w:tcBorders>
            <w:hideMark/>
          </w:tcPr>
          <w:p w14:paraId="40A12D9A" w14:textId="77777777" w:rsidR="00C11308" w:rsidRPr="00263F6F" w:rsidRDefault="00C11308" w:rsidP="00AC5F8D">
            <w:pPr>
              <w:pStyle w:val="Tabletext"/>
              <w:jc w:val="center"/>
              <w:rPr>
                <w:lang w:val="en-GB"/>
              </w:rPr>
            </w:pPr>
            <w:r w:rsidRPr="00263F6F">
              <w:rPr>
                <w:lang w:val="en-GB"/>
              </w:rPr>
              <w:t>2.18</w:t>
            </w:r>
          </w:p>
        </w:tc>
        <w:tc>
          <w:tcPr>
            <w:tcW w:w="1333" w:type="dxa"/>
            <w:tcBorders>
              <w:top w:val="single" w:sz="4" w:space="0" w:color="auto"/>
              <w:left w:val="single" w:sz="4" w:space="0" w:color="auto"/>
              <w:bottom w:val="single" w:sz="4" w:space="0" w:color="auto"/>
              <w:right w:val="single" w:sz="4" w:space="0" w:color="auto"/>
            </w:tcBorders>
            <w:hideMark/>
          </w:tcPr>
          <w:p w14:paraId="025F51E1" w14:textId="77777777" w:rsidR="00C11308" w:rsidRPr="00263F6F" w:rsidRDefault="00C11308" w:rsidP="00AC5F8D">
            <w:pPr>
              <w:pStyle w:val="Tabletext"/>
              <w:jc w:val="center"/>
              <w:rPr>
                <w:lang w:val="en-GB"/>
              </w:rPr>
            </w:pPr>
            <w:r w:rsidRPr="00263F6F">
              <w:rPr>
                <w:lang w:val="en-GB"/>
              </w:rPr>
              <w:t>2.68</w:t>
            </w:r>
          </w:p>
        </w:tc>
        <w:tc>
          <w:tcPr>
            <w:tcW w:w="1334" w:type="dxa"/>
            <w:tcBorders>
              <w:top w:val="single" w:sz="4" w:space="0" w:color="auto"/>
              <w:left w:val="single" w:sz="4" w:space="0" w:color="auto"/>
              <w:bottom w:val="single" w:sz="4" w:space="0" w:color="auto"/>
              <w:right w:val="single" w:sz="4" w:space="0" w:color="auto"/>
            </w:tcBorders>
            <w:hideMark/>
          </w:tcPr>
          <w:p w14:paraId="1DD4CB8E" w14:textId="77777777" w:rsidR="00C11308" w:rsidRPr="00263F6F" w:rsidRDefault="00C11308" w:rsidP="00AC5F8D">
            <w:pPr>
              <w:pStyle w:val="Tabletext"/>
              <w:jc w:val="center"/>
              <w:rPr>
                <w:lang w:val="en-GB"/>
              </w:rPr>
            </w:pPr>
            <w:r w:rsidRPr="00263F6F">
              <w:rPr>
                <w:lang w:val="en-GB"/>
              </w:rPr>
              <w:t>3.28</w:t>
            </w:r>
          </w:p>
        </w:tc>
      </w:tr>
      <w:tr w:rsidR="00C11308" w:rsidRPr="00263F6F" w14:paraId="31809799"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7D201A89" w14:textId="77777777" w:rsidR="00C11308" w:rsidRPr="00263F6F" w:rsidRDefault="00C11308" w:rsidP="00AC5F8D">
            <w:pPr>
              <w:pStyle w:val="Tabletext"/>
              <w:jc w:val="center"/>
              <w:rPr>
                <w:lang w:val="en-GB"/>
              </w:rPr>
            </w:pPr>
            <w:r w:rsidRPr="00263F6F">
              <w:rPr>
                <w:lang w:val="en-GB"/>
              </w:rPr>
              <w:t>8.640</w:t>
            </w:r>
          </w:p>
        </w:tc>
        <w:tc>
          <w:tcPr>
            <w:tcW w:w="1390" w:type="dxa"/>
            <w:tcBorders>
              <w:top w:val="single" w:sz="4" w:space="0" w:color="auto"/>
              <w:left w:val="single" w:sz="4" w:space="0" w:color="auto"/>
              <w:bottom w:val="single" w:sz="4" w:space="0" w:color="auto"/>
              <w:right w:val="single" w:sz="4" w:space="0" w:color="auto"/>
            </w:tcBorders>
            <w:hideMark/>
          </w:tcPr>
          <w:p w14:paraId="53A6F2B4" w14:textId="77777777" w:rsidR="00C11308" w:rsidRPr="00263F6F" w:rsidRDefault="00C11308" w:rsidP="00AC5F8D">
            <w:pPr>
              <w:pStyle w:val="Tabletext"/>
              <w:jc w:val="center"/>
              <w:rPr>
                <w:lang w:val="en-GB"/>
              </w:rPr>
            </w:pPr>
            <w:r w:rsidRPr="00263F6F">
              <w:rPr>
                <w:lang w:val="en-GB"/>
              </w:rPr>
              <w:t>4.18</w:t>
            </w:r>
          </w:p>
        </w:tc>
        <w:tc>
          <w:tcPr>
            <w:tcW w:w="1334" w:type="dxa"/>
            <w:tcBorders>
              <w:top w:val="single" w:sz="4" w:space="0" w:color="auto"/>
              <w:left w:val="single" w:sz="4" w:space="0" w:color="auto"/>
              <w:bottom w:val="single" w:sz="4" w:space="0" w:color="auto"/>
              <w:right w:val="single" w:sz="4" w:space="0" w:color="auto"/>
            </w:tcBorders>
            <w:hideMark/>
          </w:tcPr>
          <w:p w14:paraId="46B9C3D3" w14:textId="77777777" w:rsidR="00C11308" w:rsidRPr="00263F6F" w:rsidRDefault="00C11308" w:rsidP="00AC5F8D">
            <w:pPr>
              <w:pStyle w:val="Tabletext"/>
              <w:jc w:val="center"/>
              <w:rPr>
                <w:lang w:val="en-GB"/>
              </w:rPr>
            </w:pPr>
            <w:r w:rsidRPr="00263F6F">
              <w:rPr>
                <w:lang w:val="en-GB"/>
              </w:rPr>
              <w:t>4.34</w:t>
            </w:r>
          </w:p>
        </w:tc>
        <w:tc>
          <w:tcPr>
            <w:tcW w:w="1333" w:type="dxa"/>
            <w:tcBorders>
              <w:top w:val="single" w:sz="4" w:space="0" w:color="auto"/>
              <w:left w:val="single" w:sz="4" w:space="0" w:color="auto"/>
              <w:bottom w:val="single" w:sz="4" w:space="0" w:color="auto"/>
              <w:right w:val="single" w:sz="4" w:space="0" w:color="auto"/>
            </w:tcBorders>
            <w:hideMark/>
          </w:tcPr>
          <w:p w14:paraId="5F9A46B9" w14:textId="77777777" w:rsidR="00C11308" w:rsidRPr="00263F6F" w:rsidRDefault="00C11308" w:rsidP="00AC5F8D">
            <w:pPr>
              <w:pStyle w:val="Tabletext"/>
              <w:jc w:val="center"/>
              <w:rPr>
                <w:lang w:val="en-GB"/>
              </w:rPr>
            </w:pPr>
            <w:r w:rsidRPr="00263F6F">
              <w:rPr>
                <w:lang w:val="en-GB"/>
              </w:rPr>
              <w:t>4.84</w:t>
            </w:r>
          </w:p>
        </w:tc>
        <w:tc>
          <w:tcPr>
            <w:tcW w:w="1334" w:type="dxa"/>
            <w:tcBorders>
              <w:top w:val="single" w:sz="4" w:space="0" w:color="auto"/>
              <w:left w:val="single" w:sz="4" w:space="0" w:color="auto"/>
              <w:bottom w:val="single" w:sz="4" w:space="0" w:color="auto"/>
              <w:right w:val="single" w:sz="4" w:space="0" w:color="auto"/>
            </w:tcBorders>
            <w:hideMark/>
          </w:tcPr>
          <w:p w14:paraId="3C981594" w14:textId="77777777" w:rsidR="00C11308" w:rsidRPr="00263F6F" w:rsidRDefault="00C11308" w:rsidP="00AC5F8D">
            <w:pPr>
              <w:pStyle w:val="Tabletext"/>
              <w:jc w:val="center"/>
              <w:rPr>
                <w:lang w:val="en-GB"/>
              </w:rPr>
            </w:pPr>
            <w:r w:rsidRPr="00263F6F">
              <w:rPr>
                <w:lang w:val="en-GB"/>
              </w:rPr>
              <w:t>5.44</w:t>
            </w:r>
          </w:p>
        </w:tc>
      </w:tr>
      <w:tr w:rsidR="00C11308" w:rsidRPr="00263F6F" w14:paraId="03820C53"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2D449157" w14:textId="77777777" w:rsidR="00C11308" w:rsidRPr="00263F6F" w:rsidRDefault="00C11308" w:rsidP="00AC5F8D">
            <w:pPr>
              <w:pStyle w:val="Tabletext"/>
              <w:jc w:val="center"/>
              <w:rPr>
                <w:lang w:val="en-GB"/>
              </w:rPr>
            </w:pPr>
            <w:r w:rsidRPr="00263F6F">
              <w:rPr>
                <w:lang w:val="en-GB"/>
              </w:rPr>
              <w:t>12.960</w:t>
            </w:r>
          </w:p>
        </w:tc>
        <w:tc>
          <w:tcPr>
            <w:tcW w:w="1390" w:type="dxa"/>
            <w:tcBorders>
              <w:top w:val="single" w:sz="4" w:space="0" w:color="auto"/>
              <w:left w:val="single" w:sz="4" w:space="0" w:color="auto"/>
              <w:bottom w:val="single" w:sz="4" w:space="0" w:color="auto"/>
              <w:right w:val="single" w:sz="4" w:space="0" w:color="auto"/>
            </w:tcBorders>
            <w:hideMark/>
          </w:tcPr>
          <w:p w14:paraId="3A887865" w14:textId="77777777" w:rsidR="00C11308" w:rsidRPr="00263F6F" w:rsidRDefault="00C11308" w:rsidP="00AC5F8D">
            <w:pPr>
              <w:pStyle w:val="Tabletext"/>
              <w:jc w:val="center"/>
              <w:rPr>
                <w:lang w:val="en-GB"/>
              </w:rPr>
            </w:pPr>
            <w:r w:rsidRPr="00263F6F">
              <w:rPr>
                <w:lang w:val="en-GB"/>
              </w:rPr>
              <w:t>6.34</w:t>
            </w:r>
          </w:p>
        </w:tc>
        <w:tc>
          <w:tcPr>
            <w:tcW w:w="1334" w:type="dxa"/>
            <w:tcBorders>
              <w:top w:val="single" w:sz="4" w:space="0" w:color="auto"/>
              <w:left w:val="single" w:sz="4" w:space="0" w:color="auto"/>
              <w:bottom w:val="single" w:sz="4" w:space="0" w:color="auto"/>
              <w:right w:val="single" w:sz="4" w:space="0" w:color="auto"/>
            </w:tcBorders>
            <w:hideMark/>
          </w:tcPr>
          <w:p w14:paraId="207F809A" w14:textId="77777777" w:rsidR="00C11308" w:rsidRPr="00263F6F" w:rsidRDefault="00C11308" w:rsidP="00AC5F8D">
            <w:pPr>
              <w:pStyle w:val="Tabletext"/>
              <w:jc w:val="center"/>
              <w:rPr>
                <w:lang w:val="en-GB"/>
              </w:rPr>
            </w:pPr>
            <w:r w:rsidRPr="00263F6F">
              <w:rPr>
                <w:lang w:val="en-GB"/>
              </w:rPr>
              <w:t>6.50</w:t>
            </w:r>
          </w:p>
        </w:tc>
        <w:tc>
          <w:tcPr>
            <w:tcW w:w="1333" w:type="dxa"/>
            <w:tcBorders>
              <w:top w:val="single" w:sz="4" w:space="0" w:color="auto"/>
              <w:left w:val="single" w:sz="4" w:space="0" w:color="auto"/>
              <w:bottom w:val="single" w:sz="4" w:space="0" w:color="auto"/>
              <w:right w:val="single" w:sz="4" w:space="0" w:color="auto"/>
            </w:tcBorders>
            <w:hideMark/>
          </w:tcPr>
          <w:p w14:paraId="5675597A" w14:textId="77777777" w:rsidR="00C11308" w:rsidRPr="00263F6F" w:rsidRDefault="00C11308" w:rsidP="00AC5F8D">
            <w:pPr>
              <w:pStyle w:val="Tabletext"/>
              <w:jc w:val="center"/>
              <w:rPr>
                <w:lang w:val="en-GB"/>
              </w:rPr>
            </w:pPr>
            <w:r w:rsidRPr="00263F6F">
              <w:rPr>
                <w:lang w:val="en-GB"/>
              </w:rPr>
              <w:t>7.00</w:t>
            </w:r>
          </w:p>
        </w:tc>
        <w:tc>
          <w:tcPr>
            <w:tcW w:w="1334" w:type="dxa"/>
            <w:tcBorders>
              <w:top w:val="single" w:sz="4" w:space="0" w:color="auto"/>
              <w:left w:val="single" w:sz="4" w:space="0" w:color="auto"/>
              <w:bottom w:val="single" w:sz="4" w:space="0" w:color="auto"/>
              <w:right w:val="single" w:sz="4" w:space="0" w:color="auto"/>
            </w:tcBorders>
            <w:hideMark/>
          </w:tcPr>
          <w:p w14:paraId="6EF68CBC" w14:textId="77777777" w:rsidR="00C11308" w:rsidRPr="00263F6F" w:rsidRDefault="00C11308" w:rsidP="00AC5F8D">
            <w:pPr>
              <w:pStyle w:val="Tabletext"/>
              <w:jc w:val="center"/>
              <w:rPr>
                <w:lang w:val="en-GB"/>
              </w:rPr>
            </w:pPr>
            <w:r w:rsidRPr="00263F6F">
              <w:rPr>
                <w:lang w:val="en-GB"/>
              </w:rPr>
              <w:t>7.60</w:t>
            </w:r>
          </w:p>
        </w:tc>
      </w:tr>
      <w:tr w:rsidR="00C11308" w:rsidRPr="00263F6F" w14:paraId="2ADCAA83"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2F1F81BA" w14:textId="77777777" w:rsidR="00C11308" w:rsidRPr="00263F6F" w:rsidRDefault="00C11308" w:rsidP="00AC5F8D">
            <w:pPr>
              <w:pStyle w:val="Tabletext"/>
              <w:jc w:val="center"/>
              <w:rPr>
                <w:lang w:val="en-GB"/>
              </w:rPr>
            </w:pPr>
            <w:r w:rsidRPr="00263F6F">
              <w:rPr>
                <w:lang w:val="en-GB"/>
              </w:rPr>
              <w:t>17.280</w:t>
            </w:r>
          </w:p>
        </w:tc>
        <w:tc>
          <w:tcPr>
            <w:tcW w:w="1390" w:type="dxa"/>
            <w:tcBorders>
              <w:top w:val="single" w:sz="4" w:space="0" w:color="auto"/>
              <w:left w:val="single" w:sz="4" w:space="0" w:color="auto"/>
              <w:bottom w:val="single" w:sz="4" w:space="0" w:color="auto"/>
              <w:right w:val="single" w:sz="4" w:space="0" w:color="auto"/>
            </w:tcBorders>
            <w:hideMark/>
          </w:tcPr>
          <w:p w14:paraId="66C09189" w14:textId="77777777" w:rsidR="00C11308" w:rsidRPr="00263F6F" w:rsidRDefault="00C11308" w:rsidP="00AC5F8D">
            <w:pPr>
              <w:pStyle w:val="Tabletext"/>
              <w:jc w:val="center"/>
              <w:rPr>
                <w:lang w:val="en-GB"/>
              </w:rPr>
            </w:pPr>
            <w:r w:rsidRPr="00263F6F">
              <w:rPr>
                <w:lang w:val="en-GB"/>
              </w:rPr>
              <w:t>8.50</w:t>
            </w:r>
          </w:p>
        </w:tc>
        <w:tc>
          <w:tcPr>
            <w:tcW w:w="1334" w:type="dxa"/>
            <w:tcBorders>
              <w:top w:val="single" w:sz="4" w:space="0" w:color="auto"/>
              <w:left w:val="single" w:sz="4" w:space="0" w:color="auto"/>
              <w:bottom w:val="single" w:sz="4" w:space="0" w:color="auto"/>
              <w:right w:val="single" w:sz="4" w:space="0" w:color="auto"/>
            </w:tcBorders>
            <w:hideMark/>
          </w:tcPr>
          <w:p w14:paraId="049C343A" w14:textId="77777777" w:rsidR="00C11308" w:rsidRPr="00263F6F" w:rsidRDefault="00C11308" w:rsidP="00AC5F8D">
            <w:pPr>
              <w:pStyle w:val="Tabletext"/>
              <w:jc w:val="center"/>
              <w:rPr>
                <w:lang w:val="en-GB"/>
              </w:rPr>
            </w:pPr>
            <w:r w:rsidRPr="00263F6F">
              <w:rPr>
                <w:lang w:val="en-GB"/>
              </w:rPr>
              <w:t>8.66</w:t>
            </w:r>
          </w:p>
        </w:tc>
        <w:tc>
          <w:tcPr>
            <w:tcW w:w="1333" w:type="dxa"/>
            <w:tcBorders>
              <w:top w:val="single" w:sz="4" w:space="0" w:color="auto"/>
              <w:left w:val="single" w:sz="4" w:space="0" w:color="auto"/>
              <w:bottom w:val="single" w:sz="4" w:space="0" w:color="auto"/>
              <w:right w:val="single" w:sz="4" w:space="0" w:color="auto"/>
            </w:tcBorders>
            <w:hideMark/>
          </w:tcPr>
          <w:p w14:paraId="778C476B" w14:textId="77777777" w:rsidR="00C11308" w:rsidRPr="00263F6F" w:rsidRDefault="00C11308" w:rsidP="00AC5F8D">
            <w:pPr>
              <w:pStyle w:val="Tabletext"/>
              <w:jc w:val="center"/>
              <w:rPr>
                <w:lang w:val="en-GB"/>
              </w:rPr>
            </w:pPr>
            <w:r w:rsidRPr="00263F6F">
              <w:rPr>
                <w:lang w:val="en-GB"/>
              </w:rPr>
              <w:t>9.16</w:t>
            </w:r>
          </w:p>
        </w:tc>
        <w:tc>
          <w:tcPr>
            <w:tcW w:w="1334" w:type="dxa"/>
            <w:tcBorders>
              <w:top w:val="single" w:sz="4" w:space="0" w:color="auto"/>
              <w:left w:val="single" w:sz="4" w:space="0" w:color="auto"/>
              <w:bottom w:val="single" w:sz="4" w:space="0" w:color="auto"/>
              <w:right w:val="single" w:sz="4" w:space="0" w:color="auto"/>
            </w:tcBorders>
            <w:hideMark/>
          </w:tcPr>
          <w:p w14:paraId="5B9CD678" w14:textId="77777777" w:rsidR="00C11308" w:rsidRPr="00263F6F" w:rsidRDefault="00C11308" w:rsidP="00AC5F8D">
            <w:pPr>
              <w:pStyle w:val="Tabletext"/>
              <w:jc w:val="center"/>
              <w:rPr>
                <w:lang w:val="en-GB"/>
              </w:rPr>
            </w:pPr>
            <w:r w:rsidRPr="00263F6F">
              <w:rPr>
                <w:lang w:val="en-GB"/>
              </w:rPr>
              <w:t>9.76</w:t>
            </w:r>
          </w:p>
        </w:tc>
      </w:tr>
      <w:tr w:rsidR="00C11308" w:rsidRPr="00263F6F" w14:paraId="38161DDD"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6E863329" w14:textId="77777777" w:rsidR="00C11308" w:rsidRPr="00263F6F" w:rsidRDefault="00C11308" w:rsidP="00AC5F8D">
            <w:pPr>
              <w:pStyle w:val="Tabletext"/>
              <w:jc w:val="center"/>
              <w:rPr>
                <w:lang w:val="en-GB"/>
              </w:rPr>
            </w:pPr>
            <w:r w:rsidRPr="00263F6F">
              <w:rPr>
                <w:lang w:val="en-GB"/>
              </w:rPr>
              <w:t>25.920</w:t>
            </w:r>
          </w:p>
        </w:tc>
        <w:tc>
          <w:tcPr>
            <w:tcW w:w="1390" w:type="dxa"/>
            <w:tcBorders>
              <w:top w:val="single" w:sz="4" w:space="0" w:color="auto"/>
              <w:left w:val="single" w:sz="4" w:space="0" w:color="auto"/>
              <w:bottom w:val="single" w:sz="4" w:space="0" w:color="auto"/>
              <w:right w:val="single" w:sz="4" w:space="0" w:color="auto"/>
            </w:tcBorders>
            <w:hideMark/>
          </w:tcPr>
          <w:p w14:paraId="2D65A85A" w14:textId="77777777" w:rsidR="00C11308" w:rsidRPr="00263F6F" w:rsidRDefault="00C11308" w:rsidP="00AC5F8D">
            <w:pPr>
              <w:pStyle w:val="Tabletext"/>
              <w:jc w:val="center"/>
              <w:rPr>
                <w:lang w:val="en-GB"/>
              </w:rPr>
            </w:pPr>
            <w:r w:rsidRPr="00263F6F">
              <w:rPr>
                <w:lang w:val="en-GB"/>
              </w:rPr>
              <w:t>12.82</w:t>
            </w:r>
          </w:p>
        </w:tc>
        <w:tc>
          <w:tcPr>
            <w:tcW w:w="1334" w:type="dxa"/>
            <w:tcBorders>
              <w:top w:val="single" w:sz="4" w:space="0" w:color="auto"/>
              <w:left w:val="single" w:sz="4" w:space="0" w:color="auto"/>
              <w:bottom w:val="single" w:sz="4" w:space="0" w:color="auto"/>
              <w:right w:val="single" w:sz="4" w:space="0" w:color="auto"/>
            </w:tcBorders>
            <w:hideMark/>
          </w:tcPr>
          <w:p w14:paraId="2FF8534C" w14:textId="77777777" w:rsidR="00C11308" w:rsidRPr="00263F6F" w:rsidRDefault="00C11308" w:rsidP="00AC5F8D">
            <w:pPr>
              <w:pStyle w:val="Tabletext"/>
              <w:jc w:val="center"/>
              <w:rPr>
                <w:lang w:val="en-GB"/>
              </w:rPr>
            </w:pPr>
            <w:r w:rsidRPr="00263F6F">
              <w:rPr>
                <w:lang w:val="en-GB"/>
              </w:rPr>
              <w:t>12.98</w:t>
            </w:r>
          </w:p>
        </w:tc>
        <w:tc>
          <w:tcPr>
            <w:tcW w:w="1333" w:type="dxa"/>
            <w:tcBorders>
              <w:top w:val="single" w:sz="4" w:space="0" w:color="auto"/>
              <w:left w:val="single" w:sz="4" w:space="0" w:color="auto"/>
              <w:bottom w:val="single" w:sz="4" w:space="0" w:color="auto"/>
              <w:right w:val="single" w:sz="4" w:space="0" w:color="auto"/>
            </w:tcBorders>
            <w:hideMark/>
          </w:tcPr>
          <w:p w14:paraId="64A052D7" w14:textId="77777777" w:rsidR="00C11308" w:rsidRPr="00263F6F" w:rsidRDefault="00C11308" w:rsidP="00AC5F8D">
            <w:pPr>
              <w:pStyle w:val="Tabletext"/>
              <w:jc w:val="center"/>
              <w:rPr>
                <w:lang w:val="en-GB"/>
              </w:rPr>
            </w:pPr>
            <w:r w:rsidRPr="00263F6F">
              <w:rPr>
                <w:lang w:val="en-GB"/>
              </w:rPr>
              <w:t>13.48</w:t>
            </w:r>
          </w:p>
        </w:tc>
        <w:tc>
          <w:tcPr>
            <w:tcW w:w="1334" w:type="dxa"/>
            <w:tcBorders>
              <w:top w:val="single" w:sz="4" w:space="0" w:color="auto"/>
              <w:left w:val="single" w:sz="4" w:space="0" w:color="auto"/>
              <w:bottom w:val="single" w:sz="4" w:space="0" w:color="auto"/>
              <w:right w:val="single" w:sz="4" w:space="0" w:color="auto"/>
            </w:tcBorders>
            <w:hideMark/>
          </w:tcPr>
          <w:p w14:paraId="7596DFD6" w14:textId="77777777" w:rsidR="00C11308" w:rsidRPr="00263F6F" w:rsidRDefault="00C11308" w:rsidP="00AC5F8D">
            <w:pPr>
              <w:pStyle w:val="Tabletext"/>
              <w:jc w:val="center"/>
              <w:rPr>
                <w:lang w:val="en-GB"/>
              </w:rPr>
            </w:pPr>
            <w:r w:rsidRPr="00263F6F">
              <w:rPr>
                <w:lang w:val="en-GB"/>
              </w:rPr>
              <w:t>14.08</w:t>
            </w:r>
          </w:p>
        </w:tc>
      </w:tr>
      <w:tr w:rsidR="00C11308" w:rsidRPr="00263F6F" w14:paraId="182B8C13"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43846A59" w14:textId="77777777" w:rsidR="00C11308" w:rsidRPr="00263F6F" w:rsidRDefault="00C11308" w:rsidP="00AC5F8D">
            <w:pPr>
              <w:pStyle w:val="Tabletext"/>
              <w:jc w:val="center"/>
              <w:rPr>
                <w:lang w:val="en-GB"/>
              </w:rPr>
            </w:pPr>
            <w:r w:rsidRPr="00263F6F">
              <w:rPr>
                <w:lang w:val="en-GB"/>
              </w:rPr>
              <w:t>51.840</w:t>
            </w:r>
          </w:p>
        </w:tc>
        <w:tc>
          <w:tcPr>
            <w:tcW w:w="1390" w:type="dxa"/>
            <w:tcBorders>
              <w:top w:val="single" w:sz="4" w:space="0" w:color="auto"/>
              <w:left w:val="single" w:sz="4" w:space="0" w:color="auto"/>
              <w:bottom w:val="single" w:sz="4" w:space="0" w:color="auto"/>
              <w:right w:val="single" w:sz="4" w:space="0" w:color="auto"/>
            </w:tcBorders>
            <w:hideMark/>
          </w:tcPr>
          <w:p w14:paraId="49F0A19D" w14:textId="77777777" w:rsidR="00C11308" w:rsidRPr="00263F6F" w:rsidRDefault="00C11308" w:rsidP="00AC5F8D">
            <w:pPr>
              <w:pStyle w:val="Tabletext"/>
              <w:jc w:val="center"/>
              <w:rPr>
                <w:lang w:val="en-GB"/>
              </w:rPr>
            </w:pPr>
            <w:r w:rsidRPr="00263F6F">
              <w:rPr>
                <w:lang w:val="en-GB"/>
              </w:rPr>
              <w:t>25.78</w:t>
            </w:r>
          </w:p>
        </w:tc>
        <w:tc>
          <w:tcPr>
            <w:tcW w:w="1334" w:type="dxa"/>
            <w:tcBorders>
              <w:top w:val="single" w:sz="4" w:space="0" w:color="auto"/>
              <w:left w:val="single" w:sz="4" w:space="0" w:color="auto"/>
              <w:bottom w:val="single" w:sz="4" w:space="0" w:color="auto"/>
              <w:right w:val="single" w:sz="4" w:space="0" w:color="auto"/>
            </w:tcBorders>
            <w:hideMark/>
          </w:tcPr>
          <w:p w14:paraId="2F74D03D" w14:textId="77777777" w:rsidR="00C11308" w:rsidRPr="00263F6F" w:rsidRDefault="00C11308" w:rsidP="00AC5F8D">
            <w:pPr>
              <w:pStyle w:val="Tabletext"/>
              <w:jc w:val="center"/>
              <w:rPr>
                <w:lang w:val="en-GB"/>
              </w:rPr>
            </w:pPr>
            <w:r w:rsidRPr="00263F6F">
              <w:rPr>
                <w:lang w:val="en-GB"/>
              </w:rPr>
              <w:t>25.94</w:t>
            </w:r>
          </w:p>
        </w:tc>
        <w:tc>
          <w:tcPr>
            <w:tcW w:w="1333" w:type="dxa"/>
            <w:tcBorders>
              <w:top w:val="single" w:sz="4" w:space="0" w:color="auto"/>
              <w:left w:val="single" w:sz="4" w:space="0" w:color="auto"/>
              <w:bottom w:val="single" w:sz="4" w:space="0" w:color="auto"/>
              <w:right w:val="single" w:sz="4" w:space="0" w:color="auto"/>
            </w:tcBorders>
            <w:hideMark/>
          </w:tcPr>
          <w:p w14:paraId="2F658396" w14:textId="77777777" w:rsidR="00C11308" w:rsidRPr="00263F6F" w:rsidRDefault="00C11308" w:rsidP="00AC5F8D">
            <w:pPr>
              <w:pStyle w:val="Tabletext"/>
              <w:jc w:val="center"/>
              <w:rPr>
                <w:lang w:val="en-GB"/>
              </w:rPr>
            </w:pPr>
            <w:r w:rsidRPr="00263F6F">
              <w:rPr>
                <w:lang w:val="en-GB"/>
              </w:rPr>
              <w:t>26.44</w:t>
            </w:r>
          </w:p>
        </w:tc>
        <w:tc>
          <w:tcPr>
            <w:tcW w:w="1334" w:type="dxa"/>
            <w:tcBorders>
              <w:top w:val="single" w:sz="4" w:space="0" w:color="auto"/>
              <w:left w:val="single" w:sz="4" w:space="0" w:color="auto"/>
              <w:bottom w:val="single" w:sz="4" w:space="0" w:color="auto"/>
              <w:right w:val="single" w:sz="4" w:space="0" w:color="auto"/>
            </w:tcBorders>
            <w:hideMark/>
          </w:tcPr>
          <w:p w14:paraId="6475D9A5" w14:textId="77777777" w:rsidR="00C11308" w:rsidRPr="00263F6F" w:rsidRDefault="00C11308" w:rsidP="00AC5F8D">
            <w:pPr>
              <w:pStyle w:val="Tabletext"/>
              <w:jc w:val="center"/>
              <w:rPr>
                <w:lang w:val="en-GB"/>
              </w:rPr>
            </w:pPr>
            <w:r w:rsidRPr="00263F6F">
              <w:rPr>
                <w:lang w:val="en-GB"/>
              </w:rPr>
              <w:t>27.04</w:t>
            </w:r>
          </w:p>
        </w:tc>
      </w:tr>
      <w:tr w:rsidR="00C11308" w:rsidRPr="00263F6F" w14:paraId="10484C88" w14:textId="77777777" w:rsidTr="00E1317A">
        <w:trPr>
          <w:jc w:val="center"/>
        </w:trPr>
        <w:tc>
          <w:tcPr>
            <w:tcW w:w="2127" w:type="dxa"/>
            <w:tcBorders>
              <w:top w:val="single" w:sz="4" w:space="0" w:color="auto"/>
              <w:left w:val="single" w:sz="4" w:space="0" w:color="auto"/>
              <w:bottom w:val="single" w:sz="4" w:space="0" w:color="auto"/>
              <w:right w:val="single" w:sz="4" w:space="0" w:color="auto"/>
            </w:tcBorders>
            <w:vAlign w:val="bottom"/>
            <w:hideMark/>
          </w:tcPr>
          <w:p w14:paraId="59A9756A" w14:textId="77777777" w:rsidR="00C11308" w:rsidRPr="00263F6F" w:rsidRDefault="00C11308" w:rsidP="00AC5F8D">
            <w:pPr>
              <w:pStyle w:val="Tabletext"/>
              <w:jc w:val="center"/>
              <w:rPr>
                <w:lang w:val="en-GB"/>
              </w:rPr>
            </w:pPr>
            <w:r w:rsidRPr="00263F6F">
              <w:rPr>
                <w:lang w:val="en-GB"/>
              </w:rPr>
              <w:t>69.120</w:t>
            </w:r>
          </w:p>
        </w:tc>
        <w:tc>
          <w:tcPr>
            <w:tcW w:w="1390" w:type="dxa"/>
            <w:tcBorders>
              <w:top w:val="single" w:sz="4" w:space="0" w:color="auto"/>
              <w:left w:val="single" w:sz="4" w:space="0" w:color="auto"/>
              <w:bottom w:val="single" w:sz="4" w:space="0" w:color="auto"/>
              <w:right w:val="single" w:sz="4" w:space="0" w:color="auto"/>
            </w:tcBorders>
            <w:hideMark/>
          </w:tcPr>
          <w:p w14:paraId="550A4C68" w14:textId="77777777" w:rsidR="00C11308" w:rsidRPr="00263F6F" w:rsidRDefault="00C11308" w:rsidP="00AC5F8D">
            <w:pPr>
              <w:pStyle w:val="Tabletext"/>
              <w:jc w:val="center"/>
              <w:rPr>
                <w:lang w:val="en-GB"/>
              </w:rPr>
            </w:pPr>
            <w:r w:rsidRPr="00263F6F">
              <w:rPr>
                <w:lang w:val="en-GB"/>
              </w:rPr>
              <w:t>34.42</w:t>
            </w:r>
          </w:p>
        </w:tc>
        <w:tc>
          <w:tcPr>
            <w:tcW w:w="1334" w:type="dxa"/>
            <w:tcBorders>
              <w:top w:val="single" w:sz="4" w:space="0" w:color="auto"/>
              <w:left w:val="single" w:sz="4" w:space="0" w:color="auto"/>
              <w:bottom w:val="single" w:sz="4" w:space="0" w:color="auto"/>
              <w:right w:val="single" w:sz="4" w:space="0" w:color="auto"/>
            </w:tcBorders>
            <w:hideMark/>
          </w:tcPr>
          <w:p w14:paraId="07221703" w14:textId="77777777" w:rsidR="00C11308" w:rsidRPr="00263F6F" w:rsidRDefault="00C11308" w:rsidP="00AC5F8D">
            <w:pPr>
              <w:pStyle w:val="Tabletext"/>
              <w:jc w:val="center"/>
              <w:rPr>
                <w:lang w:val="en-GB"/>
              </w:rPr>
            </w:pPr>
            <w:r w:rsidRPr="00263F6F">
              <w:rPr>
                <w:lang w:val="en-GB"/>
              </w:rPr>
              <w:t>34.58</w:t>
            </w:r>
          </w:p>
        </w:tc>
        <w:tc>
          <w:tcPr>
            <w:tcW w:w="1333" w:type="dxa"/>
            <w:tcBorders>
              <w:top w:val="single" w:sz="4" w:space="0" w:color="auto"/>
              <w:left w:val="single" w:sz="4" w:space="0" w:color="auto"/>
              <w:bottom w:val="single" w:sz="4" w:space="0" w:color="auto"/>
              <w:right w:val="single" w:sz="4" w:space="0" w:color="auto"/>
            </w:tcBorders>
            <w:hideMark/>
          </w:tcPr>
          <w:p w14:paraId="41D990C7" w14:textId="77777777" w:rsidR="00C11308" w:rsidRPr="00263F6F" w:rsidRDefault="00C11308" w:rsidP="00AC5F8D">
            <w:pPr>
              <w:pStyle w:val="Tabletext"/>
              <w:jc w:val="center"/>
              <w:rPr>
                <w:lang w:val="en-GB"/>
              </w:rPr>
            </w:pPr>
            <w:r w:rsidRPr="00263F6F">
              <w:rPr>
                <w:lang w:val="en-GB"/>
              </w:rPr>
              <w:t>35.08</w:t>
            </w:r>
          </w:p>
        </w:tc>
        <w:tc>
          <w:tcPr>
            <w:tcW w:w="1334" w:type="dxa"/>
            <w:tcBorders>
              <w:top w:val="single" w:sz="4" w:space="0" w:color="auto"/>
              <w:left w:val="single" w:sz="4" w:space="0" w:color="auto"/>
              <w:bottom w:val="single" w:sz="4" w:space="0" w:color="auto"/>
              <w:right w:val="single" w:sz="4" w:space="0" w:color="auto"/>
            </w:tcBorders>
            <w:hideMark/>
          </w:tcPr>
          <w:p w14:paraId="5293EF18" w14:textId="77777777" w:rsidR="00C11308" w:rsidRPr="00263F6F" w:rsidRDefault="00C11308" w:rsidP="00AC5F8D">
            <w:pPr>
              <w:pStyle w:val="Tabletext"/>
              <w:jc w:val="center"/>
              <w:rPr>
                <w:lang w:val="en-GB"/>
              </w:rPr>
            </w:pPr>
            <w:r w:rsidRPr="00263F6F">
              <w:rPr>
                <w:lang w:val="en-GB"/>
              </w:rPr>
              <w:t>35.68</w:t>
            </w:r>
          </w:p>
        </w:tc>
      </w:tr>
    </w:tbl>
    <w:p w14:paraId="40ACA498" w14:textId="77777777" w:rsidR="00C11308" w:rsidRPr="00263F6F" w:rsidRDefault="00C11308" w:rsidP="00C11308">
      <w:pPr>
        <w:pStyle w:val="Tablefin"/>
      </w:pPr>
    </w:p>
    <w:p w14:paraId="3A3334FC" w14:textId="77777777" w:rsidR="00C11308" w:rsidRPr="00263F6F" w:rsidRDefault="00C11308" w:rsidP="00C11308">
      <w:pPr>
        <w:pStyle w:val="Heading1"/>
        <w:rPr>
          <w:lang w:val="en-GB" w:eastAsia="ja-JP"/>
        </w:rPr>
      </w:pPr>
      <w:bookmarkStart w:id="24" w:name="_Toc122512302"/>
      <w:r w:rsidRPr="00263F6F">
        <w:rPr>
          <w:lang w:val="en-GB" w:eastAsia="ja-JP"/>
        </w:rPr>
        <w:t>6</w:t>
      </w:r>
      <w:r w:rsidRPr="00263F6F">
        <w:rPr>
          <w:lang w:val="en-GB" w:eastAsia="ja-JP"/>
        </w:rPr>
        <w:tab/>
      </w:r>
      <w:r w:rsidRPr="00263F6F">
        <w:rPr>
          <w:lang w:val="en-GB"/>
        </w:rPr>
        <w:t>Interference</w:t>
      </w:r>
      <w:r w:rsidRPr="00263F6F">
        <w:rPr>
          <w:lang w:val="en-GB" w:eastAsia="ja-JP"/>
        </w:rPr>
        <w:t xml:space="preserve"> scenarios from LMS to FS applications operating in the frequency range 252-296 GHz</w:t>
      </w:r>
      <w:bookmarkEnd w:id="23"/>
      <w:bookmarkEnd w:id="24"/>
    </w:p>
    <w:p w14:paraId="59847240" w14:textId="77777777" w:rsidR="00C11308" w:rsidRPr="00263F6F" w:rsidRDefault="00C11308" w:rsidP="00C11308">
      <w:pPr>
        <w:pStyle w:val="Heading2"/>
        <w:rPr>
          <w:lang w:val="en-GB" w:eastAsia="ja-JP"/>
        </w:rPr>
      </w:pPr>
      <w:bookmarkStart w:id="25" w:name="_Toc11081147"/>
      <w:bookmarkStart w:id="26" w:name="_Toc122512303"/>
      <w:r w:rsidRPr="00263F6F">
        <w:rPr>
          <w:lang w:val="en-GB" w:eastAsia="ja-JP"/>
        </w:rPr>
        <w:t>6.1</w:t>
      </w:r>
      <w:r w:rsidRPr="00263F6F">
        <w:rPr>
          <w:lang w:val="en-GB" w:eastAsia="ja-JP"/>
        </w:rPr>
        <w:tab/>
        <w:t>Interference scenarios from LMS to FS applications operating in the band 252</w:t>
      </w:r>
      <w:r w:rsidRPr="00263F6F">
        <w:rPr>
          <w:lang w:val="en-GB" w:eastAsia="ja-JP"/>
        </w:rPr>
        <w:noBreakHyphen/>
        <w:t>296 GHz</w:t>
      </w:r>
      <w:bookmarkEnd w:id="25"/>
      <w:bookmarkEnd w:id="26"/>
    </w:p>
    <w:p w14:paraId="491FDEC3" w14:textId="1C2F5D18" w:rsidR="00C11308" w:rsidRPr="00263F6F" w:rsidRDefault="00C11308" w:rsidP="00C11308">
      <w:pPr>
        <w:rPr>
          <w:lang w:val="en-GB" w:eastAsia="ja-JP"/>
        </w:rPr>
      </w:pPr>
      <w:r w:rsidRPr="00263F6F">
        <w:rPr>
          <w:lang w:val="en-GB" w:eastAsia="ja-JP"/>
        </w:rPr>
        <w:t>The two interference scenarios between LMS and FS applications are listed in Table 4 and shown in Fig</w:t>
      </w:r>
      <w:r w:rsidR="00ED09FD">
        <w:rPr>
          <w:lang w:val="en-GB" w:eastAsia="ja-JP"/>
        </w:rPr>
        <w:t>.</w:t>
      </w:r>
      <w:r w:rsidRPr="00263F6F">
        <w:rPr>
          <w:lang w:val="en-GB" w:eastAsia="ja-JP"/>
        </w:rPr>
        <w:t xml:space="preserve"> 2. Since the close proximity mobile system is one of LMS applications indicated in Report ITU</w:t>
      </w:r>
      <w:r w:rsidR="00ED09FD">
        <w:rPr>
          <w:lang w:val="en-GB" w:eastAsia="ja-JP"/>
        </w:rPr>
        <w:noBreakHyphen/>
      </w:r>
      <w:r w:rsidRPr="00263F6F">
        <w:rPr>
          <w:lang w:val="en-GB" w:eastAsia="ja-JP"/>
        </w:rPr>
        <w:t xml:space="preserve">R </w:t>
      </w:r>
      <w:hyperlink r:id="rId28" w:history="1">
        <w:r w:rsidR="00F57D9E" w:rsidRPr="008827D5">
          <w:rPr>
            <w:rStyle w:val="Hyperlink"/>
            <w:color w:val="auto"/>
            <w:u w:val="none"/>
            <w:lang w:val="en-GB" w:eastAsia="ja-JP"/>
          </w:rPr>
          <w:t>M.2417</w:t>
        </w:r>
      </w:hyperlink>
      <w:r w:rsidRPr="00263F6F">
        <w:rPr>
          <w:lang w:val="en-GB" w:eastAsia="ja-JP"/>
        </w:rPr>
        <w:t xml:space="preserve">, this section studies the interference-to-noise ratio value of FS receivers which will be used for backhaul/fronthaul applications indicated in Report ITU-R </w:t>
      </w:r>
      <w:hyperlink r:id="rId29" w:history="1">
        <w:r w:rsidR="00B72AB3" w:rsidRPr="00B72AB3">
          <w:rPr>
            <w:rStyle w:val="Hyperlink"/>
            <w:color w:val="auto"/>
            <w:u w:val="none"/>
            <w:lang w:val="en-GB" w:eastAsia="ja-JP"/>
          </w:rPr>
          <w:t>F.2416</w:t>
        </w:r>
      </w:hyperlink>
      <w:r w:rsidRPr="00263F6F">
        <w:rPr>
          <w:lang w:val="en-GB" w:eastAsia="ja-JP"/>
        </w:rPr>
        <w:t>. Table 4 summarizes interference scenarios between CPMS and fronthaul applications. The fronthaul consists of RRH covering a small cell and BBU accomplishing baseband signal processing functions of radio access networks. Since the interference to RRH from CPMS may be worse than that of BBU from CPMS due to a lower antenna height of RRH than that of BBU in general, the study focuses on the interference from CPMS to RRH.</w:t>
      </w:r>
    </w:p>
    <w:p w14:paraId="66B1ACB0" w14:textId="77777777" w:rsidR="00C11308" w:rsidRPr="00263F6F" w:rsidRDefault="00C11308" w:rsidP="00C11308">
      <w:pPr>
        <w:pStyle w:val="TableNo"/>
        <w:rPr>
          <w:lang w:val="en-GB"/>
        </w:rPr>
      </w:pPr>
      <w:r w:rsidRPr="00263F6F">
        <w:rPr>
          <w:lang w:val="en-GB"/>
        </w:rPr>
        <w:t>TABLE</w:t>
      </w:r>
      <w:r w:rsidRPr="00263F6F">
        <w:rPr>
          <w:lang w:val="en-GB" w:eastAsia="zh-CN"/>
        </w:rPr>
        <w:t xml:space="preserve"> 4</w:t>
      </w:r>
    </w:p>
    <w:p w14:paraId="493AD193" w14:textId="77777777" w:rsidR="00C11308" w:rsidRPr="00263F6F" w:rsidRDefault="00C11308" w:rsidP="00C11308">
      <w:pPr>
        <w:pStyle w:val="Tabletitle"/>
        <w:rPr>
          <w:lang w:val="en-GB" w:eastAsia="ja-JP"/>
        </w:rPr>
      </w:pPr>
      <w:r w:rsidRPr="00263F6F">
        <w:rPr>
          <w:lang w:val="en-GB" w:eastAsia="ja-JP"/>
        </w:rPr>
        <w:t>Interference scenarios</w:t>
      </w:r>
    </w:p>
    <w:tbl>
      <w:tblPr>
        <w:tblStyle w:val="TableGrid"/>
        <w:tblW w:w="8505" w:type="dxa"/>
        <w:jc w:val="center"/>
        <w:tblLook w:val="04A0" w:firstRow="1" w:lastRow="0" w:firstColumn="1" w:lastColumn="0" w:noHBand="0" w:noVBand="1"/>
      </w:tblPr>
      <w:tblGrid>
        <w:gridCol w:w="1212"/>
        <w:gridCol w:w="1706"/>
        <w:gridCol w:w="1613"/>
        <w:gridCol w:w="3974"/>
      </w:tblGrid>
      <w:tr w:rsidR="00C11308" w:rsidRPr="00263F6F" w14:paraId="46AC3865" w14:textId="77777777" w:rsidTr="00AC5F8D">
        <w:trPr>
          <w:jc w:val="center"/>
        </w:trPr>
        <w:tc>
          <w:tcPr>
            <w:tcW w:w="1212" w:type="dxa"/>
          </w:tcPr>
          <w:p w14:paraId="7086D4FB" w14:textId="77777777" w:rsidR="00C11308" w:rsidRPr="00263F6F" w:rsidRDefault="00C11308" w:rsidP="00AC5F8D">
            <w:pPr>
              <w:pStyle w:val="Tablehead"/>
              <w:rPr>
                <w:lang w:val="en-GB"/>
              </w:rPr>
            </w:pPr>
            <w:r w:rsidRPr="00263F6F">
              <w:rPr>
                <w:lang w:val="en-GB"/>
              </w:rPr>
              <w:t>Scenario</w:t>
            </w:r>
          </w:p>
        </w:tc>
        <w:tc>
          <w:tcPr>
            <w:tcW w:w="1706" w:type="dxa"/>
          </w:tcPr>
          <w:p w14:paraId="7FA5A68D" w14:textId="77777777" w:rsidR="00C11308" w:rsidRPr="00263F6F" w:rsidRDefault="00C11308" w:rsidP="00AC5F8D">
            <w:pPr>
              <w:pStyle w:val="Tablehead"/>
              <w:rPr>
                <w:lang w:val="en-GB"/>
              </w:rPr>
            </w:pPr>
            <w:r w:rsidRPr="00263F6F">
              <w:rPr>
                <w:lang w:val="en-GB"/>
              </w:rPr>
              <w:t>Interfering</w:t>
            </w:r>
          </w:p>
        </w:tc>
        <w:tc>
          <w:tcPr>
            <w:tcW w:w="1613" w:type="dxa"/>
          </w:tcPr>
          <w:p w14:paraId="10F37BB7" w14:textId="77777777" w:rsidR="00C11308" w:rsidRPr="00263F6F" w:rsidRDefault="00C11308" w:rsidP="00AC5F8D">
            <w:pPr>
              <w:pStyle w:val="Tablehead"/>
              <w:rPr>
                <w:lang w:val="en-GB"/>
              </w:rPr>
            </w:pPr>
            <w:r w:rsidRPr="00263F6F">
              <w:rPr>
                <w:lang w:val="en-GB"/>
              </w:rPr>
              <w:t>Interfered</w:t>
            </w:r>
          </w:p>
        </w:tc>
        <w:tc>
          <w:tcPr>
            <w:tcW w:w="3974" w:type="dxa"/>
          </w:tcPr>
          <w:p w14:paraId="67DDE522" w14:textId="77777777" w:rsidR="00C11308" w:rsidRPr="00263F6F" w:rsidRDefault="00C11308" w:rsidP="00AC5F8D">
            <w:pPr>
              <w:pStyle w:val="Tablehead"/>
              <w:rPr>
                <w:lang w:val="en-GB"/>
              </w:rPr>
            </w:pPr>
            <w:r w:rsidRPr="00263F6F">
              <w:rPr>
                <w:lang w:val="en-GB"/>
              </w:rPr>
              <w:t>Propagation model</w:t>
            </w:r>
          </w:p>
        </w:tc>
      </w:tr>
      <w:tr w:rsidR="00C11308" w:rsidRPr="00263F6F" w14:paraId="19EA7BE5" w14:textId="77777777" w:rsidTr="00AC5F8D">
        <w:trPr>
          <w:jc w:val="center"/>
        </w:trPr>
        <w:tc>
          <w:tcPr>
            <w:tcW w:w="1212" w:type="dxa"/>
          </w:tcPr>
          <w:p w14:paraId="57FC5BDF" w14:textId="77777777" w:rsidR="00C11308" w:rsidRPr="00263F6F" w:rsidRDefault="00C11308" w:rsidP="00AC5F8D">
            <w:pPr>
              <w:pStyle w:val="Tabletext"/>
              <w:jc w:val="center"/>
              <w:rPr>
                <w:lang w:val="en-GB"/>
              </w:rPr>
            </w:pPr>
            <w:r w:rsidRPr="00263F6F">
              <w:rPr>
                <w:lang w:val="en-GB"/>
              </w:rPr>
              <w:t>A1</w:t>
            </w:r>
          </w:p>
        </w:tc>
        <w:tc>
          <w:tcPr>
            <w:tcW w:w="1706" w:type="dxa"/>
          </w:tcPr>
          <w:p w14:paraId="075D6A68" w14:textId="77777777" w:rsidR="00C11308" w:rsidRPr="00263F6F" w:rsidRDefault="00C11308" w:rsidP="00AC5F8D">
            <w:pPr>
              <w:pStyle w:val="Tabletext"/>
              <w:rPr>
                <w:lang w:val="en-GB"/>
              </w:rPr>
            </w:pPr>
            <w:r w:rsidRPr="00263F6F">
              <w:rPr>
                <w:lang w:val="en-GB"/>
              </w:rPr>
              <w:t>CPMS MT</w:t>
            </w:r>
          </w:p>
        </w:tc>
        <w:tc>
          <w:tcPr>
            <w:tcW w:w="1613" w:type="dxa"/>
          </w:tcPr>
          <w:p w14:paraId="25C7DCF1" w14:textId="77777777" w:rsidR="00C11308" w:rsidRPr="00263F6F" w:rsidRDefault="00C11308" w:rsidP="00AC5F8D">
            <w:pPr>
              <w:pStyle w:val="Tabletext"/>
              <w:rPr>
                <w:lang w:val="en-GB"/>
              </w:rPr>
            </w:pPr>
            <w:r w:rsidRPr="00263F6F">
              <w:rPr>
                <w:lang w:val="en-GB"/>
              </w:rPr>
              <w:t>RRH</w:t>
            </w:r>
          </w:p>
        </w:tc>
        <w:tc>
          <w:tcPr>
            <w:tcW w:w="3974" w:type="dxa"/>
          </w:tcPr>
          <w:p w14:paraId="7F73D620" w14:textId="08541476" w:rsidR="00C11308" w:rsidRPr="00263F6F" w:rsidRDefault="00C11308" w:rsidP="00AC5F8D">
            <w:pPr>
              <w:pStyle w:val="Tabletext"/>
              <w:rPr>
                <w:lang w:val="en-GB"/>
              </w:rPr>
            </w:pPr>
            <w:r w:rsidRPr="00263F6F">
              <w:rPr>
                <w:lang w:val="en-GB"/>
              </w:rPr>
              <w:t xml:space="preserve">Recs ITU-R P.452, P.676, P.2108, </w:t>
            </w:r>
            <w:hyperlink r:id="rId30" w:history="1">
              <w:r w:rsidR="00411997" w:rsidRPr="0038664C">
                <w:rPr>
                  <w:lang w:val="en-GB" w:eastAsia="ja-JP"/>
                </w:rPr>
                <w:t>P.2109</w:t>
              </w:r>
            </w:hyperlink>
          </w:p>
        </w:tc>
      </w:tr>
      <w:tr w:rsidR="00C11308" w:rsidRPr="00263F6F" w14:paraId="0721790C" w14:textId="77777777" w:rsidTr="00AC5F8D">
        <w:trPr>
          <w:jc w:val="center"/>
        </w:trPr>
        <w:tc>
          <w:tcPr>
            <w:tcW w:w="1212" w:type="dxa"/>
          </w:tcPr>
          <w:p w14:paraId="539FB3D1" w14:textId="77777777" w:rsidR="00C11308" w:rsidRPr="00263F6F" w:rsidRDefault="00C11308" w:rsidP="00AC5F8D">
            <w:pPr>
              <w:pStyle w:val="Tabletext"/>
              <w:jc w:val="center"/>
              <w:rPr>
                <w:lang w:val="en-GB"/>
              </w:rPr>
            </w:pPr>
            <w:r w:rsidRPr="00263F6F">
              <w:rPr>
                <w:lang w:val="en-GB"/>
              </w:rPr>
              <w:t>A2</w:t>
            </w:r>
          </w:p>
        </w:tc>
        <w:tc>
          <w:tcPr>
            <w:tcW w:w="1706" w:type="dxa"/>
          </w:tcPr>
          <w:p w14:paraId="30C23889" w14:textId="77777777" w:rsidR="00C11308" w:rsidRPr="00263F6F" w:rsidRDefault="00C11308" w:rsidP="00AC5F8D">
            <w:pPr>
              <w:pStyle w:val="Tabletext"/>
              <w:rPr>
                <w:lang w:val="en-GB"/>
              </w:rPr>
            </w:pPr>
            <w:r w:rsidRPr="00263F6F">
              <w:rPr>
                <w:lang w:val="en-GB"/>
              </w:rPr>
              <w:t>CPMS FS</w:t>
            </w:r>
          </w:p>
        </w:tc>
        <w:tc>
          <w:tcPr>
            <w:tcW w:w="1613" w:type="dxa"/>
          </w:tcPr>
          <w:p w14:paraId="25FFB0EB" w14:textId="77777777" w:rsidR="00C11308" w:rsidRPr="00263F6F" w:rsidRDefault="00C11308" w:rsidP="00AC5F8D">
            <w:pPr>
              <w:pStyle w:val="Tabletext"/>
              <w:rPr>
                <w:lang w:val="en-GB"/>
              </w:rPr>
            </w:pPr>
            <w:r w:rsidRPr="00263F6F">
              <w:rPr>
                <w:lang w:val="en-GB"/>
              </w:rPr>
              <w:t>RRH</w:t>
            </w:r>
          </w:p>
        </w:tc>
        <w:tc>
          <w:tcPr>
            <w:tcW w:w="3974" w:type="dxa"/>
          </w:tcPr>
          <w:p w14:paraId="5D32F658" w14:textId="133DD990" w:rsidR="00C11308" w:rsidRPr="00263F6F" w:rsidRDefault="00C11308" w:rsidP="00AC5F8D">
            <w:pPr>
              <w:pStyle w:val="Tabletext"/>
              <w:rPr>
                <w:lang w:val="en-GB"/>
              </w:rPr>
            </w:pPr>
            <w:r w:rsidRPr="00263F6F">
              <w:rPr>
                <w:lang w:val="en-GB"/>
              </w:rPr>
              <w:t xml:space="preserve">Recs ITU-R P.452, P.676, P.2108, </w:t>
            </w:r>
            <w:hyperlink r:id="rId31" w:history="1">
              <w:r w:rsidR="00411997" w:rsidRPr="0038664C">
                <w:rPr>
                  <w:lang w:val="en-GB" w:eastAsia="ja-JP"/>
                </w:rPr>
                <w:t>P.2109</w:t>
              </w:r>
            </w:hyperlink>
          </w:p>
        </w:tc>
      </w:tr>
      <w:tr w:rsidR="00C11308" w:rsidRPr="00263F6F" w14:paraId="29173020" w14:textId="77777777" w:rsidTr="00AC5F8D">
        <w:trPr>
          <w:jc w:val="center"/>
        </w:trPr>
        <w:tc>
          <w:tcPr>
            <w:tcW w:w="1212" w:type="dxa"/>
          </w:tcPr>
          <w:p w14:paraId="2A2D6421" w14:textId="77777777" w:rsidR="00C11308" w:rsidRPr="00263F6F" w:rsidRDefault="00C11308" w:rsidP="00AC5F8D">
            <w:pPr>
              <w:pStyle w:val="Tabletext"/>
              <w:jc w:val="center"/>
              <w:rPr>
                <w:lang w:val="en-GB"/>
              </w:rPr>
            </w:pPr>
            <w:r w:rsidRPr="00263F6F">
              <w:rPr>
                <w:lang w:val="en-GB"/>
              </w:rPr>
              <w:t>B1</w:t>
            </w:r>
          </w:p>
        </w:tc>
        <w:tc>
          <w:tcPr>
            <w:tcW w:w="1706" w:type="dxa"/>
          </w:tcPr>
          <w:p w14:paraId="2A670441" w14:textId="77777777" w:rsidR="00C11308" w:rsidRPr="00263F6F" w:rsidRDefault="00C11308" w:rsidP="00AC5F8D">
            <w:pPr>
              <w:pStyle w:val="Tabletext"/>
              <w:rPr>
                <w:lang w:val="en-GB"/>
              </w:rPr>
            </w:pPr>
            <w:r w:rsidRPr="00263F6F">
              <w:rPr>
                <w:lang w:val="en-GB"/>
              </w:rPr>
              <w:t>RRH</w:t>
            </w:r>
          </w:p>
        </w:tc>
        <w:tc>
          <w:tcPr>
            <w:tcW w:w="1613" w:type="dxa"/>
          </w:tcPr>
          <w:p w14:paraId="4D1B0947" w14:textId="77777777" w:rsidR="00C11308" w:rsidRPr="00263F6F" w:rsidRDefault="00C11308" w:rsidP="00AC5F8D">
            <w:pPr>
              <w:pStyle w:val="Tabletext"/>
              <w:rPr>
                <w:lang w:val="en-GB"/>
              </w:rPr>
            </w:pPr>
            <w:r w:rsidRPr="00263F6F">
              <w:rPr>
                <w:lang w:val="en-GB"/>
              </w:rPr>
              <w:t>CPMS MT</w:t>
            </w:r>
          </w:p>
        </w:tc>
        <w:tc>
          <w:tcPr>
            <w:tcW w:w="3974" w:type="dxa"/>
          </w:tcPr>
          <w:p w14:paraId="213FD691" w14:textId="30F9BBD9" w:rsidR="00C11308" w:rsidRPr="00263F6F" w:rsidRDefault="00C11308" w:rsidP="00AC5F8D">
            <w:pPr>
              <w:pStyle w:val="Tabletext"/>
              <w:rPr>
                <w:lang w:val="en-GB"/>
              </w:rPr>
            </w:pPr>
            <w:r w:rsidRPr="00263F6F">
              <w:rPr>
                <w:lang w:val="en-GB"/>
              </w:rPr>
              <w:t xml:space="preserve">Recs ITU-R P.452, P.676, P.2108, </w:t>
            </w:r>
            <w:hyperlink r:id="rId32" w:history="1">
              <w:r w:rsidR="00411997" w:rsidRPr="0038664C">
                <w:rPr>
                  <w:lang w:val="en-GB" w:eastAsia="ja-JP"/>
                </w:rPr>
                <w:t>P.2109</w:t>
              </w:r>
            </w:hyperlink>
          </w:p>
        </w:tc>
      </w:tr>
      <w:tr w:rsidR="00C11308" w:rsidRPr="00263F6F" w14:paraId="2F7726EF" w14:textId="77777777" w:rsidTr="00AC5F8D">
        <w:trPr>
          <w:jc w:val="center"/>
        </w:trPr>
        <w:tc>
          <w:tcPr>
            <w:tcW w:w="1212" w:type="dxa"/>
          </w:tcPr>
          <w:p w14:paraId="799DFEFB" w14:textId="77777777" w:rsidR="00C11308" w:rsidRPr="00263F6F" w:rsidRDefault="00C11308" w:rsidP="00AC5F8D">
            <w:pPr>
              <w:pStyle w:val="Tabletext"/>
              <w:jc w:val="center"/>
              <w:rPr>
                <w:lang w:val="en-GB"/>
              </w:rPr>
            </w:pPr>
            <w:r w:rsidRPr="00263F6F">
              <w:rPr>
                <w:lang w:val="en-GB"/>
              </w:rPr>
              <w:t>B2</w:t>
            </w:r>
          </w:p>
        </w:tc>
        <w:tc>
          <w:tcPr>
            <w:tcW w:w="1706" w:type="dxa"/>
          </w:tcPr>
          <w:p w14:paraId="3D4BEEB3" w14:textId="77777777" w:rsidR="00C11308" w:rsidRPr="00263F6F" w:rsidRDefault="00C11308" w:rsidP="00AC5F8D">
            <w:pPr>
              <w:pStyle w:val="Tabletext"/>
              <w:rPr>
                <w:lang w:val="en-GB"/>
              </w:rPr>
            </w:pPr>
            <w:r w:rsidRPr="00263F6F">
              <w:rPr>
                <w:lang w:val="en-GB"/>
              </w:rPr>
              <w:t>RRH</w:t>
            </w:r>
          </w:p>
        </w:tc>
        <w:tc>
          <w:tcPr>
            <w:tcW w:w="1613" w:type="dxa"/>
          </w:tcPr>
          <w:p w14:paraId="25112B43" w14:textId="77777777" w:rsidR="00C11308" w:rsidRPr="00263F6F" w:rsidRDefault="00C11308" w:rsidP="00AC5F8D">
            <w:pPr>
              <w:pStyle w:val="Tabletext"/>
              <w:rPr>
                <w:lang w:val="en-GB"/>
              </w:rPr>
            </w:pPr>
            <w:r w:rsidRPr="00263F6F">
              <w:rPr>
                <w:lang w:val="en-GB"/>
              </w:rPr>
              <w:t>CPMS FS</w:t>
            </w:r>
          </w:p>
        </w:tc>
        <w:tc>
          <w:tcPr>
            <w:tcW w:w="3974" w:type="dxa"/>
          </w:tcPr>
          <w:p w14:paraId="1EB561D7" w14:textId="6DF47998" w:rsidR="00C11308" w:rsidRPr="00263F6F" w:rsidRDefault="00C11308" w:rsidP="00AC5F8D">
            <w:pPr>
              <w:pStyle w:val="Tabletext"/>
              <w:rPr>
                <w:lang w:val="en-GB"/>
              </w:rPr>
            </w:pPr>
            <w:r w:rsidRPr="00263F6F">
              <w:rPr>
                <w:lang w:val="en-GB"/>
              </w:rPr>
              <w:t xml:space="preserve">Recs ITU-R P.452, P.676, P.2108, </w:t>
            </w:r>
            <w:hyperlink r:id="rId33" w:history="1">
              <w:r w:rsidR="00411997" w:rsidRPr="0038664C">
                <w:rPr>
                  <w:lang w:val="en-GB" w:eastAsia="ja-JP"/>
                </w:rPr>
                <w:t>P.2109</w:t>
              </w:r>
            </w:hyperlink>
          </w:p>
        </w:tc>
      </w:tr>
      <w:tr w:rsidR="00C11308" w:rsidRPr="000914BC" w14:paraId="01F63302" w14:textId="77777777" w:rsidTr="00AC5F8D">
        <w:trPr>
          <w:jc w:val="center"/>
        </w:trPr>
        <w:tc>
          <w:tcPr>
            <w:tcW w:w="8505" w:type="dxa"/>
            <w:gridSpan w:val="4"/>
            <w:tcBorders>
              <w:left w:val="nil"/>
              <w:bottom w:val="nil"/>
              <w:right w:val="nil"/>
            </w:tcBorders>
          </w:tcPr>
          <w:p w14:paraId="091D70A6" w14:textId="77777777" w:rsidR="00C11308" w:rsidRPr="00263F6F" w:rsidRDefault="00C11308" w:rsidP="00AC5F8D">
            <w:pPr>
              <w:pStyle w:val="Tabletext"/>
              <w:rPr>
                <w:szCs w:val="22"/>
                <w:lang w:val="en-GB" w:eastAsia="ja-JP"/>
              </w:rPr>
            </w:pPr>
            <w:r w:rsidRPr="00263F6F">
              <w:rPr>
                <w:szCs w:val="22"/>
                <w:lang w:val="en-GB" w:eastAsia="ja-JP"/>
              </w:rPr>
              <w:t>CPMS MT: Close proximity mobile system – Mobile terminal</w:t>
            </w:r>
          </w:p>
          <w:p w14:paraId="49775144" w14:textId="77777777" w:rsidR="00C11308" w:rsidRPr="00263F6F" w:rsidRDefault="00C11308" w:rsidP="00AC5F8D">
            <w:pPr>
              <w:pStyle w:val="Tabletext"/>
              <w:rPr>
                <w:szCs w:val="22"/>
                <w:lang w:val="en-GB" w:eastAsia="ja-JP"/>
              </w:rPr>
            </w:pPr>
            <w:r w:rsidRPr="00263F6F">
              <w:rPr>
                <w:szCs w:val="22"/>
                <w:lang w:val="en-GB" w:eastAsia="ja-JP"/>
              </w:rPr>
              <w:t>CPMS FS: Close proximity mobile system – Fixed station</w:t>
            </w:r>
          </w:p>
          <w:p w14:paraId="01758A0E" w14:textId="77777777" w:rsidR="00C11308" w:rsidRPr="00263F6F" w:rsidRDefault="00C11308" w:rsidP="00AC5F8D">
            <w:pPr>
              <w:pStyle w:val="Tabletext"/>
              <w:rPr>
                <w:szCs w:val="22"/>
                <w:lang w:val="en-GB" w:eastAsia="ja-JP"/>
              </w:rPr>
            </w:pPr>
            <w:r w:rsidRPr="00263F6F">
              <w:rPr>
                <w:szCs w:val="22"/>
                <w:lang w:val="en-GB" w:eastAsia="ja-JP"/>
              </w:rPr>
              <w:t>RRH: Remote Radio Head</w:t>
            </w:r>
          </w:p>
          <w:p w14:paraId="153DE13A" w14:textId="79F15BA6" w:rsidR="00C11308" w:rsidRPr="00263F6F" w:rsidRDefault="00C11308" w:rsidP="00AC5F8D">
            <w:pPr>
              <w:pStyle w:val="Tabletext"/>
              <w:rPr>
                <w:szCs w:val="22"/>
                <w:lang w:val="en-GB" w:eastAsia="ja-JP"/>
              </w:rPr>
            </w:pPr>
            <w:r w:rsidRPr="00263F6F">
              <w:rPr>
                <w:szCs w:val="22"/>
                <w:lang w:val="en-GB" w:eastAsia="ja-JP"/>
              </w:rPr>
              <w:t>BBU: Base band unit</w:t>
            </w:r>
          </w:p>
        </w:tc>
      </w:tr>
    </w:tbl>
    <w:p w14:paraId="5D0F96E6" w14:textId="77777777" w:rsidR="00C11308" w:rsidRPr="00263F6F" w:rsidRDefault="00C11308" w:rsidP="00C11308">
      <w:pPr>
        <w:pStyle w:val="Tablefin"/>
      </w:pPr>
    </w:p>
    <w:p w14:paraId="3A1CDC79" w14:textId="77777777" w:rsidR="00C11308" w:rsidRPr="00263F6F" w:rsidRDefault="00C11308" w:rsidP="00C11308">
      <w:pPr>
        <w:pStyle w:val="FigureNo"/>
        <w:rPr>
          <w:i/>
          <w:lang w:val="en-GB" w:eastAsia="ja-JP"/>
        </w:rPr>
      </w:pPr>
      <w:r w:rsidRPr="00263F6F">
        <w:rPr>
          <w:lang w:val="en-GB"/>
        </w:rPr>
        <w:lastRenderedPageBreak/>
        <w:t xml:space="preserve">FIGURE </w:t>
      </w:r>
      <w:r w:rsidRPr="00263F6F">
        <w:rPr>
          <w:lang w:val="en-GB" w:eastAsia="ja-JP"/>
        </w:rPr>
        <w:t>2</w:t>
      </w:r>
    </w:p>
    <w:p w14:paraId="0042D7C4" w14:textId="77777777" w:rsidR="00C11308" w:rsidRPr="00263F6F" w:rsidRDefault="00C11308" w:rsidP="00C11308">
      <w:pPr>
        <w:pStyle w:val="Figuretitle"/>
        <w:rPr>
          <w:lang w:val="en-GB"/>
        </w:rPr>
      </w:pPr>
      <w:r w:rsidRPr="00263F6F">
        <w:rPr>
          <w:lang w:val="en-GB"/>
        </w:rPr>
        <w:t>Illustration of interference scenarios between LMS and FS applications</w:t>
      </w:r>
    </w:p>
    <w:p w14:paraId="1F5C2A76" w14:textId="1DE094F1" w:rsidR="00C11308" w:rsidRPr="00263F6F" w:rsidRDefault="000914BC" w:rsidP="00C11308">
      <w:pPr>
        <w:pStyle w:val="Figure"/>
        <w:rPr>
          <w:lang w:val="en-GB"/>
        </w:rPr>
      </w:pPr>
      <w:r>
        <w:rPr>
          <w:noProof/>
          <w:lang w:val="en-GB"/>
        </w:rPr>
        <w:drawing>
          <wp:inline distT="0" distB="0" distL="0" distR="0" wp14:anchorId="4BBEA0CA" wp14:editId="33E24FE1">
            <wp:extent cx="5821692" cy="2764542"/>
            <wp:effectExtent l="0" t="0" r="762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1692" cy="2764542"/>
                    </a:xfrm>
                    <a:prstGeom prst="rect">
                      <a:avLst/>
                    </a:prstGeom>
                  </pic:spPr>
                </pic:pic>
              </a:graphicData>
            </a:graphic>
          </wp:inline>
        </w:drawing>
      </w:r>
    </w:p>
    <w:p w14:paraId="2DD5A372" w14:textId="77777777" w:rsidR="00C11308" w:rsidRPr="00263F6F" w:rsidRDefault="00C11308" w:rsidP="00C11308">
      <w:pPr>
        <w:pStyle w:val="Heading3"/>
        <w:rPr>
          <w:lang w:val="en-GB" w:eastAsia="ja-JP"/>
        </w:rPr>
      </w:pPr>
      <w:r w:rsidRPr="00263F6F">
        <w:rPr>
          <w:lang w:val="en-GB" w:eastAsia="ja-JP"/>
        </w:rPr>
        <w:t>6.1.1</w:t>
      </w:r>
      <w:r w:rsidRPr="00263F6F">
        <w:rPr>
          <w:lang w:val="en-GB" w:eastAsia="ja-JP"/>
        </w:rPr>
        <w:tab/>
        <w:t>Aggregate interference effect to FS receivers</w:t>
      </w:r>
    </w:p>
    <w:p w14:paraId="77EC2593" w14:textId="51DA1F42" w:rsidR="00C11308" w:rsidRPr="00263F6F" w:rsidRDefault="00C11308" w:rsidP="00C11308">
      <w:pPr>
        <w:rPr>
          <w:lang w:val="en-GB" w:eastAsia="ja-JP"/>
        </w:rPr>
      </w:pPr>
      <w:r w:rsidRPr="00263F6F">
        <w:rPr>
          <w:lang w:val="en-GB" w:eastAsia="ja-JP"/>
        </w:rPr>
        <w:t xml:space="preserve">Report ITU-R </w:t>
      </w:r>
      <w:hyperlink r:id="rId35" w:history="1">
        <w:r w:rsidR="00F57D9E" w:rsidRPr="008827D5">
          <w:rPr>
            <w:rStyle w:val="Hyperlink"/>
            <w:color w:val="auto"/>
            <w:u w:val="none"/>
            <w:lang w:val="en-GB" w:eastAsia="ja-JP"/>
          </w:rPr>
          <w:t>M.2417</w:t>
        </w:r>
      </w:hyperlink>
      <w:r w:rsidRPr="00263F6F">
        <w:rPr>
          <w:lang w:val="en-GB" w:eastAsia="ja-JP"/>
        </w:rPr>
        <w:t xml:space="preserve"> provides deployment density and activity factor of CPMS applications such as Kiosk downloading system. Based on the deployment scenario, CPMS link density within a circle of 300 m radius which is the maximum distance between RRH and BBU provided in Report ITU-R </w:t>
      </w:r>
      <w:hyperlink r:id="rId36" w:history="1">
        <w:r w:rsidR="00B72AB3" w:rsidRPr="00B72AB3">
          <w:rPr>
            <w:rStyle w:val="Hyperlink"/>
            <w:color w:val="auto"/>
            <w:u w:val="none"/>
            <w:lang w:val="en-GB" w:eastAsia="ja-JP"/>
          </w:rPr>
          <w:t>F.2416</w:t>
        </w:r>
      </w:hyperlink>
      <w:r w:rsidRPr="00263F6F">
        <w:rPr>
          <w:lang w:val="en-GB" w:eastAsia="ja-JP"/>
        </w:rPr>
        <w:t xml:space="preserve"> is estimated to be 2.55 per 0.28 km</w:t>
      </w:r>
      <w:r w:rsidRPr="00263F6F">
        <w:rPr>
          <w:vertAlign w:val="superscript"/>
          <w:lang w:val="en-GB" w:eastAsia="ja-JP"/>
        </w:rPr>
        <w:t>2</w:t>
      </w:r>
      <w:r w:rsidRPr="00263F6F">
        <w:rPr>
          <w:lang w:val="en-GB" w:eastAsia="ja-JP"/>
        </w:rPr>
        <w:t>. Figure 3 shows the schematic illustration of CPMS distribution within a circle of 300 m radius. This link density is calculated as the worst-case scenario using the total number of convenient stores within the 23 wards of Tokyo whose area is 619 km</w:t>
      </w:r>
      <w:r w:rsidRPr="00263F6F">
        <w:rPr>
          <w:vertAlign w:val="superscript"/>
          <w:lang w:val="en-GB" w:eastAsia="ja-JP"/>
        </w:rPr>
        <w:t>2</w:t>
      </w:r>
      <w:r w:rsidRPr="00263F6F">
        <w:rPr>
          <w:lang w:val="en-GB" w:eastAsia="ja-JP"/>
        </w:rPr>
        <w:t xml:space="preserve">. It also becomes 15 times as large as the average link density provided in Report ITU-R </w:t>
      </w:r>
      <w:hyperlink r:id="rId37" w:history="1">
        <w:r w:rsidR="00F57D9E" w:rsidRPr="008827D5">
          <w:rPr>
            <w:rStyle w:val="Hyperlink"/>
            <w:color w:val="auto"/>
            <w:u w:val="none"/>
            <w:lang w:val="en-GB" w:eastAsia="ja-JP"/>
          </w:rPr>
          <w:t>M.2417</w:t>
        </w:r>
      </w:hyperlink>
      <w:r w:rsidRPr="00263F6F">
        <w:rPr>
          <w:lang w:val="en-GB" w:eastAsia="ja-JP"/>
        </w:rPr>
        <w:t>. The aggregate maximum received power of RRH/BBU receivers can be calculated using the above link density when the azimuth off-axis angle of RRH antenna is set to zero degree.</w:t>
      </w:r>
    </w:p>
    <w:p w14:paraId="396A7E73"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3</w:t>
      </w:r>
    </w:p>
    <w:p w14:paraId="4581D9F8" w14:textId="77777777" w:rsidR="00C11308" w:rsidRPr="00263F6F" w:rsidRDefault="00C11308" w:rsidP="00C11308">
      <w:pPr>
        <w:pStyle w:val="Figuretitle"/>
        <w:rPr>
          <w:lang w:val="en-GB"/>
        </w:rPr>
      </w:pPr>
      <w:r w:rsidRPr="00263F6F">
        <w:rPr>
          <w:lang w:val="en-GB"/>
        </w:rPr>
        <w:t>Schematic illustration of CPMS link distribution within a circle of 300 m radius</w:t>
      </w:r>
    </w:p>
    <w:p w14:paraId="2193D0EB" w14:textId="6AB5FF5E" w:rsidR="00C11308" w:rsidRPr="00263F6F" w:rsidRDefault="000914BC" w:rsidP="00C11308">
      <w:pPr>
        <w:pStyle w:val="Figure"/>
        <w:rPr>
          <w:lang w:val="en-GB" w:eastAsia="ja-JP"/>
        </w:rPr>
      </w:pPr>
      <w:r>
        <w:rPr>
          <w:noProof/>
          <w:lang w:val="en-GB" w:eastAsia="ja-JP"/>
        </w:rPr>
        <w:drawing>
          <wp:inline distT="0" distB="0" distL="0" distR="0" wp14:anchorId="63129E13" wp14:editId="0B602E4E">
            <wp:extent cx="3041910" cy="3069342"/>
            <wp:effectExtent l="0" t="0" r="635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1910" cy="3069342"/>
                    </a:xfrm>
                    <a:prstGeom prst="rect">
                      <a:avLst/>
                    </a:prstGeom>
                  </pic:spPr>
                </pic:pic>
              </a:graphicData>
            </a:graphic>
          </wp:inline>
        </w:drawing>
      </w:r>
    </w:p>
    <w:p w14:paraId="3EC28856" w14:textId="77777777" w:rsidR="00C11308" w:rsidRPr="00263F6F" w:rsidRDefault="00C11308" w:rsidP="00C11308">
      <w:pPr>
        <w:pStyle w:val="Heading3"/>
        <w:rPr>
          <w:lang w:val="en-GB"/>
        </w:rPr>
      </w:pPr>
      <w:r w:rsidRPr="00263F6F">
        <w:rPr>
          <w:lang w:val="en-GB" w:eastAsia="ja-JP"/>
        </w:rPr>
        <w:lastRenderedPageBreak/>
        <w:t>6.1.2</w:t>
      </w:r>
      <w:r w:rsidRPr="00263F6F">
        <w:rPr>
          <w:lang w:val="en-GB" w:eastAsia="ja-JP"/>
        </w:rPr>
        <w:tab/>
      </w:r>
      <w:r w:rsidRPr="00263F6F">
        <w:rPr>
          <w:lang w:val="en-GB"/>
        </w:rPr>
        <w:t>Aggregate</w:t>
      </w:r>
      <w:r w:rsidRPr="00263F6F">
        <w:rPr>
          <w:lang w:val="en-GB" w:eastAsia="ja-JP"/>
        </w:rPr>
        <w:t xml:space="preserve"> interference effect to CPMS receivers</w:t>
      </w:r>
    </w:p>
    <w:p w14:paraId="47F5113A" w14:textId="68AA9FB2" w:rsidR="00C11308" w:rsidRPr="00263F6F" w:rsidRDefault="00C11308" w:rsidP="00C11308">
      <w:pPr>
        <w:rPr>
          <w:caps/>
          <w:lang w:val="en-GB" w:eastAsia="ja-JP"/>
        </w:rPr>
      </w:pPr>
      <w:r w:rsidRPr="00263F6F">
        <w:rPr>
          <w:lang w:val="en-GB" w:eastAsia="ja-JP"/>
        </w:rPr>
        <w:t xml:space="preserve">Report ITU-R </w:t>
      </w:r>
      <w:hyperlink r:id="rId39" w:history="1">
        <w:r w:rsidR="00B72AB3" w:rsidRPr="00B72AB3">
          <w:rPr>
            <w:rStyle w:val="Hyperlink"/>
            <w:color w:val="auto"/>
            <w:u w:val="none"/>
            <w:lang w:val="en-GB" w:eastAsia="ja-JP"/>
          </w:rPr>
          <w:t>F.2416</w:t>
        </w:r>
      </w:hyperlink>
      <w:r w:rsidRPr="00263F6F">
        <w:rPr>
          <w:lang w:val="en-GB" w:eastAsia="ja-JP"/>
        </w:rPr>
        <w:t xml:space="preserve"> provides deployment scenario of FS applications such as fronthaul/backhaul to be used for some populated cities in Japan. The FS link density of 8.4 FS links/km² is estimated and used for sharing and compatibility studies between FS applications and EESS (passive) in Report ITU-R </w:t>
      </w:r>
      <w:hyperlink r:id="rId40" w:history="1">
        <w:r w:rsidR="007407EB" w:rsidRPr="007407EB">
          <w:rPr>
            <w:rStyle w:val="Hyperlink"/>
            <w:color w:val="auto"/>
            <w:u w:val="none"/>
            <w:lang w:val="en-GB" w:eastAsia="ja-JP"/>
          </w:rPr>
          <w:t>SM.2450</w:t>
        </w:r>
      </w:hyperlink>
      <w:r w:rsidRPr="00263F6F">
        <w:rPr>
          <w:lang w:val="en-GB" w:eastAsia="ja-JP"/>
        </w:rPr>
        <w:t>. Since the above link density is estimated using some highly populated cities, the interference scenario of aggregate effect to CPMS receivers may be provided by Fig</w:t>
      </w:r>
      <w:r w:rsidR="007D76E0">
        <w:rPr>
          <w:lang w:val="en-GB" w:eastAsia="ja-JP"/>
        </w:rPr>
        <w:t>.</w:t>
      </w:r>
      <w:r w:rsidRPr="00263F6F">
        <w:rPr>
          <w:lang w:val="en-GB" w:eastAsia="ja-JP"/>
        </w:rPr>
        <w:t xml:space="preserve"> 4. If all of FS links in the area of 1 km by 1 km square are located as closed to CPMS receivers as possible, the additional interference level can be estimated to be as large as about 9.2 dB.</w:t>
      </w:r>
    </w:p>
    <w:p w14:paraId="1FA2AA93"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4</w:t>
      </w:r>
    </w:p>
    <w:p w14:paraId="3E768E56" w14:textId="77777777" w:rsidR="00C11308" w:rsidRPr="00263F6F" w:rsidRDefault="00C11308" w:rsidP="00C11308">
      <w:pPr>
        <w:pStyle w:val="Figuretitle"/>
        <w:rPr>
          <w:lang w:val="en-GB"/>
        </w:rPr>
      </w:pPr>
      <w:r w:rsidRPr="00263F6F">
        <w:rPr>
          <w:lang w:val="en-GB"/>
        </w:rPr>
        <w:t>Schematic illustration of FS link distribution within 1 km by 1 km square</w:t>
      </w:r>
    </w:p>
    <w:p w14:paraId="653F5746" w14:textId="44081229" w:rsidR="00C11308" w:rsidRPr="00263F6F" w:rsidRDefault="000914BC" w:rsidP="00C11308">
      <w:pPr>
        <w:pStyle w:val="Figure"/>
        <w:rPr>
          <w:lang w:val="en-GB"/>
        </w:rPr>
      </w:pPr>
      <w:r>
        <w:rPr>
          <w:noProof/>
          <w:lang w:val="en-GB"/>
        </w:rPr>
        <w:drawing>
          <wp:inline distT="0" distB="0" distL="0" distR="0" wp14:anchorId="04AD7D0C" wp14:editId="590626CB">
            <wp:extent cx="4212345" cy="4462281"/>
            <wp:effectExtent l="0" t="0" r="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2345" cy="4462281"/>
                    </a:xfrm>
                    <a:prstGeom prst="rect">
                      <a:avLst/>
                    </a:prstGeom>
                  </pic:spPr>
                </pic:pic>
              </a:graphicData>
            </a:graphic>
          </wp:inline>
        </w:drawing>
      </w:r>
    </w:p>
    <w:p w14:paraId="4A04170F" w14:textId="77777777" w:rsidR="00C11308" w:rsidRPr="00263F6F" w:rsidRDefault="00C11308" w:rsidP="00C11308">
      <w:pPr>
        <w:pStyle w:val="Heading2"/>
        <w:rPr>
          <w:lang w:val="en-GB"/>
        </w:rPr>
      </w:pPr>
      <w:bookmarkStart w:id="27" w:name="_Toc11081148"/>
      <w:bookmarkStart w:id="28" w:name="_Toc122512304"/>
      <w:r w:rsidRPr="00263F6F">
        <w:rPr>
          <w:lang w:val="en-GB"/>
        </w:rPr>
        <w:t>6.2</w:t>
      </w:r>
      <w:r w:rsidRPr="00263F6F">
        <w:rPr>
          <w:lang w:val="en-GB"/>
        </w:rPr>
        <w:tab/>
      </w:r>
      <w:bookmarkEnd w:id="27"/>
      <w:r w:rsidRPr="00263F6F">
        <w:rPr>
          <w:lang w:val="en-GB"/>
        </w:rPr>
        <w:t>Protection criterion for coexistence studies in the frequency range 252-296 GHz</w:t>
      </w:r>
      <w:bookmarkEnd w:id="28"/>
    </w:p>
    <w:p w14:paraId="19F5733E" w14:textId="77777777" w:rsidR="00C11308" w:rsidRPr="00263F6F" w:rsidRDefault="00C11308" w:rsidP="00C11308">
      <w:pPr>
        <w:pStyle w:val="Heading3"/>
        <w:rPr>
          <w:lang w:val="en-GB" w:eastAsia="ja-JP"/>
        </w:rPr>
      </w:pPr>
      <w:r w:rsidRPr="00263F6F">
        <w:rPr>
          <w:shd w:val="clear" w:color="auto" w:fill="FFFFFF"/>
          <w:lang w:val="en-GB" w:eastAsia="ja-JP"/>
        </w:rPr>
        <w:t>6.2.1</w:t>
      </w:r>
      <w:r w:rsidRPr="00263F6F">
        <w:rPr>
          <w:shd w:val="clear" w:color="auto" w:fill="FFFFFF"/>
          <w:lang w:val="en-GB" w:eastAsia="ja-JP"/>
        </w:rPr>
        <w:tab/>
      </w:r>
      <w:r w:rsidRPr="00263F6F">
        <w:rPr>
          <w:lang w:val="en-GB"/>
        </w:rPr>
        <w:t xml:space="preserve">Protection criterion for FS applications </w:t>
      </w:r>
    </w:p>
    <w:p w14:paraId="7852CE5D" w14:textId="69B9A31A" w:rsidR="00C11308" w:rsidRPr="00263F6F" w:rsidRDefault="00C11308" w:rsidP="00C11308">
      <w:pPr>
        <w:rPr>
          <w:lang w:val="en-GB" w:eastAsia="ja-JP"/>
        </w:rPr>
      </w:pPr>
      <w:r w:rsidRPr="00263F6F">
        <w:rPr>
          <w:lang w:val="en-GB" w:eastAsia="ja-JP"/>
        </w:rPr>
        <w:t xml:space="preserve">Recommendation ITU-R </w:t>
      </w:r>
      <w:hyperlink r:id="rId42" w:history="1">
        <w:r w:rsidR="0094628D" w:rsidRPr="00225B7F">
          <w:rPr>
            <w:rStyle w:val="Hyperlink"/>
            <w:color w:val="auto"/>
            <w:u w:val="none"/>
            <w:lang w:val="en-GB"/>
          </w:rPr>
          <w:t>F.758</w:t>
        </w:r>
      </w:hyperlink>
      <w:r w:rsidRPr="00263F6F">
        <w:rPr>
          <w:lang w:val="en-GB" w:eastAsia="ja-JP"/>
        </w:rPr>
        <w:t xml:space="preserve"> provides an interference-to-noise ratio (</w:t>
      </w:r>
      <w:r w:rsidRPr="00263F6F">
        <w:rPr>
          <w:i/>
          <w:iCs/>
          <w:lang w:val="en-GB" w:eastAsia="ja-JP"/>
        </w:rPr>
        <w:t>I</w:t>
      </w:r>
      <w:r w:rsidRPr="0094628D">
        <w:rPr>
          <w:lang w:val="en-GB" w:eastAsia="ja-JP"/>
        </w:rPr>
        <w:t>/</w:t>
      </w:r>
      <w:r w:rsidRPr="00263F6F">
        <w:rPr>
          <w:i/>
          <w:iCs/>
          <w:lang w:val="en-GB" w:eastAsia="ja-JP"/>
        </w:rPr>
        <w:t>N</w:t>
      </w:r>
      <w:r w:rsidRPr="00263F6F">
        <w:rPr>
          <w:lang w:val="en-GB" w:eastAsia="ja-JP"/>
        </w:rPr>
        <w:t xml:space="preserve">) value of </w:t>
      </w:r>
      <w:r w:rsidR="00C504AC">
        <w:rPr>
          <w:lang w:val="en-GB" w:eastAsia="ja-JP"/>
        </w:rPr>
        <w:t>−</w:t>
      </w:r>
      <w:r w:rsidRPr="00263F6F">
        <w:rPr>
          <w:lang w:val="en-GB" w:eastAsia="ja-JP"/>
        </w:rPr>
        <w:t>10 dB as the long-term (no more than 20% of the time) interference protection criterion for the FS in the frequency bands of above 3 GHz.</w:t>
      </w:r>
    </w:p>
    <w:p w14:paraId="1BC3B282" w14:textId="77777777" w:rsidR="00C11308" w:rsidRPr="00263F6F" w:rsidRDefault="00C11308" w:rsidP="00C11308">
      <w:pPr>
        <w:pStyle w:val="Heading3"/>
        <w:rPr>
          <w:lang w:val="en-GB" w:eastAsia="ja-JP"/>
        </w:rPr>
      </w:pPr>
      <w:r w:rsidRPr="00263F6F">
        <w:rPr>
          <w:shd w:val="clear" w:color="auto" w:fill="FFFFFF"/>
          <w:lang w:val="en-GB" w:eastAsia="ja-JP"/>
        </w:rPr>
        <w:t>6.2.2</w:t>
      </w:r>
      <w:r w:rsidRPr="00263F6F">
        <w:rPr>
          <w:shd w:val="clear" w:color="auto" w:fill="FFFFFF"/>
          <w:lang w:val="en-GB" w:eastAsia="ja-JP"/>
        </w:rPr>
        <w:tab/>
      </w:r>
      <w:r w:rsidRPr="00263F6F">
        <w:rPr>
          <w:lang w:val="en-GB"/>
        </w:rPr>
        <w:t xml:space="preserve">Protection criterion for LMS applications </w:t>
      </w:r>
    </w:p>
    <w:p w14:paraId="3DA3EE48" w14:textId="77777777" w:rsidR="00C11308" w:rsidRPr="00263F6F" w:rsidRDefault="00C11308" w:rsidP="00C11308">
      <w:pPr>
        <w:rPr>
          <w:lang w:val="en-GB"/>
        </w:rPr>
      </w:pPr>
      <w:r w:rsidRPr="00263F6F">
        <w:rPr>
          <w:lang w:val="en-GB"/>
        </w:rPr>
        <w:t xml:space="preserve">Protection criterion of </w:t>
      </w:r>
      <w:r w:rsidRPr="00263F6F">
        <w:rPr>
          <w:i/>
          <w:iCs/>
          <w:lang w:val="en-GB"/>
        </w:rPr>
        <w:t>I</w:t>
      </w:r>
      <w:r w:rsidRPr="00263F6F">
        <w:rPr>
          <w:lang w:val="en-GB"/>
        </w:rPr>
        <w:t>/</w:t>
      </w:r>
      <w:r w:rsidRPr="00263F6F">
        <w:rPr>
          <w:i/>
          <w:iCs/>
          <w:lang w:val="en-GB"/>
        </w:rPr>
        <w:t xml:space="preserve">N </w:t>
      </w:r>
      <w:r w:rsidRPr="00263F6F">
        <w:rPr>
          <w:lang w:val="en-GB"/>
        </w:rPr>
        <w:t xml:space="preserve">values of −6 dB which are widely used for mobile service devices are applied for LMS applications operating in the frequency range 252-296 GHz. The specified tolerable </w:t>
      </w:r>
      <w:r w:rsidRPr="00263F6F">
        <w:rPr>
          <w:i/>
          <w:iCs/>
          <w:lang w:val="en-GB"/>
        </w:rPr>
        <w:t>I</w:t>
      </w:r>
      <w:r w:rsidRPr="00263F6F">
        <w:rPr>
          <w:lang w:val="en-GB"/>
        </w:rPr>
        <w:t>/</w:t>
      </w:r>
      <w:r w:rsidRPr="00263F6F">
        <w:rPr>
          <w:i/>
          <w:iCs/>
          <w:lang w:val="en-GB"/>
        </w:rPr>
        <w:t xml:space="preserve">N </w:t>
      </w:r>
      <w:r w:rsidRPr="00263F6F">
        <w:rPr>
          <w:lang w:val="en-GB"/>
        </w:rPr>
        <w:t>is referenced to the mobile receiver input and requires taking into account all sources of interference.</w:t>
      </w:r>
    </w:p>
    <w:p w14:paraId="54F91DD1" w14:textId="77777777" w:rsidR="00C11308" w:rsidRPr="00263F6F" w:rsidRDefault="00C11308" w:rsidP="00C11308">
      <w:pPr>
        <w:pStyle w:val="Heading3"/>
        <w:rPr>
          <w:lang w:val="en-GB" w:eastAsia="ja-JP"/>
        </w:rPr>
      </w:pPr>
      <w:r w:rsidRPr="00263F6F">
        <w:rPr>
          <w:shd w:val="clear" w:color="auto" w:fill="FFFFFF"/>
          <w:lang w:val="en-GB" w:eastAsia="ja-JP"/>
        </w:rPr>
        <w:lastRenderedPageBreak/>
        <w:t>6.2.3</w:t>
      </w:r>
      <w:r w:rsidRPr="00263F6F">
        <w:rPr>
          <w:shd w:val="clear" w:color="auto" w:fill="FFFFFF"/>
          <w:lang w:val="en-GB" w:eastAsia="ja-JP"/>
        </w:rPr>
        <w:tab/>
        <w:t>Adjacent channel leakage ratio</w:t>
      </w:r>
    </w:p>
    <w:p w14:paraId="73F9B6B6" w14:textId="1F2665DC" w:rsidR="00C11308" w:rsidRPr="00263F6F" w:rsidRDefault="00C11308" w:rsidP="00C11308">
      <w:pPr>
        <w:rPr>
          <w:lang w:val="en-GB" w:eastAsia="ja-JP"/>
        </w:rPr>
      </w:pPr>
      <w:r w:rsidRPr="00263F6F">
        <w:rPr>
          <w:lang w:val="en-GB" w:eastAsia="ja-JP"/>
        </w:rPr>
        <w:t xml:space="preserve">Reports ITU-R </w:t>
      </w:r>
      <w:hyperlink r:id="rId43" w:history="1">
        <w:r w:rsidR="00F57D9E" w:rsidRPr="008827D5">
          <w:rPr>
            <w:rStyle w:val="Hyperlink"/>
            <w:color w:val="auto"/>
            <w:u w:val="none"/>
            <w:lang w:val="en-GB" w:eastAsia="ja-JP"/>
          </w:rPr>
          <w:t>M.2417</w:t>
        </w:r>
      </w:hyperlink>
      <w:r w:rsidRPr="00263F6F">
        <w:rPr>
          <w:lang w:val="en-GB" w:eastAsia="ja-JP"/>
        </w:rPr>
        <w:t xml:space="preserve"> and ITU-R </w:t>
      </w:r>
      <w:hyperlink r:id="rId44" w:history="1">
        <w:r w:rsidR="00B72AB3" w:rsidRPr="00B72AB3">
          <w:rPr>
            <w:rStyle w:val="Hyperlink"/>
            <w:color w:val="auto"/>
            <w:u w:val="none"/>
            <w:lang w:val="en-GB" w:eastAsia="ja-JP"/>
          </w:rPr>
          <w:t>F.2416</w:t>
        </w:r>
      </w:hyperlink>
      <w:r w:rsidRPr="00263F6F">
        <w:rPr>
          <w:lang w:val="en-GB" w:eastAsia="ja-JP"/>
        </w:rPr>
        <w:t xml:space="preserve"> define the spectrum mask of LMS and FS applications, respectively. Figure 5 shows two channel arrangements defined by the above Reports. If the channel bandwidth of each system is 17.28 GHz, the adjacent channel leakage ratio is 29.2 dB and then the adjacent channel leakage power −9.2 dBm.</w:t>
      </w:r>
    </w:p>
    <w:p w14:paraId="4DE35183"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5</w:t>
      </w:r>
    </w:p>
    <w:p w14:paraId="24BAEFEC" w14:textId="1867D8D5" w:rsidR="00C11308" w:rsidRPr="00263F6F" w:rsidRDefault="00C11308" w:rsidP="00C11308">
      <w:pPr>
        <w:pStyle w:val="Figuretitle"/>
        <w:rPr>
          <w:lang w:val="en-GB" w:eastAsia="ja-JP"/>
        </w:rPr>
      </w:pPr>
      <w:r w:rsidRPr="00263F6F">
        <w:rPr>
          <w:lang w:val="en-GB" w:eastAsia="ja-JP"/>
        </w:rPr>
        <w:t xml:space="preserve">Two channels of spectrum mask defined in Report ITU-R </w:t>
      </w:r>
      <w:hyperlink r:id="rId45" w:history="1">
        <w:r w:rsidR="00F57D9E" w:rsidRPr="008827D5">
          <w:rPr>
            <w:rStyle w:val="Hyperlink"/>
            <w:color w:val="auto"/>
            <w:u w:val="none"/>
            <w:lang w:val="en-GB" w:eastAsia="ja-JP"/>
          </w:rPr>
          <w:t>M.2417</w:t>
        </w:r>
      </w:hyperlink>
    </w:p>
    <w:p w14:paraId="329308B4" w14:textId="1AA66B3E" w:rsidR="00C11308" w:rsidRPr="00263F6F" w:rsidRDefault="000914BC" w:rsidP="00C11308">
      <w:pPr>
        <w:pStyle w:val="Figure"/>
        <w:rPr>
          <w:lang w:val="en-GB" w:eastAsia="ja-JP"/>
        </w:rPr>
      </w:pPr>
      <w:r>
        <w:rPr>
          <w:noProof/>
          <w:lang w:val="en-GB" w:eastAsia="ja-JP"/>
        </w:rPr>
        <w:drawing>
          <wp:inline distT="0" distB="0" distL="0" distR="0" wp14:anchorId="7D6CDD72" wp14:editId="458C7873">
            <wp:extent cx="4934722" cy="2916942"/>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34722" cy="2916942"/>
                    </a:xfrm>
                    <a:prstGeom prst="rect">
                      <a:avLst/>
                    </a:prstGeom>
                  </pic:spPr>
                </pic:pic>
              </a:graphicData>
            </a:graphic>
          </wp:inline>
        </w:drawing>
      </w:r>
    </w:p>
    <w:p w14:paraId="4DC19E4F" w14:textId="77777777" w:rsidR="00C11308" w:rsidRPr="00263F6F" w:rsidRDefault="00C11308" w:rsidP="00C11308">
      <w:pPr>
        <w:pStyle w:val="Heading2"/>
        <w:rPr>
          <w:lang w:val="en-GB"/>
        </w:rPr>
      </w:pPr>
      <w:bookmarkStart w:id="29" w:name="_Toc122512305"/>
      <w:r w:rsidRPr="00263F6F">
        <w:rPr>
          <w:lang w:val="en-GB"/>
        </w:rPr>
        <w:t>6.3</w:t>
      </w:r>
      <w:r w:rsidRPr="00263F6F">
        <w:rPr>
          <w:lang w:val="en-GB"/>
        </w:rPr>
        <w:tab/>
        <w:t>Propagation characteristics</w:t>
      </w:r>
      <w:bookmarkEnd w:id="29"/>
    </w:p>
    <w:p w14:paraId="17E30A07" w14:textId="0718B263" w:rsidR="00C11308" w:rsidRPr="00263F6F" w:rsidRDefault="00C11308" w:rsidP="00C11308">
      <w:pPr>
        <w:rPr>
          <w:lang w:val="en-GB" w:eastAsia="ja-JP"/>
        </w:rPr>
      </w:pPr>
      <w:r w:rsidRPr="00263F6F">
        <w:rPr>
          <w:lang w:val="en-GB" w:eastAsia="ja-JP"/>
        </w:rPr>
        <w:t>In the frequency range 252-296 GHz</w:t>
      </w:r>
      <w:r w:rsidR="0000018C">
        <w:rPr>
          <w:lang w:val="en-GB" w:eastAsia="ja-JP"/>
        </w:rPr>
        <w:t>, the</w:t>
      </w:r>
      <w:r w:rsidRPr="00263F6F">
        <w:rPr>
          <w:lang w:val="en-GB" w:eastAsia="ja-JP"/>
        </w:rPr>
        <w:t xml:space="preserve"> following propagation mechanisms should be considered:</w:t>
      </w:r>
    </w:p>
    <w:p w14:paraId="7C047366" w14:textId="77777777" w:rsidR="00C11308" w:rsidRPr="00263F6F" w:rsidRDefault="00C11308" w:rsidP="00C11308">
      <w:pPr>
        <w:pStyle w:val="enumlev1"/>
        <w:rPr>
          <w:lang w:val="en-GB" w:eastAsia="ja-JP"/>
        </w:rPr>
      </w:pPr>
      <w:r w:rsidRPr="00263F6F">
        <w:rPr>
          <w:lang w:val="en-GB" w:eastAsia="ja-JP"/>
        </w:rPr>
        <w:t>–</w:t>
      </w:r>
      <w:r w:rsidRPr="00263F6F">
        <w:rPr>
          <w:lang w:val="en-GB" w:eastAsia="ja-JP"/>
        </w:rPr>
        <w:tab/>
        <w:t>free space basic transmission loss;</w:t>
      </w:r>
    </w:p>
    <w:p w14:paraId="51CC0D7C" w14:textId="77777777" w:rsidR="00C11308" w:rsidRPr="00263F6F" w:rsidRDefault="00C11308" w:rsidP="00C11308">
      <w:pPr>
        <w:pStyle w:val="enumlev1"/>
        <w:rPr>
          <w:lang w:val="en-GB" w:eastAsia="ja-JP"/>
        </w:rPr>
      </w:pPr>
      <w:r w:rsidRPr="00263F6F">
        <w:rPr>
          <w:lang w:val="en-GB" w:eastAsia="ja-JP"/>
        </w:rPr>
        <w:t>–</w:t>
      </w:r>
      <w:r w:rsidRPr="00263F6F">
        <w:rPr>
          <w:lang w:val="en-GB" w:eastAsia="ja-JP"/>
        </w:rPr>
        <w:tab/>
        <w:t>attenuation by atmospheric gases;</w:t>
      </w:r>
    </w:p>
    <w:p w14:paraId="1C2E2A96" w14:textId="77777777" w:rsidR="00C11308" w:rsidRPr="00263F6F" w:rsidRDefault="00C11308" w:rsidP="00C11308">
      <w:pPr>
        <w:pStyle w:val="enumlev1"/>
        <w:rPr>
          <w:lang w:val="en-GB" w:eastAsia="ja-JP"/>
        </w:rPr>
      </w:pPr>
      <w:r w:rsidRPr="00263F6F">
        <w:rPr>
          <w:lang w:val="en-GB" w:eastAsia="ja-JP"/>
        </w:rPr>
        <w:t>–</w:t>
      </w:r>
      <w:r w:rsidRPr="00263F6F">
        <w:rPr>
          <w:lang w:val="en-GB" w:eastAsia="ja-JP"/>
        </w:rPr>
        <w:tab/>
        <w:t>clutter loss where appropriate;</w:t>
      </w:r>
    </w:p>
    <w:p w14:paraId="32247C7B" w14:textId="77777777" w:rsidR="00C11308" w:rsidRPr="00263F6F" w:rsidRDefault="00C11308" w:rsidP="00C11308">
      <w:pPr>
        <w:pStyle w:val="enumlev1"/>
        <w:rPr>
          <w:lang w:val="en-GB" w:eastAsia="ja-JP"/>
        </w:rPr>
      </w:pPr>
      <w:r w:rsidRPr="00263F6F">
        <w:rPr>
          <w:lang w:val="en-GB" w:eastAsia="ja-JP"/>
        </w:rPr>
        <w:t>–</w:t>
      </w:r>
      <w:r w:rsidRPr="00263F6F">
        <w:rPr>
          <w:lang w:val="en-GB" w:eastAsia="ja-JP"/>
        </w:rPr>
        <w:tab/>
        <w:t>BEL where appropriate.</w:t>
      </w:r>
    </w:p>
    <w:p w14:paraId="3CC8592B" w14:textId="77777777" w:rsidR="00C11308" w:rsidRPr="00263F6F" w:rsidRDefault="00C11308" w:rsidP="00C11308">
      <w:pPr>
        <w:rPr>
          <w:lang w:val="en-GB" w:eastAsia="ja-JP"/>
        </w:rPr>
      </w:pPr>
      <w:r w:rsidRPr="00263F6F">
        <w:rPr>
          <w:lang w:val="en-GB" w:eastAsia="ja-JP"/>
        </w:rPr>
        <w:t>For the terrain-obstructed cases, due to the very high diffraction losses at these frequencies any contribution from non-light-of-sight interferers could be neglected.</w:t>
      </w:r>
    </w:p>
    <w:p w14:paraId="6D11A255" w14:textId="77777777" w:rsidR="00C11308" w:rsidRPr="00263F6F" w:rsidRDefault="00C11308" w:rsidP="00C11308">
      <w:pPr>
        <w:rPr>
          <w:lang w:val="en-GB" w:eastAsia="ja-JP"/>
        </w:rPr>
      </w:pPr>
      <w:r w:rsidRPr="00263F6F">
        <w:rPr>
          <w:lang w:val="en-GB" w:eastAsia="ja-JP"/>
        </w:rPr>
        <w:t xml:space="preserve">Paths with a dominant line-of-sight component are not likely to be subject to any clutter loss at these frequencies. </w:t>
      </w:r>
    </w:p>
    <w:p w14:paraId="588D7D4E" w14:textId="77777777" w:rsidR="00C11308" w:rsidRPr="00263F6F" w:rsidRDefault="00C11308" w:rsidP="00C11308">
      <w:pPr>
        <w:rPr>
          <w:lang w:val="en-GB" w:eastAsia="ja-JP"/>
        </w:rPr>
      </w:pPr>
      <w:r w:rsidRPr="00263F6F">
        <w:rPr>
          <w:lang w:val="en-GB" w:eastAsia="ja-JP"/>
        </w:rPr>
        <w:t>The extrapolated characteristics of BEL up to the frequency of 1 000 GHz are provided in Annex 1 for the future coexistence study between LMS and FS applications.</w:t>
      </w:r>
    </w:p>
    <w:p w14:paraId="470CFEDD" w14:textId="77777777" w:rsidR="00C11308" w:rsidRPr="00263F6F" w:rsidRDefault="00C11308" w:rsidP="00C11308">
      <w:pPr>
        <w:pStyle w:val="Heading2"/>
        <w:rPr>
          <w:lang w:val="en-GB"/>
        </w:rPr>
      </w:pPr>
      <w:bookmarkStart w:id="30" w:name="_Toc122512306"/>
      <w:r w:rsidRPr="00263F6F">
        <w:rPr>
          <w:lang w:val="en-GB"/>
        </w:rPr>
        <w:t>6.4</w:t>
      </w:r>
      <w:r w:rsidRPr="00263F6F">
        <w:rPr>
          <w:lang w:val="en-GB"/>
        </w:rPr>
        <w:tab/>
        <w:t>Simulation results</w:t>
      </w:r>
      <w:bookmarkEnd w:id="30"/>
    </w:p>
    <w:p w14:paraId="589A42D8" w14:textId="77777777" w:rsidR="00C11308" w:rsidRPr="00263F6F" w:rsidRDefault="00C11308" w:rsidP="00C11308">
      <w:pPr>
        <w:pStyle w:val="Heading3"/>
        <w:rPr>
          <w:shd w:val="clear" w:color="auto" w:fill="FFFFFF"/>
          <w:lang w:val="en-GB" w:eastAsia="ja-JP"/>
        </w:rPr>
      </w:pPr>
      <w:r w:rsidRPr="00263F6F">
        <w:rPr>
          <w:shd w:val="clear" w:color="auto" w:fill="FFFFFF"/>
          <w:lang w:val="en-GB" w:eastAsia="ja-JP"/>
        </w:rPr>
        <w:t>6.</w:t>
      </w:r>
      <w:r w:rsidRPr="00263F6F">
        <w:rPr>
          <w:lang w:val="en-GB"/>
        </w:rPr>
        <w:t>4</w:t>
      </w:r>
      <w:r w:rsidRPr="00263F6F">
        <w:rPr>
          <w:shd w:val="clear" w:color="auto" w:fill="FFFFFF"/>
          <w:lang w:val="en-GB" w:eastAsia="ja-JP"/>
        </w:rPr>
        <w:t>.1</w:t>
      </w:r>
      <w:r w:rsidRPr="00263F6F">
        <w:rPr>
          <w:shd w:val="clear" w:color="auto" w:fill="FFFFFF"/>
          <w:lang w:val="en-GB" w:eastAsia="ja-JP"/>
        </w:rPr>
        <w:tab/>
        <w:t>Methodology of single-entry interference calculations</w:t>
      </w:r>
    </w:p>
    <w:p w14:paraId="31033B27" w14:textId="77777777" w:rsidR="00C11308" w:rsidRPr="00263F6F" w:rsidRDefault="00C11308" w:rsidP="00C11308">
      <w:pPr>
        <w:keepNext/>
        <w:keepLines/>
        <w:rPr>
          <w:lang w:val="en-GB" w:eastAsia="ja-JP"/>
        </w:rPr>
      </w:pPr>
      <w:r w:rsidRPr="00263F6F">
        <w:rPr>
          <w:lang w:val="en-GB" w:eastAsia="ja-JP"/>
        </w:rPr>
        <w:t xml:space="preserve">The interference has been calculated using the following equations: </w:t>
      </w:r>
    </w:p>
    <w:p w14:paraId="6401031C" w14:textId="77777777" w:rsidR="00C11308" w:rsidRPr="00263F6F" w:rsidRDefault="00C11308" w:rsidP="00C11308">
      <w:pPr>
        <w:pStyle w:val="enumlev1"/>
        <w:rPr>
          <w:lang w:val="en-GB" w:eastAsia="ja-JP"/>
        </w:rPr>
      </w:pPr>
      <w:r w:rsidRPr="00263F6F">
        <w:rPr>
          <w:lang w:val="en-GB" w:eastAsia="ja-JP"/>
        </w:rPr>
        <w:t>(a)</w:t>
      </w:r>
      <w:r w:rsidRPr="00263F6F">
        <w:rPr>
          <w:lang w:val="en-GB" w:eastAsia="ja-JP"/>
        </w:rPr>
        <w:tab/>
        <w:t>For scenarios A1 and A2:</w:t>
      </w:r>
    </w:p>
    <w:p w14:paraId="15E12F01" w14:textId="1D40E5E5" w:rsidR="00C11308" w:rsidRPr="00263F6F" w:rsidRDefault="00C11308" w:rsidP="00C11308">
      <w:pPr>
        <w:pStyle w:val="Equation"/>
        <w:rPr>
          <w:lang w:val="en-GB" w:eastAsia="ja-JP"/>
        </w:rPr>
      </w:pPr>
      <w:r w:rsidRPr="00263F6F">
        <w:rPr>
          <w:lang w:val="en-GB" w:eastAsia="ja-JP"/>
        </w:rPr>
        <w:tab/>
      </w:r>
      <w:r w:rsidRPr="00263F6F">
        <w:rPr>
          <w:lang w:val="en-GB" w:eastAsia="ja-JP"/>
        </w:rPr>
        <w:tab/>
      </w:r>
      <m:oMath>
        <m:r>
          <w:rPr>
            <w:rFonts w:ascii="Cambria Math" w:eastAsia="MS PGothic" w:hAnsi="Cambria Math" w:cs="MS PGothic"/>
            <w:lang w:val="en-GB"/>
          </w:rPr>
          <m:t>I</m:t>
        </m:r>
        <m:r>
          <m:rPr>
            <m:sty m:val="p"/>
          </m:rPr>
          <w:rPr>
            <w:rFonts w:ascii="Cambria Math" w:eastAsia="MS PGothic" w:hAnsi="Cambria Math" w:cs="MS PGothic"/>
            <w:lang w:val="en-GB"/>
          </w:rPr>
          <m:t>/</m:t>
        </m:r>
        <m:r>
          <w:rPr>
            <w:rFonts w:ascii="Cambria Math" w:eastAsia="MS PGothic" w:hAnsi="Cambria Math" w:cs="MS PGothic"/>
            <w:lang w:val="en-GB"/>
          </w:rPr>
          <m:t>N</m:t>
        </m:r>
        <m:r>
          <m:rPr>
            <m:sty m:val="p"/>
          </m:rPr>
          <w:rPr>
            <w:rFonts w:ascii="Cambria Math" w:hAnsi="Cambria Math"/>
            <w:lang w:val="en-GB"/>
          </w:rPr>
          <m:t>=</m:t>
        </m:r>
        <m:sSub>
          <m:sSubPr>
            <m:ctrlPr>
              <w:rPr>
                <w:rFonts w:ascii="Cambria Math" w:eastAsia="MS PGothic" w:hAnsi="Cambria Math" w:cs="MS PGothic"/>
                <w:i/>
                <w:lang w:val="en-GB"/>
              </w:rPr>
            </m:ctrlPr>
          </m:sSubPr>
          <m:e>
            <m:r>
              <w:rPr>
                <w:rFonts w:ascii="Cambria Math" w:hAnsi="Cambria Math"/>
                <w:lang w:val="en-GB"/>
              </w:rPr>
              <m:t>P</m:t>
            </m:r>
          </m:e>
          <m:sub>
            <m:r>
              <w:rPr>
                <w:rFonts w:ascii="Cambria Math" w:hAnsi="Cambria Math"/>
                <w:lang w:val="en-GB"/>
              </w:rPr>
              <m:t>LMS</m:t>
            </m:r>
          </m:sub>
        </m:sSub>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BW</m:t>
            </m:r>
          </m:e>
          <m:sub>
            <m:r>
              <w:rPr>
                <w:rFonts w:ascii="Cambria Math" w:hAnsi="Cambria Math"/>
                <w:lang w:val="en-GB"/>
              </w:rPr>
              <m:t>factor</m:t>
            </m:r>
          </m:sub>
        </m:sSub>
        <m:r>
          <m:rPr>
            <m:sty m:val="p"/>
          </m:rPr>
          <w:rPr>
            <w:rFonts w:ascii="Cambria Math" w:hAnsi="Cambria Math"/>
            <w:lang w:val="en-GB"/>
          </w:rPr>
          <m:t>+</m:t>
        </m:r>
        <m:sSub>
          <m:sSubPr>
            <m:ctrlPr>
              <w:rPr>
                <w:rFonts w:ascii="Cambria Math" w:eastAsia="MS PGothic" w:hAnsi="Cambria Math" w:cs="MS PGothic"/>
                <w:i/>
                <w:lang w:val="en-GB"/>
              </w:rPr>
            </m:ctrlPr>
          </m:sSubPr>
          <m:e>
            <m:r>
              <w:rPr>
                <w:rFonts w:ascii="Cambria Math" w:hAnsi="Cambria Math"/>
                <w:lang w:val="en-GB"/>
              </w:rPr>
              <m:t>G</m:t>
            </m:r>
          </m:e>
          <m:sub>
            <m:r>
              <w:rPr>
                <w:rFonts w:ascii="Cambria Math" w:hAnsi="Cambria Math"/>
                <w:lang w:val="en-GB"/>
              </w:rPr>
              <m:t>LMS→FS</m:t>
            </m:r>
          </m:sub>
        </m:sSub>
        <m:r>
          <m:rPr>
            <m:sty m:val="p"/>
          </m:rPr>
          <w:rPr>
            <w:rFonts w:ascii="Cambria Math" w:hAnsi="Cambria Math"/>
            <w:lang w:val="en-GB"/>
          </w:rPr>
          <m:t>+</m:t>
        </m:r>
        <m:sSub>
          <m:sSubPr>
            <m:ctrlPr>
              <w:rPr>
                <w:rFonts w:ascii="Cambria Math" w:eastAsia="MS PGothic" w:hAnsi="Cambria Math" w:cs="MS PGothic"/>
                <w:i/>
                <w:lang w:val="en-GB"/>
              </w:rPr>
            </m:ctrlPr>
          </m:sSubPr>
          <m:e>
            <m:r>
              <w:rPr>
                <w:rFonts w:ascii="Cambria Math" w:hAnsi="Cambria Math"/>
                <w:lang w:val="en-GB"/>
              </w:rPr>
              <m:t>G</m:t>
            </m:r>
          </m:e>
          <m:sub>
            <m:r>
              <w:rPr>
                <w:rFonts w:ascii="Cambria Math" w:hAnsi="Cambria Math"/>
                <w:lang w:val="en-GB"/>
              </w:rPr>
              <m:t>FS→LMS</m:t>
            </m:r>
          </m:sub>
        </m:sSub>
        <m:r>
          <m:rPr>
            <m:sty m:val="p"/>
          </m:rPr>
          <w:rPr>
            <w:rFonts w:ascii="Cambria Math" w:hAnsi="Cambria Math"/>
            <w:lang w:val="en-GB"/>
          </w:rPr>
          <m:t>-</m:t>
        </m:r>
        <m:r>
          <w:rPr>
            <w:rFonts w:ascii="Cambria Math" w:hAnsi="Cambria Math"/>
            <w:lang w:val="en-GB"/>
          </w:rPr>
          <m:t>PL</m:t>
        </m:r>
        <m:d>
          <m:dPr>
            <m:ctrlPr>
              <w:rPr>
                <w:rFonts w:ascii="Cambria Math" w:eastAsia="MS PGothic" w:hAnsi="Cambria Math" w:cs="MS PGothic"/>
                <w:lang w:val="en-GB"/>
              </w:rPr>
            </m:ctrlPr>
          </m:dPr>
          <m:e>
            <m:sSub>
              <m:sSubPr>
                <m:ctrlPr>
                  <w:rPr>
                    <w:rFonts w:ascii="Cambria Math" w:eastAsia="MS PGothic" w:hAnsi="Cambria Math" w:cs="MS PGothic"/>
                    <w:lang w:val="en-GB"/>
                  </w:rPr>
                </m:ctrlPr>
              </m:sSubPr>
              <m:e>
                <m:r>
                  <w:rPr>
                    <w:rFonts w:ascii="Cambria Math" w:hAnsi="Cambria Math"/>
                    <w:lang w:val="en-GB"/>
                  </w:rPr>
                  <m:t>d</m:t>
                </m:r>
              </m:e>
              <m:sub>
                <m:r>
                  <m:rPr>
                    <m:sty m:val="p"/>
                  </m:rPr>
                  <w:rPr>
                    <w:rFonts w:ascii="Cambria Math" w:hAnsi="Cambria Math"/>
                    <w:lang w:val="en-GB"/>
                  </w:rPr>
                  <m:t>0</m:t>
                </m:r>
              </m:sub>
            </m:sSub>
          </m:e>
        </m:d>
        <m:r>
          <m:rPr>
            <m:sty m:val="p"/>
          </m:rPr>
          <w:rPr>
            <w:rFonts w:ascii="Cambria Math" w:eastAsia="SimSun" w:hAnsi="Cambria Math"/>
            <w:lang w:val="en-GB"/>
          </w:rPr>
          <m:t>-</m:t>
        </m:r>
        <m:sSub>
          <m:sSubPr>
            <m:ctrlPr>
              <w:rPr>
                <w:rFonts w:ascii="Cambria Math" w:eastAsia="MS PGothic" w:hAnsi="Cambria Math" w:cs="MS PGothic"/>
                <w:lang w:val="en-GB"/>
              </w:rPr>
            </m:ctrlPr>
          </m:sSubPr>
          <m:e>
            <m:r>
              <w:rPr>
                <w:rFonts w:ascii="Cambria Math" w:eastAsia="MS PGothic" w:hAnsi="Cambria Math" w:cs="MS PGothic"/>
                <w:lang w:val="en-GB"/>
              </w:rPr>
              <m:t>N</m:t>
            </m:r>
          </m:e>
          <m:sub>
            <m:r>
              <m:rPr>
                <m:sty m:val="p"/>
              </m:rPr>
              <w:rPr>
                <w:rFonts w:ascii="Cambria Math" w:hAnsi="Cambria Math"/>
                <w:lang w:val="en-GB"/>
              </w:rPr>
              <m:t>FS</m:t>
            </m:r>
          </m:sub>
        </m:sSub>
      </m:oMath>
    </w:p>
    <w:p w14:paraId="7AD4E711" w14:textId="77777777" w:rsidR="00C11308" w:rsidRPr="00263F6F" w:rsidRDefault="00C11308" w:rsidP="00C11308">
      <w:pPr>
        <w:pStyle w:val="enumlev1"/>
        <w:rPr>
          <w:lang w:val="en-GB" w:eastAsia="ja-JP"/>
        </w:rPr>
      </w:pPr>
      <w:r w:rsidRPr="00263F6F">
        <w:rPr>
          <w:lang w:val="en-GB" w:eastAsia="ja-JP"/>
        </w:rPr>
        <w:t>(b)</w:t>
      </w:r>
      <w:r w:rsidRPr="00263F6F">
        <w:rPr>
          <w:lang w:val="en-GB" w:eastAsia="ja-JP"/>
        </w:rPr>
        <w:tab/>
        <w:t>For scenarios B1 and B2:</w:t>
      </w:r>
    </w:p>
    <w:p w14:paraId="54B16FBC" w14:textId="6AFDD5AB" w:rsidR="00C11308" w:rsidRPr="00263F6F" w:rsidRDefault="00C11308" w:rsidP="00C11308">
      <w:pPr>
        <w:pStyle w:val="Equation"/>
        <w:rPr>
          <w:lang w:val="en-GB" w:eastAsia="ja-JP"/>
        </w:rPr>
      </w:pPr>
      <w:r w:rsidRPr="00263F6F">
        <w:rPr>
          <w:lang w:val="en-GB" w:eastAsia="ja-JP"/>
        </w:rPr>
        <w:lastRenderedPageBreak/>
        <w:tab/>
      </w:r>
      <w:r w:rsidRPr="00263F6F">
        <w:rPr>
          <w:lang w:val="en-GB" w:eastAsia="ja-JP"/>
        </w:rPr>
        <w:tab/>
      </w:r>
      <m:oMath>
        <m:r>
          <w:rPr>
            <w:rFonts w:ascii="Cambria Math" w:eastAsia="MS PGothic" w:hAnsi="Cambria Math" w:cs="MS PGothic"/>
            <w:lang w:val="en-GB"/>
          </w:rPr>
          <m:t>I</m:t>
        </m:r>
        <m:r>
          <m:rPr>
            <m:sty m:val="p"/>
          </m:rPr>
          <w:rPr>
            <w:rFonts w:ascii="Cambria Math" w:eastAsia="MS PGothic" w:hAnsi="Cambria Math" w:cs="MS PGothic"/>
            <w:lang w:val="en-GB"/>
          </w:rPr>
          <m:t>/</m:t>
        </m:r>
        <m:r>
          <w:rPr>
            <w:rFonts w:ascii="Cambria Math" w:eastAsia="MS PGothic" w:hAnsi="Cambria Math" w:cs="MS PGothic"/>
            <w:lang w:val="en-GB"/>
          </w:rPr>
          <m:t>N</m:t>
        </m:r>
        <m:r>
          <m:rPr>
            <m:sty m:val="p"/>
          </m:rPr>
          <w:rPr>
            <w:rFonts w:ascii="Cambria Math" w:hAnsi="Cambria Math"/>
            <w:lang w:val="en-GB"/>
          </w:rPr>
          <m:t>=</m:t>
        </m:r>
        <m:sSub>
          <m:sSubPr>
            <m:ctrlPr>
              <w:rPr>
                <w:rFonts w:ascii="Cambria Math" w:eastAsia="MS PGothic" w:hAnsi="Cambria Math" w:cs="MS PGothic"/>
                <w:lang w:val="en-GB"/>
              </w:rPr>
            </m:ctrlPr>
          </m:sSubPr>
          <m:e>
            <m:r>
              <w:rPr>
                <w:rFonts w:ascii="Cambria Math" w:hAnsi="Cambria Math"/>
                <w:lang w:val="en-GB"/>
              </w:rPr>
              <m:t>P</m:t>
            </m:r>
          </m:e>
          <m:sub>
            <m:r>
              <w:rPr>
                <w:rFonts w:ascii="Cambria Math" w:hAnsi="Cambria Math"/>
                <w:lang w:val="en-GB"/>
              </w:rPr>
              <m:t>FS</m:t>
            </m:r>
          </m:sub>
        </m:sSub>
        <m:r>
          <m:rPr>
            <m:sty m:val="p"/>
          </m:rPr>
          <w:rPr>
            <w:rFonts w:ascii="Cambria Math" w:hAnsi="Cambria Math"/>
            <w:lang w:val="en-GB"/>
          </w:rPr>
          <m:t>+</m:t>
        </m:r>
        <m:sSub>
          <m:sSubPr>
            <m:ctrlPr>
              <w:rPr>
                <w:rFonts w:ascii="Cambria Math" w:hAnsi="Cambria Math"/>
                <w:i/>
                <w:iCs/>
                <w:lang w:val="en-GB"/>
              </w:rPr>
            </m:ctrlPr>
          </m:sSubPr>
          <m:e>
            <m:r>
              <w:rPr>
                <w:rFonts w:ascii="Cambria Math" w:hAnsi="Cambria Math"/>
                <w:lang w:val="en-GB"/>
              </w:rPr>
              <m:t>BW</m:t>
            </m:r>
          </m:e>
          <m:sub>
            <m:r>
              <w:rPr>
                <w:rFonts w:ascii="Cambria Math" w:hAnsi="Cambria Math"/>
                <w:lang w:val="en-GB"/>
              </w:rPr>
              <m:t>factor</m:t>
            </m:r>
          </m:sub>
        </m:sSub>
        <m:r>
          <m:rPr>
            <m:sty m:val="p"/>
          </m:rPr>
          <w:rPr>
            <w:rFonts w:ascii="Cambria Math" w:hAnsi="Cambria Math"/>
            <w:lang w:val="en-GB"/>
          </w:rPr>
          <m:t>+</m:t>
        </m:r>
        <m:sSub>
          <m:sSubPr>
            <m:ctrlPr>
              <w:rPr>
                <w:rFonts w:ascii="Cambria Math" w:eastAsia="MS PGothic" w:hAnsi="Cambria Math" w:cs="MS PGothic"/>
                <w:lang w:val="en-GB"/>
              </w:rPr>
            </m:ctrlPr>
          </m:sSubPr>
          <m:e>
            <m:r>
              <w:rPr>
                <w:rFonts w:ascii="Cambria Math" w:hAnsi="Cambria Math"/>
                <w:lang w:val="en-GB"/>
              </w:rPr>
              <m:t>G</m:t>
            </m:r>
          </m:e>
          <m:sub>
            <m:r>
              <w:rPr>
                <w:rFonts w:ascii="Cambria Math" w:hAnsi="Cambria Math"/>
                <w:lang w:val="en-GB"/>
              </w:rPr>
              <m:t>FS→LMS</m:t>
            </m:r>
          </m:sub>
        </m:sSub>
        <m:r>
          <m:rPr>
            <m:sty m:val="p"/>
          </m:rPr>
          <w:rPr>
            <w:rFonts w:ascii="Cambria Math" w:hAnsi="Cambria Math"/>
            <w:lang w:val="en-GB"/>
          </w:rPr>
          <m:t>+</m:t>
        </m:r>
        <m:sSub>
          <m:sSubPr>
            <m:ctrlPr>
              <w:rPr>
                <w:rFonts w:ascii="Cambria Math" w:eastAsia="MS PGothic" w:hAnsi="Cambria Math" w:cs="MS PGothic"/>
                <w:lang w:val="en-GB"/>
              </w:rPr>
            </m:ctrlPr>
          </m:sSubPr>
          <m:e>
            <m:r>
              <w:rPr>
                <w:rFonts w:ascii="Cambria Math" w:hAnsi="Cambria Math"/>
                <w:lang w:val="en-GB"/>
              </w:rPr>
              <m:t>G</m:t>
            </m:r>
          </m:e>
          <m:sub>
            <m:r>
              <w:rPr>
                <w:rFonts w:ascii="Cambria Math" w:hAnsi="Cambria Math"/>
                <w:lang w:val="en-GB"/>
              </w:rPr>
              <m:t>LMS→FS</m:t>
            </m:r>
          </m:sub>
        </m:sSub>
        <m:r>
          <m:rPr>
            <m:sty m:val="p"/>
          </m:rPr>
          <w:rPr>
            <w:rFonts w:ascii="Cambria Math" w:hAnsi="Cambria Math"/>
            <w:lang w:val="en-GB"/>
          </w:rPr>
          <m:t>-</m:t>
        </m:r>
        <m:r>
          <w:rPr>
            <w:rFonts w:ascii="Cambria Math" w:hAnsi="Cambria Math"/>
            <w:lang w:val="en-GB"/>
          </w:rPr>
          <m:t>PL</m:t>
        </m:r>
        <m:d>
          <m:dPr>
            <m:ctrlPr>
              <w:rPr>
                <w:rFonts w:ascii="Cambria Math" w:eastAsia="MS PGothic" w:hAnsi="Cambria Math" w:cs="MS PGothic"/>
                <w:lang w:val="en-GB"/>
              </w:rPr>
            </m:ctrlPr>
          </m:dPr>
          <m:e>
            <m:sSub>
              <m:sSubPr>
                <m:ctrlPr>
                  <w:rPr>
                    <w:rFonts w:ascii="Cambria Math" w:eastAsia="MS PGothic" w:hAnsi="Cambria Math" w:cs="MS PGothic"/>
                    <w:lang w:val="en-GB"/>
                  </w:rPr>
                </m:ctrlPr>
              </m:sSubPr>
              <m:e>
                <m:r>
                  <w:rPr>
                    <w:rFonts w:ascii="Cambria Math" w:hAnsi="Cambria Math"/>
                    <w:lang w:val="en-GB"/>
                  </w:rPr>
                  <m:t>d</m:t>
                </m:r>
              </m:e>
              <m:sub>
                <m:r>
                  <m:rPr>
                    <m:sty m:val="p"/>
                  </m:rPr>
                  <w:rPr>
                    <w:rFonts w:ascii="Cambria Math" w:hAnsi="Cambria Math"/>
                    <w:lang w:val="en-GB"/>
                  </w:rPr>
                  <m:t>0</m:t>
                </m:r>
              </m:sub>
            </m:sSub>
          </m:e>
        </m:d>
        <m:r>
          <m:rPr>
            <m:sty m:val="p"/>
          </m:rPr>
          <w:rPr>
            <w:rFonts w:ascii="Cambria Math" w:eastAsia="SimSun" w:hAnsi="Cambria Math"/>
            <w:lang w:val="en-GB"/>
          </w:rPr>
          <m:t>-</m:t>
        </m:r>
        <m:sSub>
          <m:sSubPr>
            <m:ctrlPr>
              <w:rPr>
                <w:rFonts w:ascii="Cambria Math" w:eastAsia="MS PGothic" w:hAnsi="Cambria Math" w:cs="MS PGothic"/>
                <w:lang w:val="en-GB"/>
              </w:rPr>
            </m:ctrlPr>
          </m:sSubPr>
          <m:e>
            <m:r>
              <w:rPr>
                <w:rFonts w:ascii="Cambria Math" w:hAnsi="Cambria Math"/>
                <w:lang w:val="en-GB"/>
              </w:rPr>
              <m:t>N</m:t>
            </m:r>
          </m:e>
          <m:sub>
            <m:r>
              <w:rPr>
                <w:rFonts w:ascii="Cambria Math" w:hAnsi="Cambria Math"/>
                <w:lang w:val="en-GB"/>
              </w:rPr>
              <m:t>LMS</m:t>
            </m:r>
          </m:sub>
        </m:sSub>
      </m:oMath>
    </w:p>
    <w:p w14:paraId="3618632D" w14:textId="77777777" w:rsidR="00C11308" w:rsidRPr="00263F6F" w:rsidRDefault="00C11308" w:rsidP="00C11308">
      <w:pPr>
        <w:rPr>
          <w:rFonts w:cs="Arial"/>
          <w:lang w:val="en-GB"/>
        </w:rPr>
      </w:pPr>
      <w:r w:rsidRPr="00263F6F">
        <w:rPr>
          <w:rFonts w:cs="Arial"/>
          <w:lang w:val="en-GB"/>
        </w:rPr>
        <w:t>where:</w:t>
      </w:r>
    </w:p>
    <w:p w14:paraId="60A1940E" w14:textId="1A0E02F6" w:rsidR="00C11308" w:rsidRPr="00263F6F" w:rsidRDefault="00C11308" w:rsidP="00C11308">
      <w:pPr>
        <w:pStyle w:val="Equationlegend"/>
        <w:rPr>
          <w:lang w:val="en-GB"/>
        </w:rPr>
      </w:pPr>
      <w:r w:rsidRPr="00263F6F">
        <w:rPr>
          <w:i/>
          <w:lang w:val="en-GB"/>
        </w:rPr>
        <w:tab/>
        <w:t>P</w:t>
      </w:r>
      <w:r w:rsidRPr="00DB4409">
        <w:rPr>
          <w:i/>
          <w:iCs/>
          <w:vertAlign w:val="subscript"/>
          <w:lang w:val="en-GB"/>
        </w:rPr>
        <w:t>LMS</w:t>
      </w:r>
      <w:r w:rsidR="00372927">
        <w:rPr>
          <w:lang w:val="en-GB"/>
        </w:rPr>
        <w:t xml:space="preserve"> </w:t>
      </w:r>
      <w:r w:rsidRPr="00263F6F">
        <w:rPr>
          <w:lang w:val="en-GB"/>
        </w:rPr>
        <w:t xml:space="preserve">: </w:t>
      </w:r>
      <w:r w:rsidRPr="00263F6F">
        <w:rPr>
          <w:lang w:val="en-GB"/>
        </w:rPr>
        <w:tab/>
        <w:t>power of LMS transmitter in the bandwidth of FS receiver</w:t>
      </w:r>
    </w:p>
    <w:p w14:paraId="31B9CDB4" w14:textId="6F79C618" w:rsidR="00C11308" w:rsidRPr="00263F6F" w:rsidRDefault="00C11308" w:rsidP="00C11308">
      <w:pPr>
        <w:pStyle w:val="Equationlegend"/>
        <w:rPr>
          <w:lang w:val="en-GB"/>
        </w:rPr>
      </w:pPr>
      <w:r w:rsidRPr="00263F6F">
        <w:rPr>
          <w:i/>
          <w:lang w:val="en-GB"/>
        </w:rPr>
        <w:tab/>
        <w:t>P</w:t>
      </w:r>
      <w:r w:rsidRPr="002E415D">
        <w:rPr>
          <w:i/>
          <w:iCs/>
          <w:vertAlign w:val="subscript"/>
          <w:lang w:val="en-GB"/>
        </w:rPr>
        <w:t>FS</w:t>
      </w:r>
      <w:r w:rsidR="00372927">
        <w:rPr>
          <w:lang w:val="en-GB"/>
        </w:rPr>
        <w:t xml:space="preserve"> </w:t>
      </w:r>
      <w:r w:rsidRPr="00263F6F">
        <w:rPr>
          <w:lang w:val="en-GB"/>
        </w:rPr>
        <w:t xml:space="preserve">: </w:t>
      </w:r>
      <w:r w:rsidRPr="00263F6F">
        <w:rPr>
          <w:lang w:val="en-GB"/>
        </w:rPr>
        <w:tab/>
        <w:t>power of FS transmitter in the bandwidth of LMS receiver</w:t>
      </w:r>
    </w:p>
    <w:p w14:paraId="40154C74" w14:textId="4AC43C00" w:rsidR="00C11308" w:rsidRPr="00263F6F" w:rsidRDefault="00C11308" w:rsidP="00C11308">
      <w:pPr>
        <w:pStyle w:val="Equationlegend"/>
        <w:rPr>
          <w:lang w:val="en-GB"/>
        </w:rPr>
      </w:pPr>
      <w:r w:rsidRPr="00263F6F">
        <w:rPr>
          <w:i/>
          <w:lang w:val="en-GB"/>
        </w:rPr>
        <w:tab/>
      </w:r>
      <w:bookmarkStart w:id="31" w:name="_Hlk119881380"/>
      <w:r w:rsidRPr="002E415D">
        <w:rPr>
          <w:i/>
          <w:lang w:val="en-GB"/>
        </w:rPr>
        <w:t>G</w:t>
      </w:r>
      <w:r w:rsidRPr="002E415D">
        <w:rPr>
          <w:i/>
          <w:vertAlign w:val="subscript"/>
          <w:lang w:val="en-GB"/>
        </w:rPr>
        <w:t>LMS→FS</w:t>
      </w:r>
      <w:r w:rsidR="00372927">
        <w:rPr>
          <w:lang w:val="en-GB"/>
        </w:rPr>
        <w:t xml:space="preserve"> </w:t>
      </w:r>
      <w:r w:rsidRPr="00263F6F">
        <w:rPr>
          <w:lang w:val="en-GB"/>
        </w:rPr>
        <w:t xml:space="preserve">: </w:t>
      </w:r>
      <w:r w:rsidRPr="00263F6F">
        <w:rPr>
          <w:lang w:val="en-GB"/>
        </w:rPr>
        <w:tab/>
        <w:t>gain of LMS transmitter antenna in the direction of FS receiver</w:t>
      </w:r>
    </w:p>
    <w:p w14:paraId="0C22E4B9" w14:textId="5355C248" w:rsidR="00C11308" w:rsidRPr="00263F6F" w:rsidRDefault="00C11308" w:rsidP="00C11308">
      <w:pPr>
        <w:pStyle w:val="Equationlegend"/>
        <w:rPr>
          <w:lang w:val="en-GB"/>
        </w:rPr>
      </w:pPr>
      <w:r w:rsidRPr="00263F6F">
        <w:rPr>
          <w:i/>
          <w:lang w:val="en-GB"/>
        </w:rPr>
        <w:tab/>
      </w:r>
      <w:r w:rsidRPr="002E415D">
        <w:rPr>
          <w:i/>
          <w:lang w:val="en-GB"/>
        </w:rPr>
        <w:t>G</w:t>
      </w:r>
      <w:r w:rsidRPr="002E415D">
        <w:rPr>
          <w:i/>
          <w:vertAlign w:val="subscript"/>
          <w:lang w:val="en-GB"/>
        </w:rPr>
        <w:t>FS→LMS</w:t>
      </w:r>
      <w:bookmarkEnd w:id="31"/>
      <w:r w:rsidR="00046DB2">
        <w:rPr>
          <w:lang w:val="en-GB"/>
        </w:rPr>
        <w:t xml:space="preserve"> </w:t>
      </w:r>
      <w:r w:rsidRPr="00263F6F">
        <w:rPr>
          <w:lang w:val="en-GB"/>
        </w:rPr>
        <w:t xml:space="preserve">: </w:t>
      </w:r>
      <w:r w:rsidRPr="00263F6F">
        <w:rPr>
          <w:lang w:val="en-GB"/>
        </w:rPr>
        <w:tab/>
        <w:t>gain of FS receiver antenna in the direction of LMS transmitter</w:t>
      </w:r>
    </w:p>
    <w:p w14:paraId="31AD33DF" w14:textId="622526FC" w:rsidR="00C11308" w:rsidRPr="00263F6F" w:rsidRDefault="00C11308" w:rsidP="00C11308">
      <w:pPr>
        <w:pStyle w:val="Equationlegend"/>
        <w:rPr>
          <w:lang w:val="en-GB"/>
        </w:rPr>
      </w:pPr>
      <w:r w:rsidRPr="00263F6F">
        <w:rPr>
          <w:i/>
          <w:lang w:val="en-GB"/>
        </w:rPr>
        <w:tab/>
      </w:r>
      <w:r w:rsidRPr="002E415D">
        <w:rPr>
          <w:i/>
          <w:lang w:val="en-GB"/>
        </w:rPr>
        <w:t>G</w:t>
      </w:r>
      <w:r w:rsidRPr="002E415D">
        <w:rPr>
          <w:i/>
          <w:vertAlign w:val="subscript"/>
          <w:lang w:val="en-GB"/>
        </w:rPr>
        <w:t>FS→LMS</w:t>
      </w:r>
      <w:r w:rsidR="00046DB2">
        <w:rPr>
          <w:lang w:val="en-GB"/>
        </w:rPr>
        <w:t xml:space="preserve"> </w:t>
      </w:r>
      <w:r w:rsidRPr="00263F6F">
        <w:rPr>
          <w:lang w:val="en-GB"/>
        </w:rPr>
        <w:t xml:space="preserve">: </w:t>
      </w:r>
      <w:r w:rsidRPr="00263F6F">
        <w:rPr>
          <w:lang w:val="en-GB"/>
        </w:rPr>
        <w:tab/>
        <w:t>gain of FS transmitter antenna in the direction of LMS receiver</w:t>
      </w:r>
    </w:p>
    <w:p w14:paraId="5CABC15C" w14:textId="09B2E219" w:rsidR="00C11308" w:rsidRPr="00263F6F" w:rsidRDefault="00C11308" w:rsidP="00C11308">
      <w:pPr>
        <w:pStyle w:val="Equationlegend"/>
        <w:rPr>
          <w:lang w:val="en-GB"/>
        </w:rPr>
      </w:pPr>
      <w:r w:rsidRPr="00263F6F">
        <w:rPr>
          <w:i/>
          <w:lang w:val="en-GB"/>
        </w:rPr>
        <w:tab/>
      </w:r>
      <w:r w:rsidRPr="002E415D">
        <w:rPr>
          <w:i/>
          <w:lang w:val="en-GB"/>
        </w:rPr>
        <w:t>G</w:t>
      </w:r>
      <w:r w:rsidRPr="002E415D">
        <w:rPr>
          <w:i/>
          <w:vertAlign w:val="subscript"/>
          <w:lang w:val="en-GB"/>
        </w:rPr>
        <w:t>LMS→FS</w:t>
      </w:r>
      <w:r w:rsidR="00046DB2">
        <w:rPr>
          <w:lang w:val="en-GB"/>
        </w:rPr>
        <w:t xml:space="preserve"> </w:t>
      </w:r>
      <w:r w:rsidRPr="00263F6F">
        <w:rPr>
          <w:lang w:val="en-GB"/>
        </w:rPr>
        <w:t xml:space="preserve">: </w:t>
      </w:r>
      <w:r w:rsidRPr="00263F6F">
        <w:rPr>
          <w:lang w:val="en-GB"/>
        </w:rPr>
        <w:tab/>
        <w:t>gain of LMS receiver antenna in the direction of FS transmitter</w:t>
      </w:r>
    </w:p>
    <w:p w14:paraId="4425CDF9" w14:textId="688D94E6" w:rsidR="00C11308" w:rsidRPr="00263F6F" w:rsidRDefault="00C11308" w:rsidP="00C11308">
      <w:pPr>
        <w:pStyle w:val="Equationlegend"/>
        <w:rPr>
          <w:lang w:val="en-GB"/>
        </w:rPr>
      </w:pPr>
      <w:r w:rsidRPr="00263F6F">
        <w:rPr>
          <w:i/>
          <w:iCs/>
          <w:lang w:val="en-GB" w:eastAsia="ja-JP"/>
        </w:rPr>
        <w:tab/>
      </w:r>
      <w:r w:rsidRPr="00263F6F">
        <w:rPr>
          <w:i/>
          <w:iCs/>
          <w:lang w:val="en-GB"/>
        </w:rPr>
        <w:t>PL</w:t>
      </w:r>
      <w:r w:rsidR="00046DB2">
        <w:rPr>
          <w:lang w:val="en-GB"/>
        </w:rPr>
        <w:t xml:space="preserve"> </w:t>
      </w:r>
      <w:r w:rsidRPr="00263F6F">
        <w:rPr>
          <w:lang w:val="en-GB"/>
        </w:rPr>
        <w:t>:</w:t>
      </w:r>
      <w:r w:rsidRPr="00263F6F">
        <w:rPr>
          <w:i/>
          <w:iCs/>
          <w:lang w:val="en-GB"/>
        </w:rPr>
        <w:tab/>
      </w:r>
      <w:r w:rsidRPr="00263F6F">
        <w:rPr>
          <w:lang w:val="en-GB"/>
        </w:rPr>
        <w:t xml:space="preserve">basic transmission loss (see </w:t>
      </w:r>
      <w:r w:rsidR="002359FB">
        <w:rPr>
          <w:lang w:val="en-GB"/>
        </w:rPr>
        <w:t>§</w:t>
      </w:r>
      <w:r w:rsidRPr="00263F6F">
        <w:rPr>
          <w:lang w:val="en-GB"/>
        </w:rPr>
        <w:t xml:space="preserve"> 6.3)</w:t>
      </w:r>
    </w:p>
    <w:p w14:paraId="795BA458" w14:textId="104957AB" w:rsidR="00C11308" w:rsidRPr="00263F6F" w:rsidRDefault="00C11308" w:rsidP="00C11308">
      <w:pPr>
        <w:pStyle w:val="Equationlegend"/>
        <w:rPr>
          <w:lang w:val="en-GB"/>
        </w:rPr>
      </w:pPr>
      <w:r w:rsidRPr="00263F6F">
        <w:rPr>
          <w:i/>
          <w:lang w:val="en-GB"/>
        </w:rPr>
        <w:tab/>
        <w:t>N</w:t>
      </w:r>
      <w:r w:rsidRPr="00263F6F">
        <w:rPr>
          <w:i/>
          <w:vertAlign w:val="subscript"/>
          <w:lang w:val="en-GB"/>
        </w:rPr>
        <w:t>FS</w:t>
      </w:r>
      <w:r w:rsidR="00046DB2">
        <w:rPr>
          <w:i/>
          <w:lang w:val="en-GB"/>
        </w:rPr>
        <w:t xml:space="preserve"> </w:t>
      </w:r>
      <w:r w:rsidRPr="00263F6F">
        <w:rPr>
          <w:iCs/>
          <w:lang w:val="en-GB"/>
        </w:rPr>
        <w:t>:</w:t>
      </w:r>
      <w:r w:rsidRPr="00263F6F">
        <w:rPr>
          <w:lang w:val="en-GB"/>
        </w:rPr>
        <w:t xml:space="preserve"> </w:t>
      </w:r>
      <w:r w:rsidRPr="00263F6F">
        <w:rPr>
          <w:lang w:val="en-GB"/>
        </w:rPr>
        <w:tab/>
        <w:t>thermal noise power of FS receiver</w:t>
      </w:r>
    </w:p>
    <w:p w14:paraId="4BBCAA78" w14:textId="76A6D3C5" w:rsidR="00C11308" w:rsidRPr="00263F6F" w:rsidRDefault="00C11308" w:rsidP="00C11308">
      <w:pPr>
        <w:pStyle w:val="Equationlegend"/>
        <w:ind w:leftChars="50" w:left="120" w:firstLineChars="300" w:firstLine="720"/>
        <w:rPr>
          <w:lang w:val="en-GB"/>
        </w:rPr>
      </w:pPr>
      <w:r w:rsidRPr="00263F6F">
        <w:rPr>
          <w:i/>
          <w:lang w:val="en-GB"/>
        </w:rPr>
        <w:tab/>
        <w:t>N</w:t>
      </w:r>
      <w:r w:rsidRPr="00263F6F">
        <w:rPr>
          <w:i/>
          <w:vertAlign w:val="subscript"/>
          <w:lang w:val="en-GB"/>
        </w:rPr>
        <w:t>LMS</w:t>
      </w:r>
      <w:r w:rsidR="000E1B0C">
        <w:rPr>
          <w:iCs/>
          <w:lang w:val="en-GB"/>
        </w:rPr>
        <w:t xml:space="preserve"> </w:t>
      </w:r>
      <w:r w:rsidRPr="00263F6F">
        <w:rPr>
          <w:iCs/>
          <w:lang w:val="en-GB"/>
        </w:rPr>
        <w:t>:</w:t>
      </w:r>
      <w:r w:rsidRPr="00263F6F">
        <w:rPr>
          <w:lang w:val="en-GB"/>
        </w:rPr>
        <w:t xml:space="preserve"> </w:t>
      </w:r>
      <w:r w:rsidRPr="00263F6F">
        <w:rPr>
          <w:lang w:val="en-GB"/>
        </w:rPr>
        <w:tab/>
        <w:t>thermal noise power of LMS receiver</w:t>
      </w:r>
    </w:p>
    <w:p w14:paraId="1FE4AA04" w14:textId="41FDB209" w:rsidR="00C11308" w:rsidRPr="00263F6F" w:rsidRDefault="00C11308" w:rsidP="00C11308">
      <w:pPr>
        <w:pStyle w:val="Equationlegend"/>
        <w:ind w:leftChars="50" w:left="120" w:firstLineChars="300" w:firstLine="720"/>
        <w:rPr>
          <w:lang w:val="en-GB"/>
        </w:rPr>
      </w:pPr>
      <m:oMath>
        <m:r>
          <w:rPr>
            <w:rFonts w:ascii="Cambria Math" w:hAnsi="Cambria Math"/>
            <w:lang w:val="en-GB" w:eastAsia="ja-JP"/>
          </w:rPr>
          <m:t xml:space="preserve"> </m:t>
        </m:r>
        <m:sSub>
          <m:sSubPr>
            <m:ctrlPr>
              <w:rPr>
                <w:rFonts w:ascii="Cambria Math" w:hAnsi="Cambria Math"/>
                <w:lang w:val="en-GB"/>
              </w:rPr>
            </m:ctrlPr>
          </m:sSubPr>
          <m:e>
            <m:r>
              <m:rPr>
                <m:sty m:val="p"/>
              </m:rPr>
              <w:rPr>
                <w:rFonts w:ascii="Cambria Math" w:hAnsi="Cambria Math"/>
                <w:lang w:val="en-GB"/>
              </w:rPr>
              <m:t>BW</m:t>
            </m:r>
          </m:e>
          <m:sub>
            <m:r>
              <m:rPr>
                <m:sty m:val="p"/>
              </m:rPr>
              <w:rPr>
                <w:rFonts w:ascii="Cambria Math" w:hAnsi="Cambria Math"/>
                <w:lang w:val="en-GB"/>
              </w:rPr>
              <m:t>factor</m:t>
            </m:r>
          </m:sub>
        </m:sSub>
        <m:d>
          <m:dPr>
            <m:ctrlPr>
              <w:rPr>
                <w:rFonts w:ascii="Cambria Math" w:hAnsi="Cambria Math"/>
                <w:lang w:val="en-GB"/>
              </w:rPr>
            </m:ctrlPr>
          </m:dPr>
          <m:e>
            <m:r>
              <m:rPr>
                <m:sty m:val="p"/>
              </m:rPr>
              <w:rPr>
                <w:rFonts w:ascii="Cambria Math" w:hAnsi="Cambria Math"/>
                <w:lang w:val="en-GB"/>
              </w:rPr>
              <m:t>Inter→Vic</m:t>
            </m:r>
          </m:e>
        </m:d>
        <m:r>
          <m:rPr>
            <m:sty m:val="p"/>
          </m:rPr>
          <w:rPr>
            <w:rFonts w:ascii="Cambria Math" w:hAnsi="Cambria Math"/>
            <w:lang w:val="en-GB"/>
          </w:rPr>
          <m:t>=</m:t>
        </m:r>
        <m:r>
          <w:rPr>
            <w:rFonts w:ascii="Cambria Math" w:hAnsi="Cambria Math"/>
            <w:lang w:val="en-GB"/>
          </w:rPr>
          <m:t xml:space="preserve">10 </m:t>
        </m:r>
        <m:r>
          <m:rPr>
            <m:sty m:val="p"/>
          </m:rPr>
          <w:rPr>
            <w:rFonts w:ascii="Cambria Math" w:hAnsi="Cambria Math"/>
            <w:lang w:val="en-GB"/>
          </w:rPr>
          <m:t>log</m:t>
        </m:r>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lang w:val="en-GB"/>
              </w:rPr>
              <m:t>min</m:t>
            </m:r>
          </m:fName>
          <m:e>
            <m:r>
              <w:rPr>
                <w:rFonts w:ascii="Cambria Math" w:hAnsi="Cambria Math"/>
                <w:lang w:val="en-GB"/>
              </w:rPr>
              <m:t>(1,B</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Vic</m:t>
                </m:r>
              </m:sub>
            </m:sSub>
            <m:r>
              <w:rPr>
                <w:rFonts w:ascii="Cambria Math" w:hAnsi="Cambria Math"/>
                <w:lang w:val="en-GB"/>
              </w:rPr>
              <m:t>/B</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int</m:t>
                </m:r>
              </m:sub>
            </m:sSub>
            <m:r>
              <w:rPr>
                <w:rFonts w:ascii="Cambria Math" w:hAnsi="Cambria Math"/>
                <w:lang w:val="en-GB"/>
              </w:rPr>
              <m:t>)</m:t>
            </m:r>
          </m:e>
        </m:func>
        <m:r>
          <w:rPr>
            <w:rFonts w:ascii="Cambria Math" w:hAnsi="Cambria Math"/>
            <w:lang w:val="en-GB"/>
          </w:rPr>
          <m:t>)</m:t>
        </m:r>
      </m:oMath>
      <w:r w:rsidRPr="00263F6F">
        <w:rPr>
          <w:lang w:val="en-GB"/>
        </w:rPr>
        <w:t>: bandwidth factor.</w:t>
      </w:r>
    </w:p>
    <w:p w14:paraId="225B2EED" w14:textId="77777777" w:rsidR="00C11308" w:rsidRPr="00263F6F" w:rsidRDefault="00C11308" w:rsidP="00C11308">
      <w:pPr>
        <w:rPr>
          <w:lang w:val="en-GB" w:eastAsia="ja-JP"/>
        </w:rPr>
      </w:pPr>
      <w:r w:rsidRPr="00263F6F">
        <w:rPr>
          <w:lang w:val="en-GB" w:eastAsia="ja-JP"/>
        </w:rPr>
        <w:t xml:space="preserve">The polarization loss be included depending on the type of linear or circular polarized antennas to be used in transmitters and receivers. </w:t>
      </w:r>
    </w:p>
    <w:p w14:paraId="1F23FAEA" w14:textId="77777777" w:rsidR="00C11308" w:rsidRPr="00263F6F" w:rsidRDefault="00C11308" w:rsidP="00C11308">
      <w:pPr>
        <w:pStyle w:val="Heading3"/>
        <w:rPr>
          <w:shd w:val="clear" w:color="auto" w:fill="FFFFFF"/>
          <w:lang w:val="en-GB" w:eastAsia="ja-JP"/>
        </w:rPr>
      </w:pPr>
      <w:r w:rsidRPr="00263F6F">
        <w:rPr>
          <w:shd w:val="clear" w:color="auto" w:fill="FFFFFF"/>
          <w:lang w:val="en-GB" w:eastAsia="ja-JP"/>
        </w:rPr>
        <w:t>6.4.2</w:t>
      </w:r>
      <w:r w:rsidRPr="00263F6F">
        <w:rPr>
          <w:shd w:val="clear" w:color="auto" w:fill="FFFFFF"/>
          <w:lang w:val="en-GB" w:eastAsia="ja-JP"/>
        </w:rPr>
        <w:tab/>
        <w:t>Layout of RRH and CPMS transceivers</w:t>
      </w:r>
    </w:p>
    <w:p w14:paraId="425D9B0E" w14:textId="25DBCA3A" w:rsidR="00C11308" w:rsidRPr="00263F6F" w:rsidRDefault="00C11308" w:rsidP="00C11308">
      <w:pPr>
        <w:rPr>
          <w:sz w:val="23"/>
          <w:szCs w:val="23"/>
          <w:lang w:val="en-GB"/>
        </w:rPr>
      </w:pPr>
      <w:r w:rsidRPr="00263F6F">
        <w:rPr>
          <w:lang w:val="en-GB" w:eastAsia="ja-JP"/>
        </w:rPr>
        <w:t xml:space="preserve">Figure 6 shows the simulation parameters of the azimuth off-axis angle </w:t>
      </w:r>
      <w:r w:rsidRPr="00263F6F">
        <w:rPr>
          <w:rFonts w:ascii="Symbol" w:hAnsi="Symbol"/>
          <w:lang w:val="en-GB" w:eastAsia="ja-JP"/>
        </w:rPr>
        <w:t></w:t>
      </w:r>
      <w:r w:rsidRPr="00263F6F">
        <w:rPr>
          <w:lang w:val="en-GB" w:eastAsia="ja-JP"/>
        </w:rPr>
        <w:t xml:space="preserve"> between RRH and CPMS transceivers, and the elevation angle </w:t>
      </w:r>
      <w:r w:rsidR="001A3840">
        <w:rPr>
          <w:lang w:val="en-GB" w:eastAsia="ja-JP"/>
        </w:rPr>
        <w:t>φ</w:t>
      </w:r>
      <w:r w:rsidRPr="00263F6F">
        <w:rPr>
          <w:lang w:val="en-GB" w:eastAsia="ja-JP"/>
        </w:rPr>
        <w:t xml:space="preserve"> of RRH transceivers. Although Report ITU-R </w:t>
      </w:r>
      <w:hyperlink r:id="rId47" w:history="1">
        <w:r w:rsidR="00B72AB3" w:rsidRPr="00B72AB3">
          <w:rPr>
            <w:rStyle w:val="Hyperlink"/>
            <w:color w:val="auto"/>
            <w:u w:val="none"/>
            <w:lang w:val="en-GB" w:eastAsia="ja-JP"/>
          </w:rPr>
          <w:t>F.2416</w:t>
        </w:r>
      </w:hyperlink>
      <w:r w:rsidRPr="00263F6F">
        <w:rPr>
          <w:lang w:val="en-GB" w:eastAsia="ja-JP"/>
        </w:rPr>
        <w:t xml:space="preserve"> specifies the elevation angle within ±20 degrees of FS stations in the urban areas where the height of FS station is in the range 6-25 m and the distance between FS stations in the range 100-300 m, as shown in Table</w:t>
      </w:r>
      <w:r w:rsidR="001A3840">
        <w:rPr>
          <w:lang w:val="en-GB" w:eastAsia="ja-JP"/>
        </w:rPr>
        <w:t> </w:t>
      </w:r>
      <w:r w:rsidRPr="00263F6F">
        <w:rPr>
          <w:lang w:val="en-GB" w:eastAsia="ja-JP"/>
        </w:rPr>
        <w:t xml:space="preserve">2, the elevation angle of ±30 degrees of FS stations is taken into account as a worst-case scenario, </w:t>
      </w:r>
      <w:r w:rsidRPr="00263F6F">
        <w:rPr>
          <w:sz w:val="23"/>
          <w:szCs w:val="23"/>
          <w:lang w:val="en-GB"/>
        </w:rPr>
        <w:t xml:space="preserve">as proposed in Report ITU-R </w:t>
      </w:r>
      <w:hyperlink r:id="rId48" w:history="1">
        <w:r w:rsidR="00D32BF2" w:rsidRPr="00E8370B">
          <w:rPr>
            <w:rStyle w:val="Hyperlink"/>
            <w:color w:val="auto"/>
            <w:u w:val="none"/>
            <w:lang w:val="en-GB" w:eastAsia="ja-JP"/>
          </w:rPr>
          <w:t>F.2239</w:t>
        </w:r>
      </w:hyperlink>
      <w:r w:rsidRPr="00263F6F">
        <w:rPr>
          <w:sz w:val="23"/>
          <w:szCs w:val="23"/>
          <w:lang w:val="en-GB"/>
        </w:rPr>
        <w:t>.</w:t>
      </w:r>
    </w:p>
    <w:p w14:paraId="1C123CD5"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6</w:t>
      </w:r>
    </w:p>
    <w:p w14:paraId="02B47B91" w14:textId="2A333233" w:rsidR="00C11308" w:rsidRDefault="00C11308" w:rsidP="00C11308">
      <w:pPr>
        <w:pStyle w:val="Figuretitle"/>
        <w:rPr>
          <w:lang w:val="en-GB" w:eastAsia="ja-JP"/>
        </w:rPr>
      </w:pPr>
      <w:r w:rsidRPr="00263F6F">
        <w:rPr>
          <w:lang w:val="en-GB" w:eastAsia="ja-JP"/>
        </w:rPr>
        <w:t xml:space="preserve">Layout of </w:t>
      </w:r>
      <w:r w:rsidRPr="00263F6F">
        <w:rPr>
          <w:lang w:val="en-GB"/>
        </w:rPr>
        <w:t>RRH</w:t>
      </w:r>
      <w:r w:rsidRPr="00263F6F">
        <w:rPr>
          <w:lang w:val="en-GB" w:eastAsia="ja-JP"/>
        </w:rPr>
        <w:t xml:space="preserve"> and CPMS for simulation</w:t>
      </w:r>
    </w:p>
    <w:p w14:paraId="0919AA05" w14:textId="11C80347" w:rsidR="00E65D68" w:rsidRPr="00E65D68" w:rsidRDefault="00E65D68" w:rsidP="00E65D68">
      <w:pPr>
        <w:pStyle w:val="Figure"/>
        <w:rPr>
          <w:lang w:val="en-GB" w:eastAsia="ja-JP"/>
        </w:rPr>
      </w:pPr>
      <w:r>
        <w:rPr>
          <w:noProof/>
          <w:lang w:val="en-GB" w:eastAsia="ja-JP"/>
        </w:rPr>
        <w:drawing>
          <wp:inline distT="0" distB="0" distL="0" distR="0" wp14:anchorId="413285B9" wp14:editId="1FC85F2D">
            <wp:extent cx="5788164" cy="2627381"/>
            <wp:effectExtent l="0" t="0" r="3175" b="1905"/>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88164" cy="2627381"/>
                    </a:xfrm>
                    <a:prstGeom prst="rect">
                      <a:avLst/>
                    </a:prstGeom>
                  </pic:spPr>
                </pic:pic>
              </a:graphicData>
            </a:graphic>
          </wp:inline>
        </w:drawing>
      </w:r>
    </w:p>
    <w:p w14:paraId="15C06E82" w14:textId="77777777" w:rsidR="00C11308" w:rsidRPr="00263F6F" w:rsidRDefault="00C11308" w:rsidP="00F8453D">
      <w:pPr>
        <w:pStyle w:val="Heading3"/>
        <w:rPr>
          <w:shd w:val="clear" w:color="auto" w:fill="FFFFFF"/>
          <w:lang w:val="en-GB" w:eastAsia="ja-JP"/>
        </w:rPr>
      </w:pPr>
      <w:bookmarkStart w:id="32" w:name="_Hlk84609405"/>
      <w:r w:rsidRPr="00263F6F">
        <w:rPr>
          <w:shd w:val="clear" w:color="auto" w:fill="FFFFFF"/>
          <w:lang w:val="en-GB" w:eastAsia="ja-JP"/>
        </w:rPr>
        <w:t>6.4.3</w:t>
      </w:r>
      <w:r w:rsidRPr="00263F6F">
        <w:rPr>
          <w:shd w:val="clear" w:color="auto" w:fill="FFFFFF"/>
          <w:lang w:val="en-GB" w:eastAsia="ja-JP"/>
        </w:rPr>
        <w:tab/>
        <w:t xml:space="preserve">CPMS interfering scenario </w:t>
      </w:r>
      <w:bookmarkEnd w:id="32"/>
    </w:p>
    <w:p w14:paraId="125C295A" w14:textId="77777777" w:rsidR="00C11308" w:rsidRPr="00263F6F" w:rsidRDefault="00C11308" w:rsidP="00F8453D">
      <w:pPr>
        <w:pStyle w:val="Heading4"/>
        <w:rPr>
          <w:shd w:val="clear" w:color="auto" w:fill="FFFFFF"/>
          <w:lang w:val="en-GB" w:eastAsia="ja-JP"/>
        </w:rPr>
      </w:pPr>
      <w:r w:rsidRPr="00263F6F">
        <w:rPr>
          <w:shd w:val="clear" w:color="auto" w:fill="FFFFFF"/>
          <w:lang w:val="en-GB" w:eastAsia="ja-JP"/>
        </w:rPr>
        <w:t>6.4.3.1</w:t>
      </w:r>
      <w:r w:rsidRPr="00263F6F">
        <w:rPr>
          <w:shd w:val="clear" w:color="auto" w:fill="FFFFFF"/>
          <w:lang w:val="en-GB" w:eastAsia="ja-JP"/>
        </w:rPr>
        <w:tab/>
        <w:t>Co-channel analysis</w:t>
      </w:r>
    </w:p>
    <w:p w14:paraId="74AB170B" w14:textId="6710C611" w:rsidR="00C11308" w:rsidRPr="00263F6F" w:rsidRDefault="00C11308" w:rsidP="00F8453D">
      <w:pPr>
        <w:rPr>
          <w:lang w:val="en-GB" w:eastAsia="ja-JP"/>
        </w:rPr>
      </w:pPr>
      <w:r w:rsidRPr="00263F6F">
        <w:rPr>
          <w:lang w:val="en-GB" w:eastAsia="ja-JP"/>
        </w:rPr>
        <w:t>According to interference scenarios illustrated in Fig</w:t>
      </w:r>
      <w:r w:rsidR="00634D23">
        <w:rPr>
          <w:lang w:val="en-GB" w:eastAsia="ja-JP"/>
        </w:rPr>
        <w:t>.</w:t>
      </w:r>
      <w:r w:rsidRPr="00263F6F">
        <w:rPr>
          <w:lang w:val="en-GB" w:eastAsia="ja-JP"/>
        </w:rPr>
        <w:t xml:space="preserve"> 2, </w:t>
      </w:r>
      <w:r w:rsidRPr="00263F6F">
        <w:rPr>
          <w:i/>
          <w:iCs/>
          <w:lang w:val="en-GB" w:eastAsia="ja-JP"/>
        </w:rPr>
        <w:t>I</w:t>
      </w:r>
      <w:r w:rsidRPr="00634D23">
        <w:rPr>
          <w:lang w:val="en-GB" w:eastAsia="ja-JP"/>
        </w:rPr>
        <w:t>/</w:t>
      </w:r>
      <w:r w:rsidRPr="00263F6F">
        <w:rPr>
          <w:i/>
          <w:iCs/>
          <w:lang w:val="en-GB" w:eastAsia="ja-JP"/>
        </w:rPr>
        <w:t>N</w:t>
      </w:r>
      <w:r w:rsidRPr="00263F6F">
        <w:rPr>
          <w:lang w:val="en-GB" w:eastAsia="ja-JP"/>
        </w:rPr>
        <w:t xml:space="preserve"> of RRH receiver is calculated using the equations in </w:t>
      </w:r>
      <w:r w:rsidR="00634D23">
        <w:rPr>
          <w:lang w:val="en-GB" w:eastAsia="ja-JP"/>
        </w:rPr>
        <w:t>§</w:t>
      </w:r>
      <w:r w:rsidRPr="00263F6F">
        <w:rPr>
          <w:lang w:val="en-GB" w:eastAsia="ja-JP"/>
        </w:rPr>
        <w:t xml:space="preserve"> 6.</w:t>
      </w:r>
      <w:r w:rsidR="000962CD">
        <w:rPr>
          <w:lang w:val="en-GB" w:eastAsia="ja-JP"/>
        </w:rPr>
        <w:t>4</w:t>
      </w:r>
      <w:r w:rsidRPr="00263F6F">
        <w:rPr>
          <w:lang w:val="en-GB" w:eastAsia="ja-JP"/>
        </w:rPr>
        <w:t xml:space="preserve">.1. Figure 7 shows the relationship between </w:t>
      </w:r>
      <w:r w:rsidRPr="00263F6F">
        <w:rPr>
          <w:i/>
          <w:iCs/>
          <w:lang w:val="en-GB" w:eastAsia="ja-JP"/>
        </w:rPr>
        <w:t>I</w:t>
      </w:r>
      <w:r w:rsidRPr="00634D23">
        <w:rPr>
          <w:lang w:val="en-GB" w:eastAsia="ja-JP"/>
        </w:rPr>
        <w:t>/</w:t>
      </w:r>
      <w:r w:rsidRPr="00263F6F">
        <w:rPr>
          <w:i/>
          <w:iCs/>
          <w:lang w:val="en-GB" w:eastAsia="ja-JP"/>
        </w:rPr>
        <w:t>N</w:t>
      </w:r>
      <w:r w:rsidRPr="00263F6F">
        <w:rPr>
          <w:lang w:val="en-GB" w:eastAsia="ja-JP"/>
        </w:rPr>
        <w:t xml:space="preserve"> of RRH receiver and distance </w:t>
      </w:r>
      <w:r w:rsidRPr="00263F6F">
        <w:rPr>
          <w:lang w:val="en-GB" w:eastAsia="ja-JP"/>
        </w:rPr>
        <w:lastRenderedPageBreak/>
        <w:t xml:space="preserve">between CPMS MT transmitter and RRH receiver. It is clearly indicated that the peak </w:t>
      </w:r>
      <w:r w:rsidRPr="00263F6F">
        <w:rPr>
          <w:i/>
          <w:iCs/>
          <w:lang w:val="en-GB" w:eastAsia="ja-JP"/>
        </w:rPr>
        <w:t>I</w:t>
      </w:r>
      <w:r w:rsidRPr="00634D23">
        <w:rPr>
          <w:lang w:val="en-GB" w:eastAsia="ja-JP"/>
        </w:rPr>
        <w:t>/</w:t>
      </w:r>
      <w:r w:rsidRPr="00263F6F">
        <w:rPr>
          <w:i/>
          <w:iCs/>
          <w:lang w:val="en-GB" w:eastAsia="ja-JP"/>
        </w:rPr>
        <w:t xml:space="preserve">N </w:t>
      </w:r>
      <w:r w:rsidRPr="00263F6F">
        <w:rPr>
          <w:lang w:val="en-GB" w:eastAsia="ja-JP"/>
        </w:rPr>
        <w:t>of RRH receiver is determined from the distance between CPMS MT transmitter and RRH receiver and the height difference of CPMS MT transmitter and RRH receiver, as well as the elevation angle of RRH antenna.</w:t>
      </w:r>
    </w:p>
    <w:p w14:paraId="629FE76C" w14:textId="77777777" w:rsidR="00C11308" w:rsidRPr="00263F6F" w:rsidRDefault="00C11308" w:rsidP="00F8453D">
      <w:pPr>
        <w:pStyle w:val="FigureNo"/>
        <w:keepNext w:val="0"/>
        <w:keepLines w:val="0"/>
        <w:rPr>
          <w:i/>
          <w:lang w:val="en-GB" w:eastAsia="ja-JP"/>
        </w:rPr>
      </w:pPr>
      <w:r w:rsidRPr="00263F6F">
        <w:rPr>
          <w:lang w:val="en-GB"/>
        </w:rPr>
        <w:t xml:space="preserve">FIGURE </w:t>
      </w:r>
      <w:r w:rsidRPr="00263F6F">
        <w:rPr>
          <w:lang w:val="en-GB" w:eastAsia="ja-JP"/>
        </w:rPr>
        <w:t>7</w:t>
      </w:r>
    </w:p>
    <w:p w14:paraId="2B7DFFC4" w14:textId="33CFA3A4" w:rsidR="00C11308" w:rsidRDefault="00C11308" w:rsidP="00F8453D">
      <w:pPr>
        <w:pStyle w:val="Figuretitle"/>
        <w:keepNext w:val="0"/>
        <w:rPr>
          <w:lang w:val="en-GB"/>
        </w:rPr>
      </w:pPr>
      <w:r w:rsidRPr="00263F6F">
        <w:rPr>
          <w:i/>
          <w:iCs/>
          <w:lang w:val="en-GB"/>
        </w:rPr>
        <w:t>I</w:t>
      </w:r>
      <w:r w:rsidRPr="000962CD">
        <w:rPr>
          <w:lang w:val="en-GB"/>
        </w:rPr>
        <w:t>/</w:t>
      </w:r>
      <w:r w:rsidRPr="00263F6F">
        <w:rPr>
          <w:i/>
          <w:iCs/>
          <w:lang w:val="en-GB"/>
        </w:rPr>
        <w:t>N</w:t>
      </w:r>
      <w:r w:rsidRPr="00263F6F">
        <w:rPr>
          <w:lang w:val="en-GB"/>
        </w:rPr>
        <w:t xml:space="preserve"> of RRH receiver as a function of distance between RRH and CPMS MT whose antenna heights are 6 m and 2 m, respectively, at the frequencies of 252 GHz, 275 GHz and 296 GHz</w:t>
      </w:r>
    </w:p>
    <w:p w14:paraId="3FC5979B" w14:textId="5977FAA6" w:rsidR="00E65D68" w:rsidRPr="00E65D68" w:rsidRDefault="00E65D68" w:rsidP="00E65D68">
      <w:pPr>
        <w:pStyle w:val="Figure"/>
        <w:rPr>
          <w:lang w:val="en-GB"/>
        </w:rPr>
      </w:pPr>
      <w:r>
        <w:rPr>
          <w:noProof/>
          <w:lang w:val="en-GB"/>
        </w:rPr>
        <w:drawing>
          <wp:inline distT="0" distB="0" distL="0" distR="0" wp14:anchorId="6AD79030" wp14:editId="7D618EDC">
            <wp:extent cx="3465369" cy="7076525"/>
            <wp:effectExtent l="0" t="0" r="1905" b="0"/>
            <wp:docPr id="74" name="Picture 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80855" cy="7108148"/>
                    </a:xfrm>
                    <a:prstGeom prst="rect">
                      <a:avLst/>
                    </a:prstGeom>
                  </pic:spPr>
                </pic:pic>
              </a:graphicData>
            </a:graphic>
          </wp:inline>
        </w:drawing>
      </w:r>
    </w:p>
    <w:p w14:paraId="1BA4700C" w14:textId="77777777" w:rsidR="00C11308" w:rsidRPr="00263F6F" w:rsidRDefault="00C11308" w:rsidP="00C11308">
      <w:pPr>
        <w:pStyle w:val="Heading4"/>
        <w:rPr>
          <w:shd w:val="clear" w:color="auto" w:fill="FFFFFF"/>
          <w:lang w:val="en-GB" w:eastAsia="ja-JP"/>
        </w:rPr>
      </w:pPr>
      <w:r w:rsidRPr="00263F6F">
        <w:rPr>
          <w:shd w:val="clear" w:color="auto" w:fill="FFFFFF"/>
          <w:lang w:val="en-GB" w:eastAsia="ja-JP"/>
        </w:rPr>
        <w:lastRenderedPageBreak/>
        <w:t>6.4.3.2</w:t>
      </w:r>
      <w:r w:rsidRPr="00263F6F">
        <w:rPr>
          <w:shd w:val="clear" w:color="auto" w:fill="FFFFFF"/>
          <w:lang w:val="en-GB" w:eastAsia="ja-JP"/>
        </w:rPr>
        <w:tab/>
        <w:t>Adjacent channel analysis</w:t>
      </w:r>
    </w:p>
    <w:p w14:paraId="0E6B34B5" w14:textId="50E4E8BC" w:rsidR="00C11308" w:rsidRPr="00263F6F" w:rsidRDefault="00C11308" w:rsidP="00C11308">
      <w:pPr>
        <w:rPr>
          <w:spacing w:val="-2"/>
          <w:lang w:val="en-GB" w:eastAsia="ja-JP"/>
        </w:rPr>
      </w:pPr>
      <w:r w:rsidRPr="00263F6F">
        <w:rPr>
          <w:i/>
          <w:iCs/>
          <w:spacing w:val="-2"/>
          <w:lang w:val="en-GB" w:eastAsia="ja-JP"/>
        </w:rPr>
        <w:t>I</w:t>
      </w:r>
      <w:r w:rsidRPr="00180815">
        <w:rPr>
          <w:spacing w:val="-2"/>
          <w:lang w:val="en-GB" w:eastAsia="ja-JP"/>
        </w:rPr>
        <w:t>/</w:t>
      </w:r>
      <w:r w:rsidRPr="00263F6F">
        <w:rPr>
          <w:i/>
          <w:iCs/>
          <w:spacing w:val="-2"/>
          <w:lang w:val="en-GB" w:eastAsia="ja-JP"/>
        </w:rPr>
        <w:t>N</w:t>
      </w:r>
      <w:r w:rsidRPr="00263F6F">
        <w:rPr>
          <w:spacing w:val="-2"/>
          <w:lang w:val="en-GB" w:eastAsia="ja-JP"/>
        </w:rPr>
        <w:t xml:space="preserve"> of RRH receiver is calculated using the adjacent channel leakage ratio given in </w:t>
      </w:r>
      <w:r w:rsidR="00180815">
        <w:rPr>
          <w:spacing w:val="-2"/>
          <w:lang w:val="en-GB" w:eastAsia="ja-JP"/>
        </w:rPr>
        <w:t>§</w:t>
      </w:r>
      <w:r w:rsidRPr="00263F6F">
        <w:rPr>
          <w:spacing w:val="-2"/>
          <w:lang w:val="en-GB" w:eastAsia="ja-JP"/>
        </w:rPr>
        <w:t xml:space="preserve"> 6.2.3. Figure 8 shows the relationship between </w:t>
      </w:r>
      <w:r w:rsidRPr="00263F6F">
        <w:rPr>
          <w:i/>
          <w:iCs/>
          <w:spacing w:val="-2"/>
          <w:lang w:val="en-GB" w:eastAsia="ja-JP"/>
        </w:rPr>
        <w:t>I</w:t>
      </w:r>
      <w:r w:rsidRPr="00180815">
        <w:rPr>
          <w:spacing w:val="-2"/>
          <w:lang w:val="en-GB" w:eastAsia="ja-JP"/>
        </w:rPr>
        <w:t>/</w:t>
      </w:r>
      <w:r w:rsidRPr="00263F6F">
        <w:rPr>
          <w:i/>
          <w:iCs/>
          <w:spacing w:val="-2"/>
          <w:lang w:val="en-GB" w:eastAsia="ja-JP"/>
        </w:rPr>
        <w:t>N</w:t>
      </w:r>
      <w:r w:rsidRPr="00263F6F">
        <w:rPr>
          <w:spacing w:val="-2"/>
          <w:lang w:val="en-GB" w:eastAsia="ja-JP"/>
        </w:rPr>
        <w:t xml:space="preserve"> of RRH receiver and distance between CPMS MT/FS transmitters and RRH receiver. It is clearly indicated that the peak </w:t>
      </w:r>
      <w:r w:rsidRPr="00263F6F">
        <w:rPr>
          <w:i/>
          <w:iCs/>
          <w:spacing w:val="-2"/>
          <w:lang w:val="en-GB" w:eastAsia="ja-JP"/>
        </w:rPr>
        <w:t>I</w:t>
      </w:r>
      <w:r w:rsidRPr="00180815">
        <w:rPr>
          <w:spacing w:val="-2"/>
          <w:lang w:val="en-GB" w:eastAsia="ja-JP"/>
        </w:rPr>
        <w:t>/</w:t>
      </w:r>
      <w:r w:rsidRPr="00263F6F">
        <w:rPr>
          <w:i/>
          <w:iCs/>
          <w:spacing w:val="-2"/>
          <w:lang w:val="en-GB" w:eastAsia="ja-JP"/>
        </w:rPr>
        <w:t xml:space="preserve">N </w:t>
      </w:r>
      <w:r w:rsidRPr="00263F6F">
        <w:rPr>
          <w:spacing w:val="-2"/>
          <w:lang w:val="en-GB" w:eastAsia="ja-JP"/>
        </w:rPr>
        <w:t>of RRH receiver is determined from the distance between CPMS MT/FS transmitters and RRH receiver and the height difference of CPMS MT/FS transmitters and RRH receiver, as well as the elevation angle of RRH antenna.</w:t>
      </w:r>
    </w:p>
    <w:p w14:paraId="41D1CE02"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8</w:t>
      </w:r>
    </w:p>
    <w:p w14:paraId="28D8FCCB" w14:textId="7B50FB62" w:rsidR="00C11308" w:rsidRDefault="00C11308" w:rsidP="00C11308">
      <w:pPr>
        <w:pStyle w:val="Figuretitle"/>
        <w:rPr>
          <w:lang w:val="en-GB"/>
        </w:rPr>
      </w:pPr>
      <w:r w:rsidRPr="00263F6F">
        <w:rPr>
          <w:i/>
          <w:iCs/>
          <w:lang w:val="en-GB"/>
        </w:rPr>
        <w:t>I</w:t>
      </w:r>
      <w:r w:rsidRPr="00AD6CE3">
        <w:rPr>
          <w:lang w:val="en-GB"/>
        </w:rPr>
        <w:t>/</w:t>
      </w:r>
      <w:r w:rsidRPr="00263F6F">
        <w:rPr>
          <w:i/>
          <w:iCs/>
          <w:lang w:val="en-GB"/>
        </w:rPr>
        <w:t>N</w:t>
      </w:r>
      <w:r w:rsidRPr="00263F6F">
        <w:rPr>
          <w:lang w:val="en-GB"/>
        </w:rPr>
        <w:t xml:space="preserve"> of RRH receiver as a function of distance between RRH and CPMS whose antenna heights are 6 m and 2 m, respectively, at the frequency of 275 GHz</w:t>
      </w:r>
    </w:p>
    <w:p w14:paraId="6CC8E399" w14:textId="7B9DC040" w:rsidR="00E65D68" w:rsidRPr="00E65D68" w:rsidRDefault="00E65D68" w:rsidP="00E65D68">
      <w:pPr>
        <w:pStyle w:val="Figure"/>
        <w:rPr>
          <w:lang w:val="en-GB"/>
        </w:rPr>
      </w:pPr>
      <w:r>
        <w:rPr>
          <w:noProof/>
          <w:lang w:val="en-GB"/>
        </w:rPr>
        <w:drawing>
          <wp:inline distT="0" distB="0" distL="0" distR="0" wp14:anchorId="6DE54FF5" wp14:editId="0A808F06">
            <wp:extent cx="4422657" cy="6614173"/>
            <wp:effectExtent l="0" t="0" r="0" b="0"/>
            <wp:docPr id="75" name="Picture 75"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chart, histo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22657" cy="6614173"/>
                    </a:xfrm>
                    <a:prstGeom prst="rect">
                      <a:avLst/>
                    </a:prstGeom>
                  </pic:spPr>
                </pic:pic>
              </a:graphicData>
            </a:graphic>
          </wp:inline>
        </w:drawing>
      </w:r>
    </w:p>
    <w:p w14:paraId="5C790BF6" w14:textId="77777777" w:rsidR="00C11308" w:rsidRPr="00263F6F" w:rsidRDefault="00C11308" w:rsidP="00C11308">
      <w:pPr>
        <w:pStyle w:val="Heading3"/>
        <w:rPr>
          <w:shd w:val="clear" w:color="auto" w:fill="FFFFFF"/>
          <w:lang w:val="en-GB" w:eastAsia="ja-JP"/>
        </w:rPr>
      </w:pPr>
      <w:bookmarkStart w:id="33" w:name="_Hlk84609471"/>
      <w:r w:rsidRPr="00263F6F">
        <w:rPr>
          <w:shd w:val="clear" w:color="auto" w:fill="FFFFFF"/>
          <w:lang w:val="en-GB" w:eastAsia="ja-JP"/>
        </w:rPr>
        <w:lastRenderedPageBreak/>
        <w:t>6.4.4</w:t>
      </w:r>
      <w:r w:rsidRPr="00263F6F">
        <w:rPr>
          <w:shd w:val="clear" w:color="auto" w:fill="FFFFFF"/>
          <w:lang w:val="en-GB" w:eastAsia="ja-JP"/>
        </w:rPr>
        <w:tab/>
        <w:t>FS interfering scenario</w:t>
      </w:r>
      <w:bookmarkEnd w:id="33"/>
    </w:p>
    <w:p w14:paraId="2ACCC2DF" w14:textId="77777777" w:rsidR="00C11308" w:rsidRPr="00263F6F" w:rsidRDefault="00C11308" w:rsidP="00C11308">
      <w:pPr>
        <w:pStyle w:val="Heading4"/>
        <w:rPr>
          <w:shd w:val="clear" w:color="auto" w:fill="FFFFFF"/>
          <w:lang w:val="en-GB" w:eastAsia="ja-JP"/>
        </w:rPr>
      </w:pPr>
      <w:r w:rsidRPr="00263F6F">
        <w:rPr>
          <w:shd w:val="clear" w:color="auto" w:fill="FFFFFF"/>
          <w:lang w:val="en-GB" w:eastAsia="ja-JP"/>
        </w:rPr>
        <w:t>6.4.4.1</w:t>
      </w:r>
      <w:r w:rsidRPr="00263F6F">
        <w:rPr>
          <w:shd w:val="clear" w:color="auto" w:fill="FFFFFF"/>
          <w:lang w:val="en-GB" w:eastAsia="ja-JP"/>
        </w:rPr>
        <w:tab/>
        <w:t>Co-channel analysis</w:t>
      </w:r>
    </w:p>
    <w:p w14:paraId="0C5CAB13" w14:textId="699EEB53" w:rsidR="00C11308" w:rsidRPr="00263F6F" w:rsidRDefault="00C11308" w:rsidP="00C11308">
      <w:pPr>
        <w:rPr>
          <w:lang w:val="en-GB" w:eastAsia="ja-JP"/>
        </w:rPr>
      </w:pPr>
      <w:bookmarkStart w:id="34" w:name="_Hlk68615658"/>
      <w:r w:rsidRPr="00263F6F">
        <w:rPr>
          <w:lang w:val="en-GB" w:eastAsia="ja-JP"/>
        </w:rPr>
        <w:t>According to interference scenarios illustrated in Fig</w:t>
      </w:r>
      <w:r w:rsidR="0081690D">
        <w:rPr>
          <w:lang w:val="en-GB" w:eastAsia="ja-JP"/>
        </w:rPr>
        <w:t>.</w:t>
      </w:r>
      <w:r w:rsidRPr="00263F6F">
        <w:rPr>
          <w:lang w:val="en-GB" w:eastAsia="ja-JP"/>
        </w:rPr>
        <w:t xml:space="preserve"> 2, </w:t>
      </w:r>
      <w:r w:rsidRPr="00263F6F">
        <w:rPr>
          <w:i/>
          <w:iCs/>
          <w:lang w:val="en-GB" w:eastAsia="ja-JP"/>
        </w:rPr>
        <w:t>I</w:t>
      </w:r>
      <w:r w:rsidRPr="0081690D">
        <w:rPr>
          <w:lang w:val="en-GB" w:eastAsia="ja-JP"/>
        </w:rPr>
        <w:t>/</w:t>
      </w:r>
      <w:r w:rsidRPr="00263F6F">
        <w:rPr>
          <w:i/>
          <w:iCs/>
          <w:lang w:val="en-GB" w:eastAsia="ja-JP"/>
        </w:rPr>
        <w:t>N</w:t>
      </w:r>
      <w:r w:rsidRPr="00263F6F">
        <w:rPr>
          <w:lang w:val="en-GB" w:eastAsia="ja-JP"/>
        </w:rPr>
        <w:t xml:space="preserve"> of CPMS MT receiver is calculated using the equations in </w:t>
      </w:r>
      <w:r w:rsidR="0081690D">
        <w:rPr>
          <w:lang w:val="en-GB" w:eastAsia="ja-JP"/>
        </w:rPr>
        <w:t>§</w:t>
      </w:r>
      <w:r w:rsidRPr="00263F6F">
        <w:rPr>
          <w:lang w:val="en-GB" w:eastAsia="ja-JP"/>
        </w:rPr>
        <w:t xml:space="preserve"> 6.</w:t>
      </w:r>
      <w:r w:rsidR="0081690D">
        <w:rPr>
          <w:lang w:val="en-GB" w:eastAsia="ja-JP"/>
        </w:rPr>
        <w:t>4</w:t>
      </w:r>
      <w:r w:rsidRPr="00263F6F">
        <w:rPr>
          <w:lang w:val="en-GB" w:eastAsia="ja-JP"/>
        </w:rPr>
        <w:t xml:space="preserve">.1. Figure 9 shows the relationship between </w:t>
      </w:r>
      <w:r w:rsidRPr="00263F6F">
        <w:rPr>
          <w:i/>
          <w:iCs/>
          <w:lang w:val="en-GB" w:eastAsia="ja-JP"/>
        </w:rPr>
        <w:t>I</w:t>
      </w:r>
      <w:r w:rsidRPr="0081690D">
        <w:rPr>
          <w:lang w:val="en-GB" w:eastAsia="ja-JP"/>
        </w:rPr>
        <w:t>/</w:t>
      </w:r>
      <w:r w:rsidRPr="00263F6F">
        <w:rPr>
          <w:i/>
          <w:iCs/>
          <w:lang w:val="en-GB" w:eastAsia="ja-JP"/>
        </w:rPr>
        <w:t>N</w:t>
      </w:r>
      <w:r w:rsidRPr="00263F6F">
        <w:rPr>
          <w:lang w:val="en-GB" w:eastAsia="ja-JP"/>
        </w:rPr>
        <w:t xml:space="preserve"> of CPMS MT receiver and distance between RRH transmitter and CPMS MT receiver. It is clearly indicated that the peak </w:t>
      </w:r>
      <w:r w:rsidRPr="00263F6F">
        <w:rPr>
          <w:i/>
          <w:iCs/>
          <w:lang w:val="en-GB" w:eastAsia="ja-JP"/>
        </w:rPr>
        <w:t>I</w:t>
      </w:r>
      <w:r w:rsidRPr="0081690D">
        <w:rPr>
          <w:lang w:val="en-GB" w:eastAsia="ja-JP"/>
        </w:rPr>
        <w:t>/</w:t>
      </w:r>
      <w:r w:rsidRPr="00263F6F">
        <w:rPr>
          <w:i/>
          <w:iCs/>
          <w:lang w:val="en-GB" w:eastAsia="ja-JP"/>
        </w:rPr>
        <w:t>N</w:t>
      </w:r>
      <w:r w:rsidRPr="00263F6F">
        <w:rPr>
          <w:lang w:val="en-GB" w:eastAsia="ja-JP"/>
        </w:rPr>
        <w:t xml:space="preserve"> of CPMS MT receiver is determined from the distance between RRH transmitter and CPMS MT receiver and the height difference of RRH transmitter and CPMS MT receiver, as well as the elevation angle of RRH antenna.</w:t>
      </w:r>
    </w:p>
    <w:bookmarkEnd w:id="34"/>
    <w:p w14:paraId="5A1BA502" w14:textId="77777777" w:rsidR="00C11308" w:rsidRPr="00263F6F" w:rsidRDefault="00C11308" w:rsidP="00C11308">
      <w:pPr>
        <w:pStyle w:val="FigureNo"/>
        <w:rPr>
          <w:i/>
          <w:lang w:val="en-GB" w:eastAsia="ja-JP"/>
        </w:rPr>
      </w:pPr>
      <w:r w:rsidRPr="00263F6F">
        <w:rPr>
          <w:lang w:val="en-GB"/>
        </w:rPr>
        <w:lastRenderedPageBreak/>
        <w:t xml:space="preserve">FIGURE </w:t>
      </w:r>
      <w:r w:rsidRPr="00263F6F">
        <w:rPr>
          <w:lang w:val="en-GB" w:eastAsia="ja-JP"/>
        </w:rPr>
        <w:t>9</w:t>
      </w:r>
    </w:p>
    <w:p w14:paraId="719624E6" w14:textId="22A90FE7" w:rsidR="00C11308" w:rsidRDefault="00C11308" w:rsidP="00C11308">
      <w:pPr>
        <w:pStyle w:val="Figuretitle"/>
        <w:rPr>
          <w:lang w:val="en-GB"/>
        </w:rPr>
      </w:pPr>
      <w:r w:rsidRPr="00263F6F">
        <w:rPr>
          <w:i/>
          <w:iCs/>
          <w:lang w:val="en-GB"/>
        </w:rPr>
        <w:t>I</w:t>
      </w:r>
      <w:r w:rsidRPr="0081690D">
        <w:rPr>
          <w:lang w:val="en-GB"/>
        </w:rPr>
        <w:t>/</w:t>
      </w:r>
      <w:r w:rsidRPr="00263F6F">
        <w:rPr>
          <w:i/>
          <w:iCs/>
          <w:lang w:val="en-GB"/>
        </w:rPr>
        <w:t>N</w:t>
      </w:r>
      <w:r w:rsidRPr="00263F6F">
        <w:rPr>
          <w:lang w:val="en-GB"/>
        </w:rPr>
        <w:t xml:space="preserve"> of CPMS MT receiver as a function of distance between RRH and CPMS MT whose antenna heights are 6 m and 2 m, respectively, at the frequencies of 252 GHz, 275 GHz and 296 GHz</w:t>
      </w:r>
    </w:p>
    <w:p w14:paraId="4AD3DC12" w14:textId="58EF6201" w:rsidR="00E65D68" w:rsidRPr="00E65D68" w:rsidRDefault="00E65D68" w:rsidP="00E65D68">
      <w:pPr>
        <w:pStyle w:val="Figure"/>
        <w:rPr>
          <w:lang w:val="en-GB"/>
        </w:rPr>
      </w:pPr>
      <w:r>
        <w:rPr>
          <w:noProof/>
          <w:lang w:val="en-GB"/>
        </w:rPr>
        <w:drawing>
          <wp:inline distT="0" distB="0" distL="0" distR="0" wp14:anchorId="728FAD02" wp14:editId="59F37987">
            <wp:extent cx="4115611" cy="8495327"/>
            <wp:effectExtent l="0" t="0" r="0" b="1270"/>
            <wp:docPr id="76" name="Picture 7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histo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23247" cy="8511090"/>
                    </a:xfrm>
                    <a:prstGeom prst="rect">
                      <a:avLst/>
                    </a:prstGeom>
                  </pic:spPr>
                </pic:pic>
              </a:graphicData>
            </a:graphic>
          </wp:inline>
        </w:drawing>
      </w:r>
    </w:p>
    <w:p w14:paraId="3584B818" w14:textId="77777777" w:rsidR="00C11308" w:rsidRPr="00263F6F" w:rsidRDefault="00C11308" w:rsidP="00C11308">
      <w:pPr>
        <w:pStyle w:val="Heading4"/>
        <w:rPr>
          <w:shd w:val="clear" w:color="auto" w:fill="FFFFFF"/>
          <w:lang w:val="en-GB" w:eastAsia="ja-JP"/>
        </w:rPr>
      </w:pPr>
      <w:r w:rsidRPr="00263F6F">
        <w:rPr>
          <w:shd w:val="clear" w:color="auto" w:fill="FFFFFF"/>
          <w:lang w:val="en-GB" w:eastAsia="ja-JP"/>
        </w:rPr>
        <w:lastRenderedPageBreak/>
        <w:t>6.4.4.2</w:t>
      </w:r>
      <w:r w:rsidRPr="00263F6F">
        <w:rPr>
          <w:shd w:val="clear" w:color="auto" w:fill="FFFFFF"/>
          <w:lang w:val="en-GB" w:eastAsia="ja-JP"/>
        </w:rPr>
        <w:tab/>
        <w:t>Adjacent channel analysis</w:t>
      </w:r>
    </w:p>
    <w:p w14:paraId="3F974550" w14:textId="60D2D112" w:rsidR="00C11308" w:rsidRPr="00263F6F" w:rsidRDefault="00C11308" w:rsidP="00C11308">
      <w:pPr>
        <w:rPr>
          <w:lang w:val="en-GB" w:eastAsia="ja-JP"/>
        </w:rPr>
      </w:pPr>
      <w:r w:rsidRPr="00263F6F">
        <w:rPr>
          <w:i/>
          <w:iCs/>
          <w:lang w:val="en-GB" w:eastAsia="ja-JP"/>
        </w:rPr>
        <w:t>I/N</w:t>
      </w:r>
      <w:r w:rsidRPr="00263F6F">
        <w:rPr>
          <w:lang w:val="en-GB" w:eastAsia="ja-JP"/>
        </w:rPr>
        <w:t xml:space="preserve"> of CPMS MT/FS receivers is calculated using the adjacent channel leakage ratio given in </w:t>
      </w:r>
      <w:r w:rsidR="0081690D">
        <w:rPr>
          <w:lang w:val="en-GB" w:eastAsia="ja-JP"/>
        </w:rPr>
        <w:t>§</w:t>
      </w:r>
      <w:r w:rsidRPr="00263F6F">
        <w:rPr>
          <w:lang w:val="en-GB" w:eastAsia="ja-JP"/>
        </w:rPr>
        <w:t xml:space="preserve"> 6.2.3. Figure 10 shows the relationship between </w:t>
      </w:r>
      <w:r w:rsidRPr="00263F6F">
        <w:rPr>
          <w:i/>
          <w:iCs/>
          <w:lang w:val="en-GB" w:eastAsia="ja-JP"/>
        </w:rPr>
        <w:t>I</w:t>
      </w:r>
      <w:r w:rsidRPr="007A2AE4">
        <w:rPr>
          <w:lang w:val="en-GB" w:eastAsia="ja-JP"/>
        </w:rPr>
        <w:t>/</w:t>
      </w:r>
      <w:r w:rsidRPr="00263F6F">
        <w:rPr>
          <w:i/>
          <w:iCs/>
          <w:lang w:val="en-GB" w:eastAsia="ja-JP"/>
        </w:rPr>
        <w:t>N</w:t>
      </w:r>
      <w:r w:rsidRPr="00263F6F">
        <w:rPr>
          <w:lang w:val="en-GB" w:eastAsia="ja-JP"/>
        </w:rPr>
        <w:t xml:space="preserve"> of CPMS MT/FS receivers and distance between RRH transmitter and CPMS MT/FS receivers. It is clearly indicated that the peak </w:t>
      </w:r>
      <w:r w:rsidRPr="00263F6F">
        <w:rPr>
          <w:i/>
          <w:iCs/>
          <w:lang w:val="en-GB" w:eastAsia="ja-JP"/>
        </w:rPr>
        <w:t>I</w:t>
      </w:r>
      <w:r w:rsidRPr="007A2AE4">
        <w:rPr>
          <w:lang w:val="en-GB" w:eastAsia="ja-JP"/>
        </w:rPr>
        <w:t>/</w:t>
      </w:r>
      <w:r w:rsidRPr="00263F6F">
        <w:rPr>
          <w:i/>
          <w:iCs/>
          <w:lang w:val="en-GB" w:eastAsia="ja-JP"/>
        </w:rPr>
        <w:t xml:space="preserve">N </w:t>
      </w:r>
      <w:r w:rsidRPr="00263F6F">
        <w:rPr>
          <w:lang w:val="en-GB" w:eastAsia="ja-JP"/>
        </w:rPr>
        <w:t>of CPMS MT/FS is determined from the distance between RRH transmitter and CPMS MT/FS receivers and the height difference of RRH transmitter and CPMS MT/FS receivers, as well as the elevation angle of RRH antenna.</w:t>
      </w:r>
    </w:p>
    <w:p w14:paraId="294AEAAD" w14:textId="77777777" w:rsidR="00C11308" w:rsidRPr="00263F6F" w:rsidRDefault="00C11308" w:rsidP="00C11308">
      <w:pPr>
        <w:pStyle w:val="FigureNo"/>
        <w:rPr>
          <w:i/>
          <w:lang w:val="en-GB" w:eastAsia="ja-JP"/>
        </w:rPr>
      </w:pPr>
      <w:r w:rsidRPr="00263F6F">
        <w:rPr>
          <w:lang w:val="en-GB"/>
        </w:rPr>
        <w:t xml:space="preserve">FIGURE </w:t>
      </w:r>
      <w:r w:rsidRPr="00263F6F">
        <w:rPr>
          <w:lang w:val="en-GB" w:eastAsia="ja-JP"/>
        </w:rPr>
        <w:t>10</w:t>
      </w:r>
    </w:p>
    <w:p w14:paraId="3A19B5CE" w14:textId="0E5CB0AE" w:rsidR="00C11308" w:rsidRDefault="00C11308" w:rsidP="00C11308">
      <w:pPr>
        <w:pStyle w:val="Figuretitle"/>
        <w:rPr>
          <w:lang w:val="en-GB"/>
        </w:rPr>
      </w:pPr>
      <w:r w:rsidRPr="00263F6F">
        <w:rPr>
          <w:i/>
          <w:iCs/>
          <w:lang w:val="en-GB"/>
        </w:rPr>
        <w:t>I</w:t>
      </w:r>
      <w:r w:rsidRPr="007A2AE4">
        <w:rPr>
          <w:lang w:val="en-GB"/>
        </w:rPr>
        <w:t>/</w:t>
      </w:r>
      <w:r w:rsidRPr="00263F6F">
        <w:rPr>
          <w:i/>
          <w:iCs/>
          <w:lang w:val="en-GB"/>
        </w:rPr>
        <w:t>N</w:t>
      </w:r>
      <w:r w:rsidRPr="00263F6F">
        <w:rPr>
          <w:lang w:val="en-GB"/>
        </w:rPr>
        <w:t xml:space="preserve"> of CPMS MT/FS receivers as a function of distance between RRH and CPMS whose antenna heights are 6 m and 2 m, respectively, at the frequency of 275 GHz</w:t>
      </w:r>
    </w:p>
    <w:p w14:paraId="14F2C035" w14:textId="7C5BF46E" w:rsidR="00E65D68" w:rsidRPr="00E65D68" w:rsidRDefault="00E65D68" w:rsidP="00E65D68">
      <w:pPr>
        <w:pStyle w:val="Figure"/>
        <w:rPr>
          <w:lang w:val="en-GB"/>
        </w:rPr>
      </w:pPr>
      <w:r>
        <w:rPr>
          <w:noProof/>
          <w:lang w:val="en-GB"/>
        </w:rPr>
        <w:drawing>
          <wp:inline distT="0" distB="0" distL="0" distR="0" wp14:anchorId="6EBD2123" wp14:editId="46643EF9">
            <wp:extent cx="4584201" cy="6650750"/>
            <wp:effectExtent l="0" t="0" r="6985" b="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84201" cy="6650750"/>
                    </a:xfrm>
                    <a:prstGeom prst="rect">
                      <a:avLst/>
                    </a:prstGeom>
                  </pic:spPr>
                </pic:pic>
              </a:graphicData>
            </a:graphic>
          </wp:inline>
        </w:drawing>
      </w:r>
    </w:p>
    <w:p w14:paraId="69922384" w14:textId="77777777" w:rsidR="00C11308" w:rsidRPr="00263F6F" w:rsidRDefault="00C11308" w:rsidP="00C11308">
      <w:pPr>
        <w:pStyle w:val="Heading1"/>
        <w:rPr>
          <w:lang w:val="en-GB" w:eastAsia="ja-JP"/>
        </w:rPr>
      </w:pPr>
      <w:bookmarkStart w:id="35" w:name="_Toc122512307"/>
      <w:r w:rsidRPr="00263F6F">
        <w:rPr>
          <w:lang w:val="en-GB" w:eastAsia="ja-JP"/>
        </w:rPr>
        <w:lastRenderedPageBreak/>
        <w:t>7</w:t>
      </w:r>
      <w:r w:rsidRPr="00263F6F">
        <w:rPr>
          <w:lang w:val="en-GB" w:eastAsia="ja-JP"/>
        </w:rPr>
        <w:tab/>
      </w:r>
      <w:r w:rsidRPr="00263F6F">
        <w:rPr>
          <w:lang w:val="en-GB"/>
        </w:rPr>
        <w:t>Summary</w:t>
      </w:r>
      <w:bookmarkEnd w:id="35"/>
    </w:p>
    <w:p w14:paraId="26697A83" w14:textId="77777777" w:rsidR="00C11308" w:rsidRPr="00263F6F" w:rsidRDefault="00C11308" w:rsidP="00C11308">
      <w:pPr>
        <w:rPr>
          <w:lang w:val="en-GB" w:eastAsia="ja-JP"/>
        </w:rPr>
      </w:pPr>
      <w:r w:rsidRPr="00263F6F">
        <w:rPr>
          <w:lang w:val="en-GB" w:eastAsia="ja-JP"/>
        </w:rPr>
        <w:t>The interference study conducted indicates that LMS applications cannot coexist with FS applications if both applications are operated in the same channel in the same geographical area. When LMS applications and FS applications operate in adjacent channels, coexistence is feasible when considering the FS long-term protection criterion.</w:t>
      </w:r>
    </w:p>
    <w:p w14:paraId="378DBB39" w14:textId="6FD72322" w:rsidR="00C11308" w:rsidRPr="00263F6F" w:rsidRDefault="00C11308" w:rsidP="00C11308">
      <w:pPr>
        <w:rPr>
          <w:lang w:val="en-GB" w:eastAsia="ja-JP"/>
        </w:rPr>
      </w:pPr>
      <w:r w:rsidRPr="00263F6F">
        <w:rPr>
          <w:lang w:val="en-GB" w:eastAsia="ja-JP"/>
        </w:rPr>
        <w:t xml:space="preserve">Although LMS and FS applications utilize a variety of channel bandwidths, this Report only provides an initial coexistence study considering a channel bandwidth of 17.28 GHz. Future updates of this </w:t>
      </w:r>
      <w:r w:rsidR="00112A5B" w:rsidRPr="00263F6F">
        <w:rPr>
          <w:lang w:val="en-GB" w:eastAsia="ja-JP"/>
        </w:rPr>
        <w:t xml:space="preserve">Report </w:t>
      </w:r>
      <w:r w:rsidRPr="00263F6F">
        <w:rPr>
          <w:lang w:val="en-GB" w:eastAsia="ja-JP"/>
        </w:rPr>
        <w:t>could consider coexistence study results using combinations of different channel bandwidths and/or transmission frequencies, and further information on clutter loss and BEL, when such data is available.</w:t>
      </w:r>
    </w:p>
    <w:p w14:paraId="63108ACF" w14:textId="461F73F3" w:rsidR="00C11308" w:rsidRPr="00263F6F" w:rsidRDefault="00C11308" w:rsidP="007A7FF5">
      <w:pPr>
        <w:pStyle w:val="AnnexNoTitle"/>
        <w:rPr>
          <w:lang w:val="en-GB"/>
        </w:rPr>
      </w:pPr>
      <w:bookmarkStart w:id="36" w:name="_Toc11081158"/>
      <w:bookmarkStart w:id="37" w:name="_Toc122512308"/>
      <w:r w:rsidRPr="00263F6F">
        <w:rPr>
          <w:lang w:val="en-GB"/>
        </w:rPr>
        <w:t xml:space="preserve">Annex </w:t>
      </w:r>
      <w:bookmarkEnd w:id="36"/>
      <w:r w:rsidRPr="00263F6F">
        <w:rPr>
          <w:lang w:val="en-GB" w:eastAsia="ja-JP"/>
        </w:rPr>
        <w:t>1</w:t>
      </w:r>
      <w:r w:rsidR="007A7FF5" w:rsidRPr="00263F6F">
        <w:rPr>
          <w:lang w:val="en-GB" w:eastAsia="ja-JP"/>
        </w:rPr>
        <w:br/>
      </w:r>
      <w:r w:rsidR="007A7FF5" w:rsidRPr="00263F6F">
        <w:rPr>
          <w:lang w:val="en-GB" w:eastAsia="ja-JP"/>
        </w:rPr>
        <w:br/>
      </w:r>
      <w:bookmarkStart w:id="38" w:name="_Toc11081159"/>
      <w:r w:rsidRPr="00263F6F">
        <w:rPr>
          <w:lang w:val="en-GB"/>
        </w:rPr>
        <w:t xml:space="preserve">Extrapolation of building entry loss from Recommendation ITU-R </w:t>
      </w:r>
      <w:bookmarkEnd w:id="38"/>
      <w:r w:rsidR="00411997" w:rsidRPr="0038664C">
        <w:fldChar w:fldCharType="begin"/>
      </w:r>
      <w:r w:rsidR="00411997" w:rsidRPr="0038664C">
        <w:rPr>
          <w:lang w:val="en-GB"/>
        </w:rPr>
        <w:instrText>HYPERLINK "http://www.itu.int/rec/R-REC-P.2109/en"</w:instrText>
      </w:r>
      <w:r w:rsidR="00411997" w:rsidRPr="0038664C">
        <w:fldChar w:fldCharType="separate"/>
      </w:r>
      <w:r w:rsidR="00411997" w:rsidRPr="0038664C">
        <w:rPr>
          <w:lang w:val="en-GB" w:eastAsia="ja-JP"/>
        </w:rPr>
        <w:t>P.2109</w:t>
      </w:r>
      <w:bookmarkEnd w:id="37"/>
      <w:r w:rsidR="00411997" w:rsidRPr="0038664C">
        <w:rPr>
          <w:lang w:val="en-GB" w:eastAsia="ja-JP"/>
        </w:rPr>
        <w:fldChar w:fldCharType="end"/>
      </w:r>
    </w:p>
    <w:p w14:paraId="0CAA0D7B" w14:textId="7BD50B4C" w:rsidR="00C11308" w:rsidRPr="00263F6F" w:rsidRDefault="00C11308" w:rsidP="007A7FF5">
      <w:pPr>
        <w:pStyle w:val="Normalaftertitle"/>
        <w:rPr>
          <w:lang w:val="en-GB" w:eastAsia="ja-JP"/>
        </w:rPr>
      </w:pPr>
      <w:r w:rsidRPr="00263F6F">
        <w:rPr>
          <w:lang w:val="en-GB" w:eastAsia="ja-JP"/>
        </w:rPr>
        <w:t>This Annex provides extrapolated estimation of the median building entry loss (BEL) in accordance with Recommendation</w:t>
      </w:r>
      <w:r w:rsidR="0038664C" w:rsidRPr="0038664C">
        <w:rPr>
          <w:lang w:val="en-GB"/>
        </w:rPr>
        <w:t xml:space="preserve"> </w:t>
      </w:r>
      <w:r w:rsidR="0038664C" w:rsidRPr="0038664C">
        <w:rPr>
          <w:lang w:val="en-GB" w:eastAsia="ja-JP"/>
        </w:rPr>
        <w:t>ITU-R</w:t>
      </w:r>
      <w:r w:rsidRPr="00263F6F">
        <w:rPr>
          <w:lang w:val="en-GB" w:eastAsia="ja-JP"/>
        </w:rPr>
        <w:t xml:space="preserve"> </w:t>
      </w:r>
      <w:hyperlink r:id="rId54" w:history="1">
        <w:r w:rsidR="0038664C" w:rsidRPr="0038664C">
          <w:rPr>
            <w:lang w:val="en-GB" w:eastAsia="ja-JP"/>
          </w:rPr>
          <w:t>P.2109</w:t>
        </w:r>
      </w:hyperlink>
      <w:r w:rsidRPr="00263F6F">
        <w:rPr>
          <w:lang w:val="en-GB" w:eastAsia="ja-JP"/>
        </w:rPr>
        <w:t xml:space="preserve"> provided that the correction for the probabilities other than median should not be used. Figure </w:t>
      </w:r>
      <w:r w:rsidR="00D53227">
        <w:rPr>
          <w:lang w:val="en-GB" w:eastAsia="ja-JP"/>
        </w:rPr>
        <w:t>1</w:t>
      </w:r>
      <w:r w:rsidRPr="00263F6F">
        <w:rPr>
          <w:lang w:val="en-GB" w:eastAsia="ja-JP"/>
        </w:rPr>
        <w:t>1 shows the extrapolated building loss in the frequency range 10</w:t>
      </w:r>
      <w:r w:rsidR="00D53227">
        <w:rPr>
          <w:lang w:val="en-GB" w:eastAsia="ja-JP"/>
        </w:rPr>
        <w:noBreakHyphen/>
      </w:r>
      <w:r w:rsidRPr="00263F6F">
        <w:rPr>
          <w:lang w:val="en-GB" w:eastAsia="ja-JP"/>
        </w:rPr>
        <w:t xml:space="preserve">1 000 GHz. Those values may be used for the future coexistence studies between LMS and FS applications in the frequency range 252-296 GHz if the frequency range covered by Recommendation ITU-R </w:t>
      </w:r>
      <w:hyperlink r:id="rId55" w:history="1">
        <w:r w:rsidR="00411997" w:rsidRPr="0038664C">
          <w:rPr>
            <w:lang w:val="en-GB" w:eastAsia="ja-JP"/>
          </w:rPr>
          <w:t>P.2109</w:t>
        </w:r>
      </w:hyperlink>
      <w:r w:rsidRPr="00263F6F">
        <w:rPr>
          <w:lang w:val="en-GB" w:eastAsia="ja-JP"/>
        </w:rPr>
        <w:t xml:space="preserve"> could be extended up to terahertz frequencies.</w:t>
      </w:r>
    </w:p>
    <w:p w14:paraId="72D3D8D5" w14:textId="7FEA3EAE" w:rsidR="00C11308" w:rsidRPr="00263F6F" w:rsidRDefault="00C11308" w:rsidP="00C11308">
      <w:pPr>
        <w:pStyle w:val="FigureNo"/>
        <w:rPr>
          <w:i/>
          <w:lang w:val="en-GB" w:eastAsia="ja-JP"/>
        </w:rPr>
      </w:pPr>
      <w:r w:rsidRPr="00263F6F">
        <w:rPr>
          <w:lang w:val="en-GB"/>
        </w:rPr>
        <w:t xml:space="preserve">FIGURE </w:t>
      </w:r>
      <w:r w:rsidR="00D53227">
        <w:rPr>
          <w:lang w:val="en-GB"/>
        </w:rPr>
        <w:t>1</w:t>
      </w:r>
      <w:r w:rsidRPr="00263F6F">
        <w:rPr>
          <w:lang w:val="en-GB" w:eastAsia="ja-JP"/>
        </w:rPr>
        <w:t>1</w:t>
      </w:r>
    </w:p>
    <w:p w14:paraId="44326993" w14:textId="05F633FA" w:rsidR="00C11308" w:rsidRPr="00263F6F" w:rsidRDefault="00C11308" w:rsidP="00C11308">
      <w:pPr>
        <w:pStyle w:val="Figuretitle"/>
        <w:rPr>
          <w:lang w:val="en-GB"/>
        </w:rPr>
      </w:pPr>
      <w:r w:rsidRPr="00263F6F">
        <w:rPr>
          <w:lang w:val="en-GB"/>
        </w:rPr>
        <w:t xml:space="preserve">Extrapolated median building entry loss using Recommendation ITU-R </w:t>
      </w:r>
      <w:hyperlink r:id="rId56" w:history="1">
        <w:r w:rsidR="00411997" w:rsidRPr="0038664C">
          <w:rPr>
            <w:lang w:val="en-GB" w:eastAsia="ja-JP"/>
          </w:rPr>
          <w:t>P.2109</w:t>
        </w:r>
      </w:hyperlink>
    </w:p>
    <w:p w14:paraId="5D091287" w14:textId="02810756" w:rsidR="00C11308" w:rsidRPr="00263F6F" w:rsidRDefault="008C5E83" w:rsidP="00C11308">
      <w:pPr>
        <w:pStyle w:val="Figure"/>
        <w:rPr>
          <w:lang w:val="en-GB" w:eastAsia="ja-JP"/>
        </w:rPr>
      </w:pPr>
      <w:r>
        <w:rPr>
          <w:noProof/>
          <w:lang w:val="en-GB" w:eastAsia="ja-JP"/>
        </w:rPr>
        <w:drawing>
          <wp:inline distT="0" distB="0" distL="0" distR="0" wp14:anchorId="2B031369" wp14:editId="43DBA96D">
            <wp:extent cx="3761240" cy="2880366"/>
            <wp:effectExtent l="0" t="0" r="0" b="0"/>
            <wp:docPr id="79" name="Picture 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lin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61240" cy="2880366"/>
                    </a:xfrm>
                    <a:prstGeom prst="rect">
                      <a:avLst/>
                    </a:prstGeom>
                  </pic:spPr>
                </pic:pic>
              </a:graphicData>
            </a:graphic>
          </wp:inline>
        </w:drawing>
      </w:r>
    </w:p>
    <w:p w14:paraId="4018B4FC" w14:textId="77777777" w:rsidR="00C11308" w:rsidRPr="00263F6F" w:rsidRDefault="00C11308" w:rsidP="00C11308">
      <w:pPr>
        <w:rPr>
          <w:lang w:val="en-GB" w:eastAsia="ja-JP"/>
        </w:rPr>
      </w:pPr>
    </w:p>
    <w:p w14:paraId="0EE40FA0" w14:textId="77777777" w:rsidR="00C11308" w:rsidRPr="00263F6F" w:rsidRDefault="00C11308" w:rsidP="00C11308">
      <w:pPr>
        <w:rPr>
          <w:lang w:val="en-GB" w:eastAsia="ja-JP"/>
        </w:rPr>
      </w:pPr>
    </w:p>
    <w:p w14:paraId="53EDC184" w14:textId="77777777" w:rsidR="004B162E" w:rsidRDefault="004B162E" w:rsidP="007A7FF5">
      <w:pPr>
        <w:pStyle w:val="AnnexNoTitle"/>
        <w:rPr>
          <w:lang w:val="en-GB"/>
        </w:rPr>
      </w:pPr>
      <w:bookmarkStart w:id="39" w:name="_Toc122512309"/>
      <w:r>
        <w:rPr>
          <w:lang w:val="en-GB"/>
        </w:rPr>
        <w:br w:type="page"/>
      </w:r>
    </w:p>
    <w:p w14:paraId="7CF3210E" w14:textId="202F5C1E" w:rsidR="00C11308" w:rsidRPr="00263F6F" w:rsidRDefault="00C11308" w:rsidP="007A7FF5">
      <w:pPr>
        <w:pStyle w:val="AnnexNoTitle"/>
        <w:rPr>
          <w:lang w:val="en-GB"/>
        </w:rPr>
      </w:pPr>
      <w:r w:rsidRPr="00263F6F">
        <w:rPr>
          <w:lang w:val="en-GB"/>
        </w:rPr>
        <w:lastRenderedPageBreak/>
        <w:t xml:space="preserve">Annex </w:t>
      </w:r>
      <w:r w:rsidRPr="00263F6F">
        <w:rPr>
          <w:lang w:val="en-GB" w:eastAsia="ja-JP"/>
        </w:rPr>
        <w:t>2</w:t>
      </w:r>
      <w:r w:rsidR="007A7FF5" w:rsidRPr="00263F6F">
        <w:rPr>
          <w:lang w:val="en-GB" w:eastAsia="ja-JP"/>
        </w:rPr>
        <w:br/>
      </w:r>
      <w:r w:rsidR="007A7FF5" w:rsidRPr="00263F6F">
        <w:rPr>
          <w:lang w:val="en-GB" w:eastAsia="ja-JP"/>
        </w:rPr>
        <w:br/>
      </w:r>
      <w:r w:rsidRPr="00263F6F">
        <w:rPr>
          <w:lang w:val="en-GB"/>
        </w:rPr>
        <w:t>Channel arrangement in the frequency range 252-296 GHz</w:t>
      </w:r>
      <w:bookmarkEnd w:id="39"/>
    </w:p>
    <w:p w14:paraId="16481DA2" w14:textId="14D4058A" w:rsidR="00C11308" w:rsidRPr="00263F6F" w:rsidRDefault="00C11308" w:rsidP="007A7FF5">
      <w:pPr>
        <w:pStyle w:val="Normalaftertitle"/>
        <w:rPr>
          <w:lang w:val="en-GB" w:eastAsia="ja-JP"/>
        </w:rPr>
      </w:pPr>
      <w:r w:rsidRPr="00263F6F">
        <w:rPr>
          <w:lang w:val="en-GB" w:eastAsia="ja-JP"/>
        </w:rPr>
        <w:t>The channel arrangement whose channel bandwidth of 2.16 GHz, 4.32 GHz, 8.64 GHz, 12.96 GHz, 17.28 GHz and 25.92 GHz is shown in Fig</w:t>
      </w:r>
      <w:r w:rsidR="00D53227">
        <w:rPr>
          <w:lang w:val="en-GB" w:eastAsia="ja-JP"/>
        </w:rPr>
        <w:t>.</w:t>
      </w:r>
      <w:r w:rsidRPr="00263F6F">
        <w:rPr>
          <w:lang w:val="en-GB" w:eastAsia="ja-JP"/>
        </w:rPr>
        <w:t xml:space="preserve"> </w:t>
      </w:r>
      <w:r w:rsidR="0047347B">
        <w:rPr>
          <w:lang w:val="en-GB" w:eastAsia="ja-JP"/>
        </w:rPr>
        <w:t>1</w:t>
      </w:r>
      <w:r w:rsidRPr="00263F6F">
        <w:rPr>
          <w:lang w:val="en-GB" w:eastAsia="ja-JP"/>
        </w:rPr>
        <w:t xml:space="preserve">2. </w:t>
      </w:r>
    </w:p>
    <w:p w14:paraId="67A599F4" w14:textId="5660CAF3" w:rsidR="00C11308" w:rsidRPr="00263F6F" w:rsidRDefault="00C11308" w:rsidP="00C11308">
      <w:pPr>
        <w:pStyle w:val="FigureNo"/>
        <w:rPr>
          <w:lang w:val="en-GB" w:eastAsia="ja-JP"/>
        </w:rPr>
      </w:pPr>
      <w:r w:rsidRPr="00263F6F">
        <w:rPr>
          <w:lang w:val="en-GB"/>
        </w:rPr>
        <w:t xml:space="preserve">FIGURE </w:t>
      </w:r>
      <w:r w:rsidR="0047347B">
        <w:rPr>
          <w:lang w:val="en-GB"/>
        </w:rPr>
        <w:t>12</w:t>
      </w:r>
    </w:p>
    <w:p w14:paraId="57101821" w14:textId="60BEA0C8" w:rsidR="00C11308" w:rsidRPr="00263F6F" w:rsidRDefault="00C11308" w:rsidP="00C11308">
      <w:pPr>
        <w:pStyle w:val="Figuretitle"/>
        <w:rPr>
          <w:lang w:val="en-GB"/>
        </w:rPr>
      </w:pPr>
      <w:r w:rsidRPr="00263F6F">
        <w:rPr>
          <w:lang w:val="en-GB"/>
        </w:rPr>
        <w:t xml:space="preserve">Channel </w:t>
      </w:r>
      <w:r w:rsidR="0047347B" w:rsidRPr="00263F6F">
        <w:rPr>
          <w:lang w:val="en-GB"/>
        </w:rPr>
        <w:t xml:space="preserve">arrangement </w:t>
      </w:r>
      <w:r w:rsidRPr="00263F6F">
        <w:rPr>
          <w:lang w:val="en-GB"/>
        </w:rPr>
        <w:t xml:space="preserve">in the </w:t>
      </w:r>
      <w:r w:rsidR="0047347B" w:rsidRPr="00263F6F">
        <w:rPr>
          <w:lang w:val="en-GB"/>
        </w:rPr>
        <w:t>frequency r</w:t>
      </w:r>
      <w:r w:rsidRPr="00263F6F">
        <w:rPr>
          <w:lang w:val="en-GB"/>
        </w:rPr>
        <w:t>ange 252-296 GHz based on IEEE Std. 802.15.3d</w:t>
      </w:r>
      <w:r w:rsidRPr="00263F6F">
        <w:rPr>
          <w:vertAlign w:val="superscript"/>
          <w:lang w:val="en-GB"/>
        </w:rPr>
        <w:t>TM</w:t>
      </w:r>
      <w:r w:rsidRPr="00263F6F">
        <w:rPr>
          <w:lang w:val="en-GB"/>
        </w:rPr>
        <w:t>-2017</w:t>
      </w:r>
    </w:p>
    <w:p w14:paraId="1F7A98CF" w14:textId="6884F73E" w:rsidR="00C11308" w:rsidRPr="00263F6F" w:rsidRDefault="00710F2A" w:rsidP="00C11308">
      <w:pPr>
        <w:pStyle w:val="Figure"/>
        <w:rPr>
          <w:lang w:val="en-GB" w:eastAsia="ja-JP"/>
        </w:rPr>
      </w:pPr>
      <w:r>
        <w:rPr>
          <w:noProof/>
          <w:lang w:val="en-GB" w:eastAsia="ja-JP"/>
        </w:rPr>
        <w:drawing>
          <wp:inline distT="0" distB="0" distL="0" distR="0" wp14:anchorId="500DFDEF" wp14:editId="0E889AFB">
            <wp:extent cx="4471425" cy="3700280"/>
            <wp:effectExtent l="0" t="0" r="5715"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71425" cy="3700280"/>
                    </a:xfrm>
                    <a:prstGeom prst="rect">
                      <a:avLst/>
                    </a:prstGeom>
                  </pic:spPr>
                </pic:pic>
              </a:graphicData>
            </a:graphic>
          </wp:inline>
        </w:drawing>
      </w:r>
    </w:p>
    <w:p w14:paraId="3D45097A" w14:textId="77777777" w:rsidR="00C11308" w:rsidRPr="00263F6F" w:rsidRDefault="00C11308" w:rsidP="00C11308">
      <w:pPr>
        <w:rPr>
          <w:lang w:val="en-GB" w:eastAsia="zh-CN"/>
        </w:rPr>
      </w:pPr>
    </w:p>
    <w:p w14:paraId="248F92BF" w14:textId="40A5E171" w:rsidR="00957DE8" w:rsidRPr="00263F6F" w:rsidRDefault="00957DE8" w:rsidP="00526D52">
      <w:pPr>
        <w:tabs>
          <w:tab w:val="left" w:pos="2608"/>
          <w:tab w:val="left" w:pos="3345"/>
        </w:tabs>
        <w:spacing w:before="80"/>
        <w:ind w:left="1134" w:hanging="1134"/>
        <w:rPr>
          <w:lang w:val="en-GB"/>
        </w:rPr>
      </w:pPr>
    </w:p>
    <w:p w14:paraId="708F8C1C" w14:textId="77777777" w:rsidR="00313A68" w:rsidRPr="00263F6F" w:rsidRDefault="00313A68" w:rsidP="00CD6809">
      <w:pPr>
        <w:pStyle w:val="Line"/>
      </w:pPr>
    </w:p>
    <w:sectPr w:rsidR="00313A68" w:rsidRPr="00263F6F" w:rsidSect="00002B19">
      <w:headerReference w:type="even" r:id="rId59"/>
      <w:headerReference w:type="default" r:id="rId6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0CD71" w14:textId="77777777" w:rsidR="00E34D3E" w:rsidRDefault="00E34D3E">
      <w:r>
        <w:separator/>
      </w:r>
    </w:p>
  </w:endnote>
  <w:endnote w:type="continuationSeparator" w:id="0">
    <w:p w14:paraId="2DCA2786" w14:textId="77777777" w:rsidR="00E34D3E" w:rsidRDefault="00E3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C79C0" w14:textId="77777777" w:rsidR="00E34D3E" w:rsidRDefault="00E34D3E">
      <w:r>
        <w:separator/>
      </w:r>
    </w:p>
  </w:footnote>
  <w:footnote w:type="continuationSeparator" w:id="0">
    <w:p w14:paraId="6E0EA652" w14:textId="77777777" w:rsidR="00E34D3E" w:rsidRDefault="00E34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03FEAA60"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8453D" w:rsidRPr="00F8453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8453D">
      <w:rPr>
        <w:b/>
        <w:bCs/>
        <w:noProof/>
        <w:lang w:val="en-US"/>
      </w:rPr>
      <w:t>ITU-R  M.2517-0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18318C23"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8453D">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8453D">
      <w:rPr>
        <w:b/>
        <w:bCs/>
        <w:noProof/>
        <w:lang w:val="en-US"/>
      </w:rPr>
      <w:t>ITU-R  M.2517-0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2529388C"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8453D">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8453D">
      <w:rPr>
        <w:b/>
        <w:bCs/>
        <w:noProof/>
        <w:lang w:val="en-US"/>
      </w:rPr>
      <w:t>ITU-R  M.2517-0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18C"/>
    <w:rsid w:val="00002B19"/>
    <w:rsid w:val="000060D4"/>
    <w:rsid w:val="000068A6"/>
    <w:rsid w:val="00010822"/>
    <w:rsid w:val="00010AE5"/>
    <w:rsid w:val="00011139"/>
    <w:rsid w:val="00013002"/>
    <w:rsid w:val="0002120E"/>
    <w:rsid w:val="00022C94"/>
    <w:rsid w:val="00023E30"/>
    <w:rsid w:val="00030C49"/>
    <w:rsid w:val="00042E87"/>
    <w:rsid w:val="000467C5"/>
    <w:rsid w:val="00046DB2"/>
    <w:rsid w:val="00050D41"/>
    <w:rsid w:val="00051BC7"/>
    <w:rsid w:val="00063045"/>
    <w:rsid w:val="000632E9"/>
    <w:rsid w:val="00072484"/>
    <w:rsid w:val="000747F3"/>
    <w:rsid w:val="0008090B"/>
    <w:rsid w:val="00081C0B"/>
    <w:rsid w:val="000914BC"/>
    <w:rsid w:val="0009150E"/>
    <w:rsid w:val="00091E52"/>
    <w:rsid w:val="0009323A"/>
    <w:rsid w:val="000962CD"/>
    <w:rsid w:val="00096612"/>
    <w:rsid w:val="000A6C66"/>
    <w:rsid w:val="000B0690"/>
    <w:rsid w:val="000B1878"/>
    <w:rsid w:val="000B2DEE"/>
    <w:rsid w:val="000B7683"/>
    <w:rsid w:val="000B7B53"/>
    <w:rsid w:val="000C0413"/>
    <w:rsid w:val="000C0FCF"/>
    <w:rsid w:val="000C3624"/>
    <w:rsid w:val="000C5ECF"/>
    <w:rsid w:val="000C5FCD"/>
    <w:rsid w:val="000D0C47"/>
    <w:rsid w:val="000E1B0C"/>
    <w:rsid w:val="000E4916"/>
    <w:rsid w:val="000E4FD1"/>
    <w:rsid w:val="000F3C25"/>
    <w:rsid w:val="000F4DCB"/>
    <w:rsid w:val="000F63EE"/>
    <w:rsid w:val="000F6FC4"/>
    <w:rsid w:val="00102934"/>
    <w:rsid w:val="00110A60"/>
    <w:rsid w:val="0011209A"/>
    <w:rsid w:val="00112A5B"/>
    <w:rsid w:val="00112A75"/>
    <w:rsid w:val="0011387C"/>
    <w:rsid w:val="001171B3"/>
    <w:rsid w:val="0013200F"/>
    <w:rsid w:val="0013348E"/>
    <w:rsid w:val="00141147"/>
    <w:rsid w:val="00144DA0"/>
    <w:rsid w:val="00147110"/>
    <w:rsid w:val="00150548"/>
    <w:rsid w:val="00151149"/>
    <w:rsid w:val="00154C07"/>
    <w:rsid w:val="001570F8"/>
    <w:rsid w:val="001603DB"/>
    <w:rsid w:val="00160E0E"/>
    <w:rsid w:val="00164F31"/>
    <w:rsid w:val="00164F8E"/>
    <w:rsid w:val="00170A9C"/>
    <w:rsid w:val="00180815"/>
    <w:rsid w:val="00183694"/>
    <w:rsid w:val="001902BE"/>
    <w:rsid w:val="001905D8"/>
    <w:rsid w:val="0019428A"/>
    <w:rsid w:val="00196E2C"/>
    <w:rsid w:val="001A3840"/>
    <w:rsid w:val="001A4413"/>
    <w:rsid w:val="001A5259"/>
    <w:rsid w:val="001B29EF"/>
    <w:rsid w:val="001B7177"/>
    <w:rsid w:val="001C1118"/>
    <w:rsid w:val="001C28AF"/>
    <w:rsid w:val="001C4A41"/>
    <w:rsid w:val="001C63DD"/>
    <w:rsid w:val="001C70F6"/>
    <w:rsid w:val="001D3ABD"/>
    <w:rsid w:val="001D4352"/>
    <w:rsid w:val="001F208A"/>
    <w:rsid w:val="001F3F82"/>
    <w:rsid w:val="002005BB"/>
    <w:rsid w:val="00201545"/>
    <w:rsid w:val="00204361"/>
    <w:rsid w:val="00204631"/>
    <w:rsid w:val="002058CE"/>
    <w:rsid w:val="00214B6B"/>
    <w:rsid w:val="002157B0"/>
    <w:rsid w:val="002165F1"/>
    <w:rsid w:val="002222A5"/>
    <w:rsid w:val="002238D5"/>
    <w:rsid w:val="002239EA"/>
    <w:rsid w:val="00223A27"/>
    <w:rsid w:val="00224501"/>
    <w:rsid w:val="00224E4C"/>
    <w:rsid w:val="00225B7F"/>
    <w:rsid w:val="002328F6"/>
    <w:rsid w:val="00234F05"/>
    <w:rsid w:val="002359FB"/>
    <w:rsid w:val="00245087"/>
    <w:rsid w:val="00247681"/>
    <w:rsid w:val="00251F1C"/>
    <w:rsid w:val="002539F3"/>
    <w:rsid w:val="00253FDE"/>
    <w:rsid w:val="002558DC"/>
    <w:rsid w:val="00263AC4"/>
    <w:rsid w:val="00263F6F"/>
    <w:rsid w:val="00264D99"/>
    <w:rsid w:val="00265C8C"/>
    <w:rsid w:val="00266838"/>
    <w:rsid w:val="0027378E"/>
    <w:rsid w:val="00276D21"/>
    <w:rsid w:val="00280CD5"/>
    <w:rsid w:val="00283683"/>
    <w:rsid w:val="00291453"/>
    <w:rsid w:val="00292129"/>
    <w:rsid w:val="00292B08"/>
    <w:rsid w:val="00296D7F"/>
    <w:rsid w:val="00296EE3"/>
    <w:rsid w:val="00297D43"/>
    <w:rsid w:val="002A700B"/>
    <w:rsid w:val="002B32C9"/>
    <w:rsid w:val="002B3CF6"/>
    <w:rsid w:val="002B3F1B"/>
    <w:rsid w:val="002C67E4"/>
    <w:rsid w:val="002C768A"/>
    <w:rsid w:val="002D1160"/>
    <w:rsid w:val="002D76C4"/>
    <w:rsid w:val="002E1DB1"/>
    <w:rsid w:val="002E415D"/>
    <w:rsid w:val="002F00DE"/>
    <w:rsid w:val="002F176F"/>
    <w:rsid w:val="002F1997"/>
    <w:rsid w:val="00302F35"/>
    <w:rsid w:val="0030448E"/>
    <w:rsid w:val="003046CA"/>
    <w:rsid w:val="00306E9B"/>
    <w:rsid w:val="00310F1F"/>
    <w:rsid w:val="00313A68"/>
    <w:rsid w:val="00316D99"/>
    <w:rsid w:val="003174CD"/>
    <w:rsid w:val="00320361"/>
    <w:rsid w:val="003207C8"/>
    <w:rsid w:val="00327049"/>
    <w:rsid w:val="003320D3"/>
    <w:rsid w:val="003334D3"/>
    <w:rsid w:val="00335470"/>
    <w:rsid w:val="00335C82"/>
    <w:rsid w:val="00342225"/>
    <w:rsid w:val="003428B7"/>
    <w:rsid w:val="00351573"/>
    <w:rsid w:val="003547B9"/>
    <w:rsid w:val="00356E43"/>
    <w:rsid w:val="003571CE"/>
    <w:rsid w:val="00357282"/>
    <w:rsid w:val="00360140"/>
    <w:rsid w:val="003621A4"/>
    <w:rsid w:val="003627D4"/>
    <w:rsid w:val="00362ED1"/>
    <w:rsid w:val="00364205"/>
    <w:rsid w:val="00366027"/>
    <w:rsid w:val="003725C0"/>
    <w:rsid w:val="00372927"/>
    <w:rsid w:val="0038264E"/>
    <w:rsid w:val="00382E8A"/>
    <w:rsid w:val="00383F14"/>
    <w:rsid w:val="0038664C"/>
    <w:rsid w:val="00394080"/>
    <w:rsid w:val="00395B80"/>
    <w:rsid w:val="003A0A3D"/>
    <w:rsid w:val="003A64CE"/>
    <w:rsid w:val="003B2628"/>
    <w:rsid w:val="003B55AA"/>
    <w:rsid w:val="003C2E8C"/>
    <w:rsid w:val="003C6413"/>
    <w:rsid w:val="003C6CCA"/>
    <w:rsid w:val="003D1235"/>
    <w:rsid w:val="003D49CE"/>
    <w:rsid w:val="003D5AB6"/>
    <w:rsid w:val="003D662A"/>
    <w:rsid w:val="003D6DF3"/>
    <w:rsid w:val="003D70DA"/>
    <w:rsid w:val="003F0EB0"/>
    <w:rsid w:val="0040233E"/>
    <w:rsid w:val="00411997"/>
    <w:rsid w:val="00420DFD"/>
    <w:rsid w:val="00426FBF"/>
    <w:rsid w:val="004319C1"/>
    <w:rsid w:val="00432C1E"/>
    <w:rsid w:val="00440093"/>
    <w:rsid w:val="0044127F"/>
    <w:rsid w:val="00441C23"/>
    <w:rsid w:val="004465EF"/>
    <w:rsid w:val="00451837"/>
    <w:rsid w:val="00456388"/>
    <w:rsid w:val="00457701"/>
    <w:rsid w:val="00460729"/>
    <w:rsid w:val="00460ADA"/>
    <w:rsid w:val="004671F8"/>
    <w:rsid w:val="00470E28"/>
    <w:rsid w:val="004711CC"/>
    <w:rsid w:val="0047347B"/>
    <w:rsid w:val="00475D3A"/>
    <w:rsid w:val="00483594"/>
    <w:rsid w:val="00485BB4"/>
    <w:rsid w:val="004862C6"/>
    <w:rsid w:val="004934C5"/>
    <w:rsid w:val="004A221A"/>
    <w:rsid w:val="004A26E0"/>
    <w:rsid w:val="004B162E"/>
    <w:rsid w:val="004B37CB"/>
    <w:rsid w:val="004C11D2"/>
    <w:rsid w:val="004C25A0"/>
    <w:rsid w:val="004C3447"/>
    <w:rsid w:val="004C40CC"/>
    <w:rsid w:val="004C5120"/>
    <w:rsid w:val="004C7041"/>
    <w:rsid w:val="004E42E1"/>
    <w:rsid w:val="004E4604"/>
    <w:rsid w:val="004E46B8"/>
    <w:rsid w:val="004E7A1C"/>
    <w:rsid w:val="004F649C"/>
    <w:rsid w:val="005001B4"/>
    <w:rsid w:val="0050155E"/>
    <w:rsid w:val="0050565E"/>
    <w:rsid w:val="00505863"/>
    <w:rsid w:val="00505FB4"/>
    <w:rsid w:val="00506AA3"/>
    <w:rsid w:val="005103BA"/>
    <w:rsid w:val="005128EB"/>
    <w:rsid w:val="00524F50"/>
    <w:rsid w:val="00526063"/>
    <w:rsid w:val="00526D52"/>
    <w:rsid w:val="00527A55"/>
    <w:rsid w:val="00527C46"/>
    <w:rsid w:val="00527D2B"/>
    <w:rsid w:val="00532DD4"/>
    <w:rsid w:val="00534887"/>
    <w:rsid w:val="005442C2"/>
    <w:rsid w:val="005502EA"/>
    <w:rsid w:val="00554985"/>
    <w:rsid w:val="00556548"/>
    <w:rsid w:val="005600C9"/>
    <w:rsid w:val="005668C5"/>
    <w:rsid w:val="005721A7"/>
    <w:rsid w:val="00573EC3"/>
    <w:rsid w:val="00575CB4"/>
    <w:rsid w:val="00577DBE"/>
    <w:rsid w:val="0058001C"/>
    <w:rsid w:val="00581821"/>
    <w:rsid w:val="00586D17"/>
    <w:rsid w:val="00586EF8"/>
    <w:rsid w:val="00596D16"/>
    <w:rsid w:val="005974A4"/>
    <w:rsid w:val="005A0865"/>
    <w:rsid w:val="005A24BF"/>
    <w:rsid w:val="005A30EA"/>
    <w:rsid w:val="005A3E0C"/>
    <w:rsid w:val="005A5B2C"/>
    <w:rsid w:val="005A7658"/>
    <w:rsid w:val="005A791E"/>
    <w:rsid w:val="005B45B6"/>
    <w:rsid w:val="005B49AB"/>
    <w:rsid w:val="005B50E7"/>
    <w:rsid w:val="005B54A0"/>
    <w:rsid w:val="005B54F2"/>
    <w:rsid w:val="005C2931"/>
    <w:rsid w:val="005D3874"/>
    <w:rsid w:val="005D49C0"/>
    <w:rsid w:val="005E0C3E"/>
    <w:rsid w:val="005E3D5E"/>
    <w:rsid w:val="005E53F9"/>
    <w:rsid w:val="005E5B0C"/>
    <w:rsid w:val="005E7B4F"/>
    <w:rsid w:val="005F4693"/>
    <w:rsid w:val="00602E32"/>
    <w:rsid w:val="00607D68"/>
    <w:rsid w:val="006149B1"/>
    <w:rsid w:val="00615726"/>
    <w:rsid w:val="00616E4E"/>
    <w:rsid w:val="006200BB"/>
    <w:rsid w:val="00622D56"/>
    <w:rsid w:val="0062485F"/>
    <w:rsid w:val="006339F8"/>
    <w:rsid w:val="00634D23"/>
    <w:rsid w:val="00635C16"/>
    <w:rsid w:val="00635F41"/>
    <w:rsid w:val="00636532"/>
    <w:rsid w:val="006401C8"/>
    <w:rsid w:val="00640E0F"/>
    <w:rsid w:val="00644EA7"/>
    <w:rsid w:val="006458F3"/>
    <w:rsid w:val="006512C1"/>
    <w:rsid w:val="006536C3"/>
    <w:rsid w:val="006536D2"/>
    <w:rsid w:val="006537D9"/>
    <w:rsid w:val="00657940"/>
    <w:rsid w:val="00657F0F"/>
    <w:rsid w:val="006645DE"/>
    <w:rsid w:val="0067111B"/>
    <w:rsid w:val="00672897"/>
    <w:rsid w:val="00680C49"/>
    <w:rsid w:val="00680D2B"/>
    <w:rsid w:val="00681B32"/>
    <w:rsid w:val="0068286E"/>
    <w:rsid w:val="00684325"/>
    <w:rsid w:val="00696DFE"/>
    <w:rsid w:val="006A1F02"/>
    <w:rsid w:val="006A21C1"/>
    <w:rsid w:val="006A314B"/>
    <w:rsid w:val="006A3AD8"/>
    <w:rsid w:val="006A4520"/>
    <w:rsid w:val="006A6DC8"/>
    <w:rsid w:val="006C60BF"/>
    <w:rsid w:val="006D05D4"/>
    <w:rsid w:val="006D0ADB"/>
    <w:rsid w:val="006D20DC"/>
    <w:rsid w:val="006E2037"/>
    <w:rsid w:val="006E2EAE"/>
    <w:rsid w:val="006F1482"/>
    <w:rsid w:val="006F3B72"/>
    <w:rsid w:val="007010CA"/>
    <w:rsid w:val="007028E6"/>
    <w:rsid w:val="00710F2A"/>
    <w:rsid w:val="00711621"/>
    <w:rsid w:val="0071270A"/>
    <w:rsid w:val="00712870"/>
    <w:rsid w:val="007226E2"/>
    <w:rsid w:val="007230A2"/>
    <w:rsid w:val="00733281"/>
    <w:rsid w:val="007407EB"/>
    <w:rsid w:val="00743D85"/>
    <w:rsid w:val="0074518F"/>
    <w:rsid w:val="007521AA"/>
    <w:rsid w:val="00752FD3"/>
    <w:rsid w:val="007531D1"/>
    <w:rsid w:val="007535E3"/>
    <w:rsid w:val="00753CF4"/>
    <w:rsid w:val="00753E59"/>
    <w:rsid w:val="00753F04"/>
    <w:rsid w:val="007565CC"/>
    <w:rsid w:val="00757C29"/>
    <w:rsid w:val="00757E5F"/>
    <w:rsid w:val="0076255B"/>
    <w:rsid w:val="00763B9A"/>
    <w:rsid w:val="00770027"/>
    <w:rsid w:val="00770BFE"/>
    <w:rsid w:val="00770E12"/>
    <w:rsid w:val="00771C7F"/>
    <w:rsid w:val="00790C87"/>
    <w:rsid w:val="007A2AE4"/>
    <w:rsid w:val="007A4F79"/>
    <w:rsid w:val="007A6AA8"/>
    <w:rsid w:val="007A7FF5"/>
    <w:rsid w:val="007B0974"/>
    <w:rsid w:val="007B1C43"/>
    <w:rsid w:val="007B203C"/>
    <w:rsid w:val="007C1915"/>
    <w:rsid w:val="007C2459"/>
    <w:rsid w:val="007D2122"/>
    <w:rsid w:val="007D63CF"/>
    <w:rsid w:val="007D76E0"/>
    <w:rsid w:val="007E1EE6"/>
    <w:rsid w:val="007F43FD"/>
    <w:rsid w:val="007F751F"/>
    <w:rsid w:val="00802427"/>
    <w:rsid w:val="00811FBD"/>
    <w:rsid w:val="0081690D"/>
    <w:rsid w:val="0082196E"/>
    <w:rsid w:val="00830D06"/>
    <w:rsid w:val="008310C9"/>
    <w:rsid w:val="00836298"/>
    <w:rsid w:val="008434AE"/>
    <w:rsid w:val="00844850"/>
    <w:rsid w:val="00850D19"/>
    <w:rsid w:val="008535EB"/>
    <w:rsid w:val="008548C7"/>
    <w:rsid w:val="00857013"/>
    <w:rsid w:val="008612FB"/>
    <w:rsid w:val="00861A37"/>
    <w:rsid w:val="00862C82"/>
    <w:rsid w:val="00864305"/>
    <w:rsid w:val="008645E2"/>
    <w:rsid w:val="00866F88"/>
    <w:rsid w:val="00870342"/>
    <w:rsid w:val="0087251C"/>
    <w:rsid w:val="0088138F"/>
    <w:rsid w:val="008815AC"/>
    <w:rsid w:val="008827D5"/>
    <w:rsid w:val="00882FDA"/>
    <w:rsid w:val="00896967"/>
    <w:rsid w:val="00897117"/>
    <w:rsid w:val="008A09F7"/>
    <w:rsid w:val="008A126A"/>
    <w:rsid w:val="008A659F"/>
    <w:rsid w:val="008A7E5F"/>
    <w:rsid w:val="008B2CC6"/>
    <w:rsid w:val="008B338C"/>
    <w:rsid w:val="008B509D"/>
    <w:rsid w:val="008B5D82"/>
    <w:rsid w:val="008C5E83"/>
    <w:rsid w:val="008C7848"/>
    <w:rsid w:val="008D16C9"/>
    <w:rsid w:val="008D3D8D"/>
    <w:rsid w:val="008D3EA8"/>
    <w:rsid w:val="008E32E5"/>
    <w:rsid w:val="008F3A4D"/>
    <w:rsid w:val="008F7409"/>
    <w:rsid w:val="009006D9"/>
    <w:rsid w:val="00901143"/>
    <w:rsid w:val="009030CC"/>
    <w:rsid w:val="00906C1D"/>
    <w:rsid w:val="00910503"/>
    <w:rsid w:val="009120E7"/>
    <w:rsid w:val="00913302"/>
    <w:rsid w:val="00913F91"/>
    <w:rsid w:val="009171E4"/>
    <w:rsid w:val="00917AF2"/>
    <w:rsid w:val="009228B6"/>
    <w:rsid w:val="00922C05"/>
    <w:rsid w:val="0092371F"/>
    <w:rsid w:val="0092418A"/>
    <w:rsid w:val="009245A4"/>
    <w:rsid w:val="00925A30"/>
    <w:rsid w:val="00926FA2"/>
    <w:rsid w:val="00934ED7"/>
    <w:rsid w:val="00936D06"/>
    <w:rsid w:val="009372E3"/>
    <w:rsid w:val="0094035C"/>
    <w:rsid w:val="009442E5"/>
    <w:rsid w:val="0094628D"/>
    <w:rsid w:val="009474D9"/>
    <w:rsid w:val="009538AB"/>
    <w:rsid w:val="00953E97"/>
    <w:rsid w:val="009543C3"/>
    <w:rsid w:val="00954889"/>
    <w:rsid w:val="00957AB5"/>
    <w:rsid w:val="00957DE8"/>
    <w:rsid w:val="00962482"/>
    <w:rsid w:val="00966E1B"/>
    <w:rsid w:val="00972AE1"/>
    <w:rsid w:val="00972D67"/>
    <w:rsid w:val="00975CB5"/>
    <w:rsid w:val="0097601D"/>
    <w:rsid w:val="00980FDC"/>
    <w:rsid w:val="009A2503"/>
    <w:rsid w:val="009A301F"/>
    <w:rsid w:val="009A30F3"/>
    <w:rsid w:val="009A351D"/>
    <w:rsid w:val="009A5356"/>
    <w:rsid w:val="009C418D"/>
    <w:rsid w:val="009E2444"/>
    <w:rsid w:val="009E357D"/>
    <w:rsid w:val="009F0D75"/>
    <w:rsid w:val="009F116F"/>
    <w:rsid w:val="009F1841"/>
    <w:rsid w:val="009F2D2C"/>
    <w:rsid w:val="009F3F13"/>
    <w:rsid w:val="00A02A5C"/>
    <w:rsid w:val="00A07C8F"/>
    <w:rsid w:val="00A151F3"/>
    <w:rsid w:val="00A17C16"/>
    <w:rsid w:val="00A2765C"/>
    <w:rsid w:val="00A326D8"/>
    <w:rsid w:val="00A36C44"/>
    <w:rsid w:val="00A44A30"/>
    <w:rsid w:val="00A451CD"/>
    <w:rsid w:val="00A468A4"/>
    <w:rsid w:val="00A54559"/>
    <w:rsid w:val="00A56328"/>
    <w:rsid w:val="00A605B9"/>
    <w:rsid w:val="00A61CDE"/>
    <w:rsid w:val="00A623CA"/>
    <w:rsid w:val="00A62A40"/>
    <w:rsid w:val="00A64C0F"/>
    <w:rsid w:val="00A6617B"/>
    <w:rsid w:val="00A66622"/>
    <w:rsid w:val="00A675F8"/>
    <w:rsid w:val="00A70C76"/>
    <w:rsid w:val="00A71FE5"/>
    <w:rsid w:val="00A756A2"/>
    <w:rsid w:val="00A774D0"/>
    <w:rsid w:val="00A8431D"/>
    <w:rsid w:val="00A84A47"/>
    <w:rsid w:val="00A90C09"/>
    <w:rsid w:val="00A91681"/>
    <w:rsid w:val="00A93745"/>
    <w:rsid w:val="00A95079"/>
    <w:rsid w:val="00AA018D"/>
    <w:rsid w:val="00AA232B"/>
    <w:rsid w:val="00AA2B73"/>
    <w:rsid w:val="00AA3AD8"/>
    <w:rsid w:val="00AA3C79"/>
    <w:rsid w:val="00AA78CC"/>
    <w:rsid w:val="00AB0DC8"/>
    <w:rsid w:val="00AB1117"/>
    <w:rsid w:val="00AB5A51"/>
    <w:rsid w:val="00AB6E86"/>
    <w:rsid w:val="00AC2E61"/>
    <w:rsid w:val="00AC35AE"/>
    <w:rsid w:val="00AC3946"/>
    <w:rsid w:val="00AC7979"/>
    <w:rsid w:val="00AD26B8"/>
    <w:rsid w:val="00AD41F7"/>
    <w:rsid w:val="00AD4DEB"/>
    <w:rsid w:val="00AD6CE3"/>
    <w:rsid w:val="00AF0C96"/>
    <w:rsid w:val="00AF323A"/>
    <w:rsid w:val="00AF4163"/>
    <w:rsid w:val="00AF426B"/>
    <w:rsid w:val="00AF4CA0"/>
    <w:rsid w:val="00B033C8"/>
    <w:rsid w:val="00B036D9"/>
    <w:rsid w:val="00B145A4"/>
    <w:rsid w:val="00B257C1"/>
    <w:rsid w:val="00B33425"/>
    <w:rsid w:val="00B44E24"/>
    <w:rsid w:val="00B47809"/>
    <w:rsid w:val="00B54ECC"/>
    <w:rsid w:val="00B567BC"/>
    <w:rsid w:val="00B57326"/>
    <w:rsid w:val="00B61918"/>
    <w:rsid w:val="00B63FBF"/>
    <w:rsid w:val="00B70F2B"/>
    <w:rsid w:val="00B713CB"/>
    <w:rsid w:val="00B714F3"/>
    <w:rsid w:val="00B72AB3"/>
    <w:rsid w:val="00B74892"/>
    <w:rsid w:val="00B75A37"/>
    <w:rsid w:val="00B775F8"/>
    <w:rsid w:val="00B77D35"/>
    <w:rsid w:val="00B9137B"/>
    <w:rsid w:val="00B936A8"/>
    <w:rsid w:val="00B95661"/>
    <w:rsid w:val="00B958C0"/>
    <w:rsid w:val="00B95E99"/>
    <w:rsid w:val="00B97550"/>
    <w:rsid w:val="00BA1A31"/>
    <w:rsid w:val="00BA2AD5"/>
    <w:rsid w:val="00BA301A"/>
    <w:rsid w:val="00BA30BE"/>
    <w:rsid w:val="00BA524A"/>
    <w:rsid w:val="00BB0D3F"/>
    <w:rsid w:val="00BB2A93"/>
    <w:rsid w:val="00BB7E40"/>
    <w:rsid w:val="00BB7F75"/>
    <w:rsid w:val="00BC3079"/>
    <w:rsid w:val="00BC350B"/>
    <w:rsid w:val="00BC3FF5"/>
    <w:rsid w:val="00BC5D77"/>
    <w:rsid w:val="00BC6730"/>
    <w:rsid w:val="00BC6FC2"/>
    <w:rsid w:val="00BD4CDB"/>
    <w:rsid w:val="00BE4E9A"/>
    <w:rsid w:val="00BE7179"/>
    <w:rsid w:val="00BE7245"/>
    <w:rsid w:val="00BE7F74"/>
    <w:rsid w:val="00BF0A8C"/>
    <w:rsid w:val="00BF15C3"/>
    <w:rsid w:val="00BF3C4C"/>
    <w:rsid w:val="00BF40A6"/>
    <w:rsid w:val="00BF487A"/>
    <w:rsid w:val="00BF643B"/>
    <w:rsid w:val="00BF78D4"/>
    <w:rsid w:val="00C00883"/>
    <w:rsid w:val="00C00F2D"/>
    <w:rsid w:val="00C06F3A"/>
    <w:rsid w:val="00C07EAC"/>
    <w:rsid w:val="00C106FC"/>
    <w:rsid w:val="00C11308"/>
    <w:rsid w:val="00C15714"/>
    <w:rsid w:val="00C22F9F"/>
    <w:rsid w:val="00C27811"/>
    <w:rsid w:val="00C2784D"/>
    <w:rsid w:val="00C33F90"/>
    <w:rsid w:val="00C344B9"/>
    <w:rsid w:val="00C4253C"/>
    <w:rsid w:val="00C46BD9"/>
    <w:rsid w:val="00C504AC"/>
    <w:rsid w:val="00C53747"/>
    <w:rsid w:val="00C55258"/>
    <w:rsid w:val="00C663C0"/>
    <w:rsid w:val="00C70773"/>
    <w:rsid w:val="00C715B8"/>
    <w:rsid w:val="00C728FC"/>
    <w:rsid w:val="00C73560"/>
    <w:rsid w:val="00C75603"/>
    <w:rsid w:val="00C7761D"/>
    <w:rsid w:val="00C80255"/>
    <w:rsid w:val="00C8363F"/>
    <w:rsid w:val="00C84822"/>
    <w:rsid w:val="00C870D3"/>
    <w:rsid w:val="00C87BCC"/>
    <w:rsid w:val="00C93B65"/>
    <w:rsid w:val="00CA1C7A"/>
    <w:rsid w:val="00CA44EE"/>
    <w:rsid w:val="00CA6153"/>
    <w:rsid w:val="00CB0F14"/>
    <w:rsid w:val="00CB2A5E"/>
    <w:rsid w:val="00CB368D"/>
    <w:rsid w:val="00CB47A0"/>
    <w:rsid w:val="00CB4E0E"/>
    <w:rsid w:val="00CB60A4"/>
    <w:rsid w:val="00CC18FA"/>
    <w:rsid w:val="00CC3A83"/>
    <w:rsid w:val="00CC4266"/>
    <w:rsid w:val="00CC7210"/>
    <w:rsid w:val="00CD58B5"/>
    <w:rsid w:val="00CD659B"/>
    <w:rsid w:val="00CD6809"/>
    <w:rsid w:val="00CD7390"/>
    <w:rsid w:val="00CD7A62"/>
    <w:rsid w:val="00CE0404"/>
    <w:rsid w:val="00CF0D45"/>
    <w:rsid w:val="00CF34B5"/>
    <w:rsid w:val="00D0034D"/>
    <w:rsid w:val="00D01048"/>
    <w:rsid w:val="00D05ABA"/>
    <w:rsid w:val="00D13DDE"/>
    <w:rsid w:val="00D1574F"/>
    <w:rsid w:val="00D17E08"/>
    <w:rsid w:val="00D25E73"/>
    <w:rsid w:val="00D30AFB"/>
    <w:rsid w:val="00D32292"/>
    <w:rsid w:val="00D32BF2"/>
    <w:rsid w:val="00D41589"/>
    <w:rsid w:val="00D4324A"/>
    <w:rsid w:val="00D43502"/>
    <w:rsid w:val="00D44D09"/>
    <w:rsid w:val="00D503C9"/>
    <w:rsid w:val="00D50B43"/>
    <w:rsid w:val="00D53227"/>
    <w:rsid w:val="00D54770"/>
    <w:rsid w:val="00D57367"/>
    <w:rsid w:val="00D63F0B"/>
    <w:rsid w:val="00D71007"/>
    <w:rsid w:val="00D73FBE"/>
    <w:rsid w:val="00D8150A"/>
    <w:rsid w:val="00D83331"/>
    <w:rsid w:val="00D846B1"/>
    <w:rsid w:val="00D91F7F"/>
    <w:rsid w:val="00D9222A"/>
    <w:rsid w:val="00D941CE"/>
    <w:rsid w:val="00DA4B8B"/>
    <w:rsid w:val="00DB39A2"/>
    <w:rsid w:val="00DB4409"/>
    <w:rsid w:val="00DB4F6A"/>
    <w:rsid w:val="00DB5FC3"/>
    <w:rsid w:val="00DD04F5"/>
    <w:rsid w:val="00DD0DA3"/>
    <w:rsid w:val="00DD3B11"/>
    <w:rsid w:val="00DE464C"/>
    <w:rsid w:val="00DE727D"/>
    <w:rsid w:val="00DF042F"/>
    <w:rsid w:val="00DF087C"/>
    <w:rsid w:val="00DF4176"/>
    <w:rsid w:val="00DF6995"/>
    <w:rsid w:val="00DF7D57"/>
    <w:rsid w:val="00E020E6"/>
    <w:rsid w:val="00E1207C"/>
    <w:rsid w:val="00E1317A"/>
    <w:rsid w:val="00E14C9E"/>
    <w:rsid w:val="00E16DE5"/>
    <w:rsid w:val="00E17240"/>
    <w:rsid w:val="00E1785F"/>
    <w:rsid w:val="00E20539"/>
    <w:rsid w:val="00E263D0"/>
    <w:rsid w:val="00E271D8"/>
    <w:rsid w:val="00E34D3E"/>
    <w:rsid w:val="00E35DFB"/>
    <w:rsid w:val="00E52E14"/>
    <w:rsid w:val="00E6237E"/>
    <w:rsid w:val="00E65056"/>
    <w:rsid w:val="00E65D68"/>
    <w:rsid w:val="00E65E01"/>
    <w:rsid w:val="00E66940"/>
    <w:rsid w:val="00E730C7"/>
    <w:rsid w:val="00E7336D"/>
    <w:rsid w:val="00E74FD7"/>
    <w:rsid w:val="00E75D59"/>
    <w:rsid w:val="00E7610E"/>
    <w:rsid w:val="00E76AE2"/>
    <w:rsid w:val="00E80B3E"/>
    <w:rsid w:val="00E81039"/>
    <w:rsid w:val="00E8366F"/>
    <w:rsid w:val="00E8370B"/>
    <w:rsid w:val="00E83CDE"/>
    <w:rsid w:val="00E87F95"/>
    <w:rsid w:val="00E953AF"/>
    <w:rsid w:val="00EA26BE"/>
    <w:rsid w:val="00EA7AD5"/>
    <w:rsid w:val="00EB2F03"/>
    <w:rsid w:val="00ED09FD"/>
    <w:rsid w:val="00ED0EAC"/>
    <w:rsid w:val="00ED2C9E"/>
    <w:rsid w:val="00ED683F"/>
    <w:rsid w:val="00EE2A8C"/>
    <w:rsid w:val="00EE658D"/>
    <w:rsid w:val="00EE702C"/>
    <w:rsid w:val="00EF0170"/>
    <w:rsid w:val="00EF68EF"/>
    <w:rsid w:val="00F00D11"/>
    <w:rsid w:val="00F07FEF"/>
    <w:rsid w:val="00F103A9"/>
    <w:rsid w:val="00F20231"/>
    <w:rsid w:val="00F30C9B"/>
    <w:rsid w:val="00F326B6"/>
    <w:rsid w:val="00F354B1"/>
    <w:rsid w:val="00F356CB"/>
    <w:rsid w:val="00F42AFE"/>
    <w:rsid w:val="00F44A2E"/>
    <w:rsid w:val="00F5041F"/>
    <w:rsid w:val="00F516BB"/>
    <w:rsid w:val="00F53902"/>
    <w:rsid w:val="00F545E6"/>
    <w:rsid w:val="00F55D85"/>
    <w:rsid w:val="00F57D9E"/>
    <w:rsid w:val="00F60973"/>
    <w:rsid w:val="00F610B7"/>
    <w:rsid w:val="00F626F0"/>
    <w:rsid w:val="00F6287B"/>
    <w:rsid w:val="00F65F53"/>
    <w:rsid w:val="00F72869"/>
    <w:rsid w:val="00F76766"/>
    <w:rsid w:val="00F77437"/>
    <w:rsid w:val="00F8453D"/>
    <w:rsid w:val="00F85F0C"/>
    <w:rsid w:val="00F90372"/>
    <w:rsid w:val="00F90896"/>
    <w:rsid w:val="00F93B2F"/>
    <w:rsid w:val="00F94D0D"/>
    <w:rsid w:val="00F95BC2"/>
    <w:rsid w:val="00F96E33"/>
    <w:rsid w:val="00F971E4"/>
    <w:rsid w:val="00F973F8"/>
    <w:rsid w:val="00FA60E9"/>
    <w:rsid w:val="00FA7458"/>
    <w:rsid w:val="00FB0E4E"/>
    <w:rsid w:val="00FB36A4"/>
    <w:rsid w:val="00FB3E92"/>
    <w:rsid w:val="00FB443B"/>
    <w:rsid w:val="00FB5B90"/>
    <w:rsid w:val="00FC1A0C"/>
    <w:rsid w:val="00FC37DE"/>
    <w:rsid w:val="00FC5A61"/>
    <w:rsid w:val="00FC6083"/>
    <w:rsid w:val="00FC6D66"/>
    <w:rsid w:val="00FD20BF"/>
    <w:rsid w:val="00FD21AE"/>
    <w:rsid w:val="00FD5FD2"/>
    <w:rsid w:val="00FE15CB"/>
    <w:rsid w:val="00FE2134"/>
    <w:rsid w:val="00FE62A1"/>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NMP Heading 1,título 1,h12,h13,h14,h15,h16,h17,h111,h121,h131,h141,h151,h161,h18,h112,h122,h132,h142,h152,h162,h19,h113,h123,h133,h143,h153,h163,1,Heading 1 3GPP,app heading 1,l1,Memo Heading 1,Section of paper,Heading 1_a,list 1,II+"/>
    <w:basedOn w:val="Normal"/>
    <w:next w:val="Normal"/>
    <w:link w:val="Heading1Char"/>
    <w:uiPriority w:val="9"/>
    <w:qFormat/>
    <w:rsid w:val="00FE15C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FE15CB"/>
    <w:pPr>
      <w:spacing w:before="320"/>
      <w:outlineLvl w:val="1"/>
    </w:pPr>
  </w:style>
  <w:style w:type="paragraph" w:styleId="Heading3">
    <w:name w:val="heading 3"/>
    <w:aliases w:val="h3,h31,H3,Underrubrik2,Heading 3 Char1 Char,Heading 3 Char Char Char,Heading 3 Char1 Char Char Char,Heading 3 Char Char Char Char Char,Heading 3 Char Char1 Char,Heading 3 Char2 Char,Heading 3 Char1 Char Char Char Char Char,0H,Memo Heading 3,l3"/>
    <w:basedOn w:val="Heading1"/>
    <w:next w:val="Normal"/>
    <w:link w:val="Heading3Char"/>
    <w:qFormat/>
    <w:rsid w:val="00FE15CB"/>
    <w:pPr>
      <w:spacing w:before="200"/>
      <w:outlineLvl w:val="2"/>
    </w:p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uiPriority w:val="9"/>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uiPriority w:val="99"/>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uiPriority w:val="99"/>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qFormat/>
    <w:rsid w:val="00FE15CB"/>
    <w:pPr>
      <w:spacing w:before="80"/>
      <w:ind w:left="794" w:hanging="794"/>
    </w:pPr>
  </w:style>
  <w:style w:type="paragraph" w:customStyle="1" w:styleId="Equation">
    <w:name w:val="Equation"/>
    <w:aliases w:val="eq"/>
    <w:basedOn w:val="Normal"/>
    <w:link w:val="EquationChar"/>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qFormat/>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link w:val="EquationlegendChar"/>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FE15CB"/>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link w:val="RepNoChar"/>
    <w:rsid w:val="00FE15CB"/>
  </w:style>
  <w:style w:type="paragraph" w:customStyle="1" w:styleId="Reptitle">
    <w:name w:val="Rep_title"/>
    <w:basedOn w:val="Rectitle"/>
    <w:next w:val="Repref"/>
    <w:link w:val="ReptitleChar"/>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link w:val="ResNoChar"/>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uiPriority w:val="39"/>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uiPriority w:val="99"/>
    <w:rsid w:val="00313A6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313A68"/>
    <w:rPr>
      <w:sz w:val="22"/>
      <w:lang w:val="fr-FR" w:eastAsia="en-US"/>
    </w:rPr>
  </w:style>
  <w:style w:type="character" w:customStyle="1" w:styleId="HeaderChar">
    <w:name w:val="Header Char"/>
    <w:basedOn w:val="DefaultParagraphFont"/>
    <w:link w:val="Header"/>
    <w:uiPriority w:val="99"/>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uiPriority w:val="9"/>
    <w:qFormat/>
    <w:rsid w:val="00313A68"/>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qFormat/>
    <w:rsid w:val="00313A68"/>
    <w:rPr>
      <w:b/>
      <w:sz w:val="24"/>
      <w:lang w:val="fr-FR" w:eastAsia="en-US"/>
    </w:rPr>
  </w:style>
  <w:style w:type="character" w:customStyle="1" w:styleId="Heading3Char">
    <w:name w:val="Heading 3 Char"/>
    <w:aliases w:val="h3 Char,h31 Char,H3 Char,Underrubrik2 Char,Heading 3 Char1 Char Char,Heading 3 Char Char Char Char,Heading 3 Char1 Char Char Char Char,Heading 3 Char Char Char Char Char Char,Heading 3 Char Char1 Char Char,Heading 3 Char2 Char Char"/>
    <w:basedOn w:val="DefaultParagraphFont"/>
    <w:link w:val="Heading3"/>
    <w:qFormat/>
    <w:rsid w:val="00313A68"/>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5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uiPriority w:val="99"/>
    <w:qFormat/>
    <w:locked/>
    <w:rsid w:val="00FE15CB"/>
    <w:rPr>
      <w:sz w:val="22"/>
      <w:lang w:val="fr-FR" w:eastAsia="en-US"/>
    </w:rPr>
  </w:style>
  <w:style w:type="character" w:customStyle="1" w:styleId="FigureNoChar">
    <w:name w:val="Figure_No Char"/>
    <w:basedOn w:val="DefaultParagraphFont"/>
    <w:link w:val="FigureNo"/>
    <w:uiPriority w:val="99"/>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uiPriority w:val="99"/>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iPriority w:val="99"/>
    <w:unhideWhenUsed/>
    <w:qFormat/>
    <w:rsid w:val="00CD6809"/>
    <w:rPr>
      <w:sz w:val="16"/>
      <w:szCs w:val="16"/>
    </w:rPr>
  </w:style>
  <w:style w:type="paragraph" w:styleId="CommentText">
    <w:name w:val="annotation text"/>
    <w:basedOn w:val="Normal"/>
    <w:link w:val="CommentTextChar"/>
    <w:uiPriority w:val="99"/>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qFormat/>
    <w:rsid w:val="00CD680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CD6809"/>
    <w:rPr>
      <w:b/>
      <w:bCs/>
    </w:rPr>
  </w:style>
  <w:style w:type="character" w:customStyle="1" w:styleId="CommentSubjectChar">
    <w:name w:val="Comment Subject Char"/>
    <w:basedOn w:val="CommentTextChar"/>
    <w:link w:val="CommentSubject"/>
    <w:uiPriority w:val="99"/>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link w:val="Figure"/>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R-REC-P.2109/en" TargetMode="External"/><Relationship Id="rId26" Type="http://schemas.openxmlformats.org/officeDocument/2006/relationships/hyperlink" Target="http://www.itu.int/rec/R-REC-F.758/en" TargetMode="External"/><Relationship Id="rId39" Type="http://schemas.openxmlformats.org/officeDocument/2006/relationships/hyperlink" Target="http://www.itu.int/pub/R-REP-F.2416/en" TargetMode="External"/><Relationship Id="rId21" Type="http://schemas.openxmlformats.org/officeDocument/2006/relationships/hyperlink" Target="http://www.itu.int/pub/R-REP-M.2417/en" TargetMode="External"/><Relationship Id="rId34" Type="http://schemas.openxmlformats.org/officeDocument/2006/relationships/image" Target="media/image4.png"/><Relationship Id="rId42" Type="http://schemas.openxmlformats.org/officeDocument/2006/relationships/hyperlink" Target="http://www.itu.int/rec/R-REC-F.758/en" TargetMode="External"/><Relationship Id="rId47" Type="http://schemas.openxmlformats.org/officeDocument/2006/relationships/hyperlink" Target="http://www.itu.int/pub/R-REP-F.2416/en" TargetMode="External"/><Relationship Id="rId50" Type="http://schemas.openxmlformats.org/officeDocument/2006/relationships/image" Target="media/image9.png"/><Relationship Id="rId55" Type="http://schemas.openxmlformats.org/officeDocument/2006/relationships/hyperlink" Target="http://www.itu.int/rec/R-REC-P.2109/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F.699/en" TargetMode="External"/><Relationship Id="rId29" Type="http://schemas.openxmlformats.org/officeDocument/2006/relationships/hyperlink" Target="http://www.itu.int/pub/R-REP-F.2416/en" TargetMode="External"/><Relationship Id="rId11" Type="http://schemas.openxmlformats.org/officeDocument/2006/relationships/header" Target="header2.xml"/><Relationship Id="rId24" Type="http://schemas.openxmlformats.org/officeDocument/2006/relationships/hyperlink" Target="http://www.itu.int/rec/R-REC-F.699/en" TargetMode="External"/><Relationship Id="rId32" Type="http://schemas.openxmlformats.org/officeDocument/2006/relationships/hyperlink" Target="http://www.itu.int/rec/R-REC-P.2109/en" TargetMode="External"/><Relationship Id="rId37" Type="http://schemas.openxmlformats.org/officeDocument/2006/relationships/hyperlink" Target="http://www.itu.int/pub/R-REP-M.2417/en" TargetMode="External"/><Relationship Id="rId40" Type="http://schemas.openxmlformats.org/officeDocument/2006/relationships/hyperlink" Target="http://www.itu.int/pub/R-REP-SM.2450/en" TargetMode="External"/><Relationship Id="rId45" Type="http://schemas.openxmlformats.org/officeDocument/2006/relationships/hyperlink" Target="http://www.itu.int/pub/R-REP-M.2417/en" TargetMode="External"/><Relationship Id="rId53" Type="http://schemas.openxmlformats.org/officeDocument/2006/relationships/image" Target="media/image12.png"/><Relationship Id="rId58"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itu.int/pub/R-REP-F.2239/en" TargetMode="External"/><Relationship Id="rId14" Type="http://schemas.openxmlformats.org/officeDocument/2006/relationships/hyperlink" Target="http://www.itu.int/pub/R-REP-M.2417/en" TargetMode="External"/><Relationship Id="rId22" Type="http://schemas.openxmlformats.org/officeDocument/2006/relationships/hyperlink" Target="http://www.itu.int/pub/R-REP-SM.2450/en" TargetMode="External"/><Relationship Id="rId27" Type="http://schemas.openxmlformats.org/officeDocument/2006/relationships/image" Target="media/image3.png"/><Relationship Id="rId30" Type="http://schemas.openxmlformats.org/officeDocument/2006/relationships/hyperlink" Target="http://www.itu.int/rec/R-REC-P.2109/en" TargetMode="External"/><Relationship Id="rId35" Type="http://schemas.openxmlformats.org/officeDocument/2006/relationships/hyperlink" Target="http://www.itu.int/pub/R-REP-M.2417/en" TargetMode="External"/><Relationship Id="rId43" Type="http://schemas.openxmlformats.org/officeDocument/2006/relationships/hyperlink" Target="http://www.itu.int/pub/R-REP-M.2417/en" TargetMode="External"/><Relationship Id="rId48" Type="http://schemas.openxmlformats.org/officeDocument/2006/relationships/hyperlink" Target="http://www.itu.int/pub/R-REP-F.2239/en" TargetMode="External"/><Relationship Id="rId56" Type="http://schemas.openxmlformats.org/officeDocument/2006/relationships/hyperlink" Target="http://www.itu.int/rec/R-REC-P.2109/en" TargetMode="External"/><Relationship Id="rId8" Type="http://schemas.openxmlformats.org/officeDocument/2006/relationships/image" Target="media/image1.wmf"/><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rec/R-REC-F.758/en" TargetMode="External"/><Relationship Id="rId25" Type="http://schemas.openxmlformats.org/officeDocument/2006/relationships/hyperlink" Target="http://www.itu.int/rec/R-REC-F.1336/en" TargetMode="External"/><Relationship Id="rId33" Type="http://schemas.openxmlformats.org/officeDocument/2006/relationships/hyperlink" Target="http://www.itu.int/rec/R-REC-P.2109/en" TargetMode="Externa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eader" Target="header3.xml"/><Relationship Id="rId20" Type="http://schemas.openxmlformats.org/officeDocument/2006/relationships/hyperlink" Target="http://www.itu.int/pub/R-REP-F.2416/en" TargetMode="External"/><Relationship Id="rId41" Type="http://schemas.openxmlformats.org/officeDocument/2006/relationships/image" Target="media/image6.png"/><Relationship Id="rId54" Type="http://schemas.openxmlformats.org/officeDocument/2006/relationships/hyperlink" Target="http://www.itu.int/rec/R-REC-P.2109/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P-F.2416/en" TargetMode="External"/><Relationship Id="rId23" Type="http://schemas.openxmlformats.org/officeDocument/2006/relationships/hyperlink" Target="http://www.itu.int/pub/R-REP-M.2417/en" TargetMode="External"/><Relationship Id="rId28" Type="http://schemas.openxmlformats.org/officeDocument/2006/relationships/hyperlink" Target="http://www.itu.int/pub/R-REP-M.2417/en" TargetMode="External"/><Relationship Id="rId36" Type="http://schemas.openxmlformats.org/officeDocument/2006/relationships/hyperlink" Target="http://www.itu.int/pub/R-REP-F.2416/en" TargetMode="External"/><Relationship Id="rId49" Type="http://schemas.openxmlformats.org/officeDocument/2006/relationships/image" Target="media/image8.png"/><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hyperlink" Target="http://www.itu.int/rec/R-REC-P.2109/en" TargetMode="External"/><Relationship Id="rId44" Type="http://schemas.openxmlformats.org/officeDocument/2006/relationships/hyperlink" Target="http://www.itu.int/pub/R-REP-F.2416/en" TargetMode="External"/><Relationship Id="rId52" Type="http://schemas.openxmlformats.org/officeDocument/2006/relationships/image" Target="media/image11.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TotalTime>
  <Pages>19</Pages>
  <Words>3256</Words>
  <Characters>21436</Characters>
  <Application>Microsoft Office Word</Application>
  <DocSecurity>0</DocSecurity>
  <Lines>315</Lines>
  <Paragraphs>95</Paragraphs>
  <ScaleCrop>false</ScaleCrop>
  <HeadingPairs>
    <vt:vector size="2" baseType="variant">
      <vt:variant>
        <vt:lpstr>Title</vt:lpstr>
      </vt:variant>
      <vt:variant>
        <vt:i4>1</vt:i4>
      </vt:variant>
    </vt:vector>
  </HeadingPairs>
  <TitlesOfParts>
    <vt:vector size="1" baseType="lpstr">
      <vt:lpstr>REPORT  ITU-R  M.2517-0 - Coexistence between land-mobile and fixed service applications  operating in the frequency range 252-296 GHz</vt:lpstr>
    </vt:vector>
  </TitlesOfParts>
  <Manager/>
  <Company>ITU</Company>
  <LinksUpToDate>false</LinksUpToDate>
  <CharactersWithSpaces>24597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M.2517-0 - Coexistence between land-mobile and fixed service applications  operating in the frequency range 252-296 GHz</dc:title>
  <dc:subject>M Series = Mobile, radiodetermination, amateur and related satellite services</dc:subject>
  <dc:creator>ITU Radiocommunication Bureau (BR)</dc:creator>
  <cp:keywords>M,2517-0</cp:keywords>
  <dc:description>Gachetc, 21/12/2022, ITU51013811</dc:description>
  <cp:lastModifiedBy>Gachet, Christelle</cp:lastModifiedBy>
  <cp:revision>13</cp:revision>
  <cp:lastPrinted>2022-10-26T13:35:00Z</cp:lastPrinted>
  <dcterms:created xsi:type="dcterms:W3CDTF">2022-12-21T09:49:00Z</dcterms:created>
  <dcterms:modified xsi:type="dcterms:W3CDTF">2023-01-05T14:15:00Z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