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3342DC" w:rsidTr="00517190">
        <w:tc>
          <w:tcPr>
            <w:tcW w:w="10089" w:type="dxa"/>
          </w:tcPr>
          <w:p w:rsidR="00276D21" w:rsidRPr="00517190" w:rsidRDefault="00D73FBE" w:rsidP="00517190">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6.3pt" o:ole="">
                  <v:imagedata r:id="rId7" o:title=""/>
                </v:shape>
                <o:OLEObject Type="Embed" ProgID="Equation.3" ShapeID="_x0000_i1025" DrawAspect="Content" ObjectID="_1487683459" r:id="rId8"/>
              </w:object>
            </w:r>
          </w:p>
          <w:p w:rsidR="00FE79FE" w:rsidRPr="00517190" w:rsidRDefault="00FE79FE" w:rsidP="00073646">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526063" w:rsidRPr="00517190">
              <w:rPr>
                <w:rFonts w:ascii="Tahoma" w:hAnsi="Tahoma" w:cs="Tahoma"/>
                <w:b/>
                <w:bCs/>
                <w:iCs/>
                <w:color w:val="509141"/>
                <w:sz w:val="36"/>
                <w:szCs w:val="36"/>
                <w:lang w:val="en-US"/>
              </w:rPr>
              <w:t>eport</w:t>
            </w:r>
            <w:r w:rsidRPr="00517190">
              <w:rPr>
                <w:rFonts w:ascii="Tahoma" w:hAnsi="Tahoma" w:cs="Tahoma"/>
                <w:b/>
                <w:bCs/>
                <w:iCs/>
                <w:color w:val="509141"/>
                <w:sz w:val="36"/>
                <w:szCs w:val="36"/>
                <w:lang w:val="en-US"/>
              </w:rPr>
              <w:t xml:space="preserve">  ITU-R  </w:t>
            </w:r>
            <w:r w:rsidR="002D77AF"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Pr="00517190">
              <w:rPr>
                <w:rFonts w:ascii="Tahoma" w:hAnsi="Tahoma" w:cs="Tahoma"/>
                <w:b/>
                <w:bCs/>
                <w:iCs/>
                <w:color w:val="509141"/>
                <w:sz w:val="36"/>
                <w:szCs w:val="36"/>
                <w:lang w:val="en-US"/>
              </w:rPr>
              <w:t>.</w:t>
            </w:r>
            <w:r w:rsidR="00073646">
              <w:rPr>
                <w:rFonts w:ascii="Tahoma" w:hAnsi="Tahoma" w:cs="Tahoma"/>
                <w:b/>
                <w:bCs/>
                <w:iCs/>
                <w:color w:val="509141"/>
                <w:sz w:val="36"/>
                <w:szCs w:val="36"/>
                <w:lang w:val="en-US"/>
              </w:rPr>
              <w:t>2336-0</w:t>
            </w:r>
          </w:p>
          <w:p w:rsidR="00FE79FE" w:rsidRPr="00517190" w:rsidRDefault="00FE79FE" w:rsidP="00073646">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w:t>
            </w:r>
            <w:r w:rsidR="00073646">
              <w:rPr>
                <w:rFonts w:ascii="Tahoma" w:hAnsi="Tahoma" w:cs="Tahoma"/>
                <w:b/>
                <w:bCs/>
                <w:iCs/>
                <w:color w:val="509141"/>
                <w:szCs w:val="24"/>
                <w:lang w:val="en-US"/>
              </w:rPr>
              <w:t>11</w:t>
            </w:r>
            <w:r w:rsidRPr="00517190">
              <w:rPr>
                <w:rFonts w:ascii="Tahoma" w:hAnsi="Tahoma" w:cs="Tahoma"/>
                <w:b/>
                <w:bCs/>
                <w:iCs/>
                <w:color w:val="509141"/>
                <w:szCs w:val="24"/>
                <w:lang w:val="en-US"/>
              </w:rPr>
              <w:t>/</w:t>
            </w:r>
            <w:r w:rsidR="00073646">
              <w:rPr>
                <w:rFonts w:ascii="Tahoma" w:hAnsi="Tahoma" w:cs="Tahoma"/>
                <w:b/>
                <w:bCs/>
                <w:iCs/>
                <w:color w:val="509141"/>
                <w:szCs w:val="24"/>
                <w:lang w:val="en-US"/>
              </w:rPr>
              <w:t>2014</w:t>
            </w:r>
            <w:r w:rsidRPr="00517190">
              <w:rPr>
                <w:rFonts w:ascii="Tahoma" w:hAnsi="Tahoma" w:cs="Tahoma"/>
                <w:b/>
                <w:bCs/>
                <w:iCs/>
                <w:color w:val="509141"/>
                <w:szCs w:val="24"/>
                <w:lang w:val="en-US"/>
              </w:rPr>
              <w:t>)</w:t>
            </w:r>
          </w:p>
        </w:tc>
      </w:tr>
      <w:tr w:rsidR="00FE79FE" w:rsidRPr="00C95E2E" w:rsidTr="00517190">
        <w:tc>
          <w:tcPr>
            <w:tcW w:w="10089" w:type="dxa"/>
          </w:tcPr>
          <w:p w:rsidR="00013002" w:rsidRPr="00517190" w:rsidRDefault="00013002" w:rsidP="00517190">
            <w:pPr>
              <w:spacing w:before="80" w:line="500" w:lineRule="exact"/>
              <w:jc w:val="right"/>
              <w:rPr>
                <w:rFonts w:ascii="Tahoma" w:hAnsi="Tahoma" w:cs="Tahoma"/>
                <w:b/>
                <w:bCs/>
                <w:iCs/>
                <w:color w:val="509141"/>
                <w:sz w:val="44"/>
                <w:szCs w:val="44"/>
                <w:lang w:val="en-US"/>
              </w:rPr>
            </w:pPr>
          </w:p>
          <w:p w:rsidR="00D8150A" w:rsidRPr="00517190" w:rsidRDefault="00073646" w:rsidP="0042306B">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Consideration of the frequency bands 1 375</w:t>
            </w:r>
            <w:r w:rsidR="0042306B" w:rsidRPr="0042306B">
              <w:rPr>
                <w:rFonts w:ascii="Tahoma" w:hAnsi="Tahoma" w:cs="Tahoma"/>
                <w:b/>
                <w:bCs/>
                <w:iCs/>
                <w:color w:val="509141"/>
                <w:sz w:val="44"/>
                <w:szCs w:val="44"/>
                <w:lang w:val="en-US"/>
              </w:rPr>
              <w:noBreakHyphen/>
            </w:r>
            <w:r>
              <w:rPr>
                <w:rFonts w:ascii="Tahoma" w:hAnsi="Tahoma" w:cs="Tahoma"/>
                <w:b/>
                <w:bCs/>
                <w:iCs/>
                <w:color w:val="509141"/>
                <w:sz w:val="44"/>
                <w:szCs w:val="44"/>
                <w:lang w:val="en-US"/>
              </w:rPr>
              <w:t>1 400 MHz and 1 427</w:t>
            </w:r>
            <w:r w:rsidR="0042306B">
              <w:rPr>
                <w:rFonts w:ascii="Tahoma" w:hAnsi="Tahoma" w:cs="Tahoma"/>
                <w:b/>
                <w:bCs/>
                <w:iCs/>
                <w:color w:val="509141"/>
                <w:sz w:val="44"/>
                <w:szCs w:val="44"/>
                <w:lang w:val="en-US"/>
              </w:rPr>
              <w:noBreakHyphen/>
            </w:r>
            <w:r>
              <w:rPr>
                <w:rFonts w:ascii="Tahoma" w:hAnsi="Tahoma" w:cs="Tahoma"/>
                <w:b/>
                <w:bCs/>
                <w:iCs/>
                <w:color w:val="509141"/>
                <w:sz w:val="44"/>
                <w:szCs w:val="44"/>
                <w:lang w:val="en-US"/>
              </w:rPr>
              <w:t xml:space="preserve">1 452 MHz for the mobile service </w:t>
            </w:r>
            <w:r w:rsidR="0042306B">
              <w:rPr>
                <w:rFonts w:ascii="Tahoma" w:hAnsi="Tahoma" w:cs="Tahoma"/>
                <w:b/>
                <w:bCs/>
                <w:iCs/>
                <w:color w:val="509141"/>
                <w:sz w:val="44"/>
                <w:szCs w:val="44"/>
                <w:lang w:val="en-US"/>
              </w:rPr>
              <w:t>–</w:t>
            </w:r>
            <w:r>
              <w:rPr>
                <w:rFonts w:ascii="Tahoma" w:hAnsi="Tahoma" w:cs="Tahoma"/>
                <w:b/>
                <w:bCs/>
                <w:iCs/>
                <w:color w:val="509141"/>
                <w:sz w:val="44"/>
                <w:szCs w:val="44"/>
                <w:lang w:val="en-US"/>
              </w:rPr>
              <w:t xml:space="preserve"> Compatibility with systems of the Earth exploration-satellite service (EESS) within th</w:t>
            </w:r>
            <w:r w:rsidR="00560FFA">
              <w:rPr>
                <w:rFonts w:ascii="Tahoma" w:hAnsi="Tahoma" w:cs="Tahoma"/>
                <w:b/>
                <w:bCs/>
                <w:iCs/>
                <w:color w:val="509141"/>
                <w:sz w:val="44"/>
                <w:szCs w:val="44"/>
                <w:lang w:val="en-US"/>
              </w:rPr>
              <w:t>e 1 400</w:t>
            </w:r>
            <w:r w:rsidR="00560FFA">
              <w:rPr>
                <w:rFonts w:ascii="Tahoma" w:hAnsi="Tahoma" w:cs="Tahoma"/>
                <w:b/>
                <w:bCs/>
                <w:iCs/>
                <w:color w:val="509141"/>
                <w:sz w:val="44"/>
                <w:szCs w:val="44"/>
                <w:lang w:val="en-US"/>
              </w:rPr>
              <w:noBreakHyphen/>
            </w:r>
            <w:r>
              <w:rPr>
                <w:rFonts w:ascii="Tahoma" w:hAnsi="Tahoma" w:cs="Tahoma"/>
                <w:b/>
                <w:bCs/>
                <w:iCs/>
                <w:color w:val="509141"/>
                <w:sz w:val="44"/>
                <w:szCs w:val="44"/>
                <w:lang w:val="en-US"/>
              </w:rPr>
              <w:t xml:space="preserve">1 427 MHz frequency band </w:t>
            </w:r>
          </w:p>
          <w:p w:rsidR="00FE79FE" w:rsidRPr="00517190" w:rsidRDefault="00AD26B8" w:rsidP="00517190">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FE79FE" w:rsidRPr="00C95E2E" w:rsidTr="00517190">
        <w:tc>
          <w:tcPr>
            <w:tcW w:w="10089" w:type="dxa"/>
          </w:tcPr>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line="280" w:lineRule="exact"/>
              <w:ind w:right="640"/>
              <w:rPr>
                <w:rFonts w:ascii="Tahoma" w:hAnsi="Tahoma" w:cs="Tahoma"/>
                <w:b/>
                <w:bCs/>
                <w:iCs/>
                <w:color w:val="243285"/>
                <w:sz w:val="32"/>
                <w:szCs w:val="32"/>
                <w:lang w:val="en-US"/>
              </w:rPr>
            </w:pPr>
          </w:p>
          <w:p w:rsidR="007B203C" w:rsidRPr="00517190" w:rsidRDefault="007B203C" w:rsidP="00517190">
            <w:pPr>
              <w:spacing w:before="80" w:after="180" w:line="360" w:lineRule="exact"/>
              <w:jc w:val="right"/>
              <w:rPr>
                <w:rFonts w:ascii="Tahoma" w:hAnsi="Tahoma" w:cs="Tahoma"/>
                <w:b/>
                <w:bCs/>
                <w:iCs/>
                <w:color w:val="243285"/>
                <w:sz w:val="36"/>
                <w:szCs w:val="36"/>
                <w:lang w:val="en-US"/>
              </w:rPr>
            </w:pPr>
          </w:p>
          <w:p w:rsidR="00013002" w:rsidRPr="00517190" w:rsidRDefault="002D77AF" w:rsidP="00517190">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S</w:t>
            </w:r>
            <w:r w:rsidR="00FE79FE" w:rsidRPr="00517190">
              <w:rPr>
                <w:rFonts w:ascii="Tahoma" w:hAnsi="Tahoma" w:cs="Tahoma"/>
                <w:b/>
                <w:bCs/>
                <w:iCs/>
                <w:color w:val="509141"/>
                <w:sz w:val="36"/>
                <w:szCs w:val="36"/>
                <w:lang w:val="en-US"/>
              </w:rPr>
              <w:t xml:space="preserve"> Series</w:t>
            </w:r>
          </w:p>
          <w:p w:rsidR="00FE79FE" w:rsidRPr="00517190" w:rsidRDefault="002D77AF" w:rsidP="00517190">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w:t>
            </w:r>
            <w:r w:rsidR="003B4EE8" w:rsidRPr="00517190">
              <w:rPr>
                <w:rFonts w:ascii="Tahoma" w:hAnsi="Tahoma" w:cs="Tahoma"/>
                <w:b/>
                <w:bCs/>
                <w:iCs/>
                <w:color w:val="509141"/>
                <w:sz w:val="36"/>
                <w:szCs w:val="36"/>
                <w:lang w:val="en-US"/>
              </w:rPr>
              <w:t>emote sensing systems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95E2E">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C95E2E"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3B4EE8">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3B4EE8" w:rsidTr="003B4EE8">
        <w:tc>
          <w:tcPr>
            <w:tcW w:w="1140" w:type="dxa"/>
            <w:tcBorders>
              <w:top w:val="nil"/>
              <w:left w:val="single" w:sz="12" w:space="0" w:color="000080"/>
              <w:bottom w:val="nil"/>
              <w:right w:val="nil"/>
            </w:tcBorders>
            <w:shd w:val="clear" w:color="auto" w:fill="F3F3F3"/>
          </w:tcPr>
          <w:p w:rsidR="00CB60A4" w:rsidRPr="003B4EE8" w:rsidRDefault="00CB60A4">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D84F58">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95E2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95E2E" w:rsidTr="00517190">
        <w:tc>
          <w:tcPr>
            <w:tcW w:w="9360" w:type="dxa"/>
            <w:tcBorders>
              <w:top w:val="single" w:sz="12" w:space="0" w:color="000080"/>
              <w:left w:val="single" w:sz="12" w:space="0" w:color="000080"/>
              <w:bottom w:val="single" w:sz="12" w:space="0" w:color="000080"/>
              <w:right w:val="single" w:sz="12" w:space="0" w:color="000080"/>
            </w:tcBorders>
          </w:tcPr>
          <w:p w:rsidR="00CB60A4" w:rsidRPr="00517190" w:rsidRDefault="00CB60A4" w:rsidP="00926183">
            <w:pPr>
              <w:spacing w:after="120"/>
              <w:jc w:val="left"/>
              <w:rPr>
                <w:b/>
                <w:bCs/>
                <w:sz w:val="20"/>
                <w:lang w:val="en-US"/>
              </w:rPr>
            </w:pPr>
            <w:r w:rsidRPr="00517190">
              <w:rPr>
                <w:b/>
                <w:bCs/>
                <w:i/>
                <w:iCs/>
                <w:sz w:val="20"/>
                <w:lang w:val="en-US"/>
              </w:rPr>
              <w:t>Note</w:t>
            </w:r>
            <w:r w:rsidRPr="00517190">
              <w:rPr>
                <w:i/>
                <w:iCs/>
                <w:sz w:val="20"/>
                <w:lang w:val="en-US"/>
              </w:rPr>
              <w:t xml:space="preserve">: This ITU-R </w:t>
            </w:r>
            <w:r w:rsidR="00505FB4" w:rsidRPr="00517190">
              <w:rPr>
                <w:i/>
                <w:iCs/>
                <w:sz w:val="20"/>
                <w:lang w:val="en-US"/>
              </w:rPr>
              <w:t>Report</w:t>
            </w:r>
            <w:r w:rsidRPr="00517190">
              <w:rPr>
                <w:i/>
                <w:iCs/>
                <w:sz w:val="20"/>
                <w:lang w:val="en-US"/>
              </w:rPr>
              <w:t xml:space="preserve"> was approved in English </w:t>
            </w:r>
            <w:r w:rsidR="001A5259" w:rsidRPr="00517190">
              <w:rPr>
                <w:i/>
                <w:iCs/>
                <w:sz w:val="20"/>
                <w:lang w:val="en-US"/>
              </w:rPr>
              <w:t xml:space="preserve">by the Study Group </w:t>
            </w:r>
            <w:r w:rsidRPr="00517190">
              <w:rPr>
                <w:i/>
                <w:iCs/>
                <w:sz w:val="20"/>
                <w:lang w:val="en-US"/>
              </w:rPr>
              <w:t xml:space="preserve">under the </w:t>
            </w:r>
            <w:r w:rsidR="001A5259" w:rsidRPr="00517190">
              <w:rPr>
                <w:i/>
                <w:iCs/>
                <w:sz w:val="20"/>
                <w:lang w:val="en-US"/>
              </w:rPr>
              <w:t>procedure detailed in Resolution</w:t>
            </w:r>
            <w:r w:rsidR="00926183">
              <w:rPr>
                <w:i/>
                <w:iCs/>
                <w:sz w:val="20"/>
                <w:lang w:val="en-US"/>
              </w:rPr>
              <w:t> </w:t>
            </w:r>
            <w:r w:rsidRPr="0051719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18180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2105C3">
        <w:rPr>
          <w:sz w:val="20"/>
          <w:lang w:val="en-US"/>
        </w:rPr>
        <w:t>1</w:t>
      </w:r>
      <w:r w:rsidR="003342DC">
        <w:rPr>
          <w:sz w:val="20"/>
          <w:lang w:val="en-US"/>
        </w:rPr>
        <w:t>5</w:t>
      </w:r>
    </w:p>
    <w:p w:rsidR="00CB60A4" w:rsidRDefault="00CB60A4" w:rsidP="0018180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2105C3">
        <w:rPr>
          <w:sz w:val="20"/>
          <w:lang w:val="en-US"/>
        </w:rPr>
        <w:t>1</w:t>
      </w:r>
      <w:r w:rsidR="003342DC">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6C5D43" w:rsidRPr="006C5D43" w:rsidRDefault="006C5D43" w:rsidP="006C5D43">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2336-0</w:t>
      </w:r>
      <w:r w:rsidR="00C95E2E">
        <w:rPr>
          <w:rFonts w:eastAsia="MS Mincho"/>
          <w:position w:val="6"/>
          <w:sz w:val="18"/>
          <w:szCs w:val="18"/>
        </w:rPr>
        <w:footnoteReference w:id="1"/>
      </w:r>
    </w:p>
    <w:p w:rsidR="00073646" w:rsidRDefault="00073646" w:rsidP="00073646">
      <w:pPr>
        <w:pStyle w:val="Reptitle"/>
        <w:rPr>
          <w:lang w:val="en-US"/>
        </w:rPr>
      </w:pPr>
      <w:r>
        <w:rPr>
          <w:lang w:val="en-US"/>
        </w:rPr>
        <w:t>Consideration of the frequency bands 1 375-1 400 MHz and 1 427-1 452 MHz for the mobile service – Compatibility with systems of the Earth exploration-satellite service (EESS) within the 1 400-1 427 MHz frequency band</w:t>
      </w:r>
    </w:p>
    <w:p w:rsidR="00073646" w:rsidRDefault="00073646" w:rsidP="00073646">
      <w:pPr>
        <w:pStyle w:val="Heading1"/>
        <w:rPr>
          <w:lang w:val="en-US"/>
        </w:rPr>
      </w:pPr>
      <w:r>
        <w:rPr>
          <w:lang w:val="en-US"/>
        </w:rPr>
        <w:t>1</w:t>
      </w:r>
      <w:r>
        <w:rPr>
          <w:lang w:val="en-US"/>
        </w:rPr>
        <w:tab/>
        <w:t>Introduction</w:t>
      </w:r>
    </w:p>
    <w:p w:rsidR="00073646" w:rsidRPr="00073646" w:rsidRDefault="00073646" w:rsidP="00073646">
      <w:pPr>
        <w:rPr>
          <w:lang w:val="en-US"/>
        </w:rPr>
      </w:pPr>
      <w:r w:rsidRPr="00073646">
        <w:rPr>
          <w:lang w:val="en-US"/>
        </w:rPr>
        <w:t>In order to support requirements for “mobile broadband”, the frequency bands 1</w:t>
      </w:r>
      <w:r w:rsidRPr="00073646">
        <w:rPr>
          <w:szCs w:val="24"/>
          <w:lang w:val="en-US"/>
        </w:rPr>
        <w:t> </w:t>
      </w:r>
      <w:r w:rsidRPr="00073646">
        <w:rPr>
          <w:lang w:val="en-US"/>
        </w:rPr>
        <w:t>375-1</w:t>
      </w:r>
      <w:r w:rsidRPr="00073646">
        <w:rPr>
          <w:szCs w:val="24"/>
          <w:lang w:val="en-US"/>
        </w:rPr>
        <w:t> </w:t>
      </w:r>
      <w:r w:rsidRPr="00073646">
        <w:rPr>
          <w:lang w:val="en-US"/>
        </w:rPr>
        <w:t>400</w:t>
      </w:r>
      <w:r w:rsidRPr="00073646">
        <w:rPr>
          <w:szCs w:val="24"/>
          <w:lang w:val="en-US"/>
        </w:rPr>
        <w:t> </w:t>
      </w:r>
      <w:r w:rsidRPr="00073646">
        <w:rPr>
          <w:lang w:val="en-US"/>
        </w:rPr>
        <w:t>MHz and 1</w:t>
      </w:r>
      <w:r w:rsidRPr="00073646">
        <w:rPr>
          <w:szCs w:val="24"/>
          <w:lang w:val="en-US"/>
        </w:rPr>
        <w:t> </w:t>
      </w:r>
      <w:r w:rsidRPr="00073646">
        <w:rPr>
          <w:lang w:val="en-US"/>
        </w:rPr>
        <w:t>427-1</w:t>
      </w:r>
      <w:r w:rsidRPr="00073646">
        <w:rPr>
          <w:szCs w:val="24"/>
          <w:lang w:val="en-US"/>
        </w:rPr>
        <w:t> </w:t>
      </w:r>
      <w:r w:rsidRPr="00073646">
        <w:rPr>
          <w:lang w:val="en-US"/>
        </w:rPr>
        <w:t>452</w:t>
      </w:r>
      <w:r w:rsidRPr="00073646">
        <w:rPr>
          <w:szCs w:val="24"/>
          <w:lang w:val="en-US"/>
        </w:rPr>
        <w:t> </w:t>
      </w:r>
      <w:r w:rsidRPr="00073646">
        <w:rPr>
          <w:lang w:val="en-US"/>
        </w:rPr>
        <w:t>MHz have been called for studies.</w:t>
      </w:r>
    </w:p>
    <w:p w:rsidR="00073646" w:rsidRPr="00073646" w:rsidRDefault="00073646" w:rsidP="00073646">
      <w:pPr>
        <w:rPr>
          <w:lang w:val="en-US"/>
        </w:rPr>
      </w:pPr>
      <w:r w:rsidRPr="00073646">
        <w:rPr>
          <w:lang w:val="en-US"/>
        </w:rPr>
        <w:t>The frequency band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is currently allocated to the Earth exploration-satellite service (EESS)(passive), used in particular by the ESA SMOS (Soil Moisture and Ocean Salinity) satellite as well as to the more recent NASA Aquarius/SAC-D sensor.</w:t>
      </w:r>
    </w:p>
    <w:p w:rsidR="00073646" w:rsidRPr="00073646" w:rsidRDefault="00073646" w:rsidP="00C95E2E">
      <w:pPr>
        <w:rPr>
          <w:lang w:val="en-US"/>
        </w:rPr>
      </w:pPr>
      <w:r w:rsidRPr="00073646">
        <w:rPr>
          <w:lang w:val="en-US"/>
        </w:rPr>
        <w:t>Coexistence studies between the mobile service and EESS (passive) at 1.4</w:t>
      </w:r>
      <w:r w:rsidRPr="00073646">
        <w:rPr>
          <w:szCs w:val="24"/>
          <w:lang w:val="en-US"/>
        </w:rPr>
        <w:t> </w:t>
      </w:r>
      <w:r w:rsidRPr="00073646">
        <w:rPr>
          <w:lang w:val="en-US"/>
        </w:rPr>
        <w:t>GHz have already been carried out in ITU-R and led to the adoption of Report ITU-R SM.2092 (</w:t>
      </w:r>
      <w:r w:rsidR="003D4715">
        <w:rPr>
          <w:lang w:val="en-US"/>
        </w:rPr>
        <w:t>§</w:t>
      </w:r>
      <w:r w:rsidRPr="00073646">
        <w:rPr>
          <w:lang w:val="en-US"/>
        </w:rPr>
        <w:t xml:space="preserve"> 6). However, these studies only considered the uplink case (user equipment (UE) emissions) in Japan (2G and 3G) in the 1</w:t>
      </w:r>
      <w:r w:rsidRPr="00073646">
        <w:rPr>
          <w:szCs w:val="24"/>
          <w:lang w:val="en-US"/>
        </w:rPr>
        <w:t> </w:t>
      </w:r>
      <w:r w:rsidRPr="00073646">
        <w:rPr>
          <w:lang w:val="en-US"/>
        </w:rPr>
        <w:t>427</w:t>
      </w:r>
      <w:r w:rsidR="00C95E2E">
        <w:rPr>
          <w:lang w:val="en-US"/>
        </w:rPr>
        <w:noBreakHyphen/>
      </w:r>
      <w:r w:rsidRPr="00073646">
        <w:rPr>
          <w:lang w:val="en-US"/>
        </w:rPr>
        <w:t>1</w:t>
      </w:r>
      <w:r w:rsidRPr="00073646">
        <w:rPr>
          <w:szCs w:val="24"/>
          <w:lang w:val="en-US"/>
        </w:rPr>
        <w:t> </w:t>
      </w:r>
      <w:r w:rsidRPr="00073646">
        <w:rPr>
          <w:lang w:val="en-US"/>
        </w:rPr>
        <w:t>452</w:t>
      </w:r>
      <w:r w:rsidRPr="00073646">
        <w:rPr>
          <w:szCs w:val="24"/>
          <w:lang w:val="en-US"/>
        </w:rPr>
        <w:t> </w:t>
      </w:r>
      <w:r w:rsidRPr="00073646">
        <w:rPr>
          <w:lang w:val="en-US"/>
        </w:rPr>
        <w:t>MHz frequency band and roughly concluded that, under various assumptions and conditions, a level of unwanted emissions of –60</w:t>
      </w:r>
      <w:r w:rsidRPr="00073646">
        <w:rPr>
          <w:szCs w:val="24"/>
          <w:lang w:val="en-US"/>
        </w:rPr>
        <w:t> </w:t>
      </w:r>
      <w:r w:rsidRPr="00073646">
        <w:rPr>
          <w:lang w:val="en-US"/>
        </w:rPr>
        <w:t>dBW/27</w:t>
      </w:r>
      <w:r w:rsidRPr="00073646">
        <w:rPr>
          <w:szCs w:val="24"/>
          <w:lang w:val="en-US"/>
        </w:rPr>
        <w:t> </w:t>
      </w:r>
      <w:r w:rsidRPr="00073646">
        <w:rPr>
          <w:lang w:val="en-US"/>
        </w:rPr>
        <w:t>MHz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frequency band is required to ensure protection of EESS (passive). This level of –60</w:t>
      </w:r>
      <w:r w:rsidRPr="00073646">
        <w:rPr>
          <w:szCs w:val="24"/>
          <w:lang w:val="en-US"/>
        </w:rPr>
        <w:t> </w:t>
      </w:r>
      <w:r w:rsidRPr="00073646">
        <w:rPr>
          <w:lang w:val="en-US"/>
        </w:rPr>
        <w:t>dBW/27</w:t>
      </w:r>
      <w:r w:rsidRPr="00073646">
        <w:rPr>
          <w:szCs w:val="24"/>
          <w:lang w:val="en-US"/>
        </w:rPr>
        <w:t> </w:t>
      </w:r>
      <w:r w:rsidRPr="00073646">
        <w:rPr>
          <w:lang w:val="en-US"/>
        </w:rPr>
        <w:t xml:space="preserve">MHz was subsequently included in Resolution </w:t>
      </w:r>
      <w:r w:rsidRPr="00073646">
        <w:rPr>
          <w:b/>
          <w:bCs/>
          <w:lang w:val="en-US"/>
        </w:rPr>
        <w:t>750 (Rev.WRC-12)</w:t>
      </w:r>
      <w:r w:rsidRPr="00073646">
        <w:rPr>
          <w:lang w:val="en-US"/>
        </w:rPr>
        <w:t xml:space="preserve"> as a “recommended level” for the “mobile” frequency bands 1</w:t>
      </w:r>
      <w:r w:rsidRPr="00073646">
        <w:rPr>
          <w:szCs w:val="24"/>
          <w:lang w:val="en-US"/>
        </w:rPr>
        <w:t> </w:t>
      </w:r>
      <w:r w:rsidRPr="00073646">
        <w:rPr>
          <w:lang w:val="en-US"/>
        </w:rPr>
        <w:t>350-1</w:t>
      </w:r>
      <w:r w:rsidRPr="00073646">
        <w:rPr>
          <w:szCs w:val="24"/>
          <w:lang w:val="en-US"/>
        </w:rPr>
        <w:t> </w:t>
      </w:r>
      <w:r w:rsidRPr="00073646">
        <w:rPr>
          <w:lang w:val="en-US"/>
        </w:rPr>
        <w:t>400</w:t>
      </w:r>
      <w:r w:rsidRPr="00073646">
        <w:rPr>
          <w:szCs w:val="24"/>
          <w:lang w:val="en-US"/>
        </w:rPr>
        <w:t> </w:t>
      </w:r>
      <w:r w:rsidRPr="00073646">
        <w:rPr>
          <w:lang w:val="en-US"/>
        </w:rPr>
        <w:t>MHz and 1</w:t>
      </w:r>
      <w:r w:rsidRPr="00073646">
        <w:rPr>
          <w:szCs w:val="24"/>
          <w:lang w:val="en-US"/>
        </w:rPr>
        <w:t> </w:t>
      </w:r>
      <w:r w:rsidRPr="00073646">
        <w:rPr>
          <w:lang w:val="en-US"/>
        </w:rPr>
        <w:t>427-1</w:t>
      </w:r>
      <w:r w:rsidRPr="00073646">
        <w:rPr>
          <w:szCs w:val="24"/>
          <w:lang w:val="en-US"/>
        </w:rPr>
        <w:t> </w:t>
      </w:r>
      <w:r w:rsidRPr="00073646">
        <w:rPr>
          <w:lang w:val="en-US"/>
        </w:rPr>
        <w:t>452</w:t>
      </w:r>
      <w:r w:rsidRPr="00073646">
        <w:rPr>
          <w:szCs w:val="24"/>
          <w:lang w:val="en-US"/>
        </w:rPr>
        <w:t> </w:t>
      </w:r>
      <w:r w:rsidRPr="00073646">
        <w:rPr>
          <w:lang w:val="en-US"/>
        </w:rPr>
        <w:t>MHz.</w:t>
      </w:r>
    </w:p>
    <w:p w:rsidR="00073646" w:rsidRPr="00073646" w:rsidRDefault="00073646" w:rsidP="00073646">
      <w:pPr>
        <w:rPr>
          <w:lang w:val="en-US"/>
        </w:rPr>
      </w:pPr>
      <w:r w:rsidRPr="00073646">
        <w:rPr>
          <w:lang w:val="en-US"/>
        </w:rPr>
        <w:t>It appears obvious that these studies have to be reconsidered to take into account the surrounding of the passive band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 xml:space="preserve">MHz by both uplink and downlink of mobile systems, the larger deployment of mobile networks compared to the situation in Japan, the deployment of base-stations and not only </w:t>
      </w:r>
      <w:r w:rsidRPr="00073646">
        <w:rPr>
          <w:lang w:val="en-US" w:eastAsia="ja-JP"/>
        </w:rPr>
        <w:t>UE</w:t>
      </w:r>
      <w:r w:rsidRPr="00073646">
        <w:rPr>
          <w:lang w:val="en-US"/>
        </w:rPr>
        <w:t xml:space="preserve"> as well as most likely different characteristics of mobile systems expected in these frequency bands.</w:t>
      </w:r>
    </w:p>
    <w:p w:rsidR="00073646" w:rsidRPr="00073646" w:rsidRDefault="00073646" w:rsidP="00073646">
      <w:pPr>
        <w:rPr>
          <w:lang w:val="en-US"/>
        </w:rPr>
      </w:pPr>
      <w:r w:rsidRPr="00073646">
        <w:rPr>
          <w:lang w:val="en-US"/>
        </w:rPr>
        <w:t>The present Report provides analyses based on both static scenario and dynamic methodology to address the compatibility between IMT systems in the frequency bands 1</w:t>
      </w:r>
      <w:r w:rsidRPr="00073646">
        <w:rPr>
          <w:szCs w:val="24"/>
          <w:lang w:val="en-US"/>
        </w:rPr>
        <w:t> </w:t>
      </w:r>
      <w:r w:rsidRPr="00073646">
        <w:rPr>
          <w:lang w:val="en-US"/>
        </w:rPr>
        <w:t>375-1</w:t>
      </w:r>
      <w:r w:rsidRPr="00073646">
        <w:rPr>
          <w:szCs w:val="24"/>
          <w:lang w:val="en-US"/>
        </w:rPr>
        <w:t> </w:t>
      </w:r>
      <w:r w:rsidRPr="00073646">
        <w:rPr>
          <w:lang w:val="en-US"/>
        </w:rPr>
        <w:t>400</w:t>
      </w:r>
      <w:r w:rsidRPr="00073646">
        <w:rPr>
          <w:szCs w:val="24"/>
          <w:lang w:val="en-US"/>
        </w:rPr>
        <w:t> </w:t>
      </w:r>
      <w:r w:rsidRPr="00073646">
        <w:rPr>
          <w:lang w:val="en-US"/>
        </w:rPr>
        <w:t>MHz and 1</w:t>
      </w:r>
      <w:r w:rsidRPr="00073646">
        <w:rPr>
          <w:szCs w:val="24"/>
          <w:lang w:val="en-US"/>
        </w:rPr>
        <w:t> </w:t>
      </w:r>
      <w:r w:rsidRPr="00073646">
        <w:rPr>
          <w:lang w:val="en-US"/>
        </w:rPr>
        <w:t>427</w:t>
      </w:r>
      <w:r w:rsidRPr="00073646">
        <w:rPr>
          <w:lang w:val="en-US"/>
        </w:rPr>
        <w:noBreakHyphen/>
        <w:t>1</w:t>
      </w:r>
      <w:r w:rsidRPr="00073646">
        <w:rPr>
          <w:szCs w:val="24"/>
          <w:lang w:val="en-US"/>
        </w:rPr>
        <w:t> </w:t>
      </w:r>
      <w:r w:rsidRPr="00073646">
        <w:rPr>
          <w:lang w:val="en-US"/>
        </w:rPr>
        <w:t>452</w:t>
      </w:r>
      <w:r w:rsidRPr="00073646">
        <w:rPr>
          <w:szCs w:val="24"/>
          <w:lang w:val="en-US"/>
        </w:rPr>
        <w:t> </w:t>
      </w:r>
      <w:r w:rsidRPr="00073646">
        <w:rPr>
          <w:lang w:val="en-US"/>
        </w:rPr>
        <w:t>MHz and EESS (passive) systems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frequency band.</w:t>
      </w:r>
    </w:p>
    <w:p w:rsidR="00073646" w:rsidRPr="00073646" w:rsidRDefault="00073646" w:rsidP="00073646">
      <w:pPr>
        <w:rPr>
          <w:lang w:val="en-US" w:eastAsia="ja-JP"/>
        </w:rPr>
      </w:pPr>
      <w:r w:rsidRPr="00073646">
        <w:rPr>
          <w:lang w:val="en-US" w:eastAsia="ja-JP"/>
        </w:rPr>
        <w:t>This Report also provides possible mitigation measures to reduce unwanted emission level of IMT systems falling into the EESS (passive) frequency band as shown in Annex 1.</w:t>
      </w:r>
    </w:p>
    <w:p w:rsidR="00073646" w:rsidRPr="00073646" w:rsidRDefault="00073646" w:rsidP="00073646">
      <w:pPr>
        <w:pStyle w:val="Heading1"/>
        <w:rPr>
          <w:lang w:val="en-US"/>
        </w:rPr>
      </w:pPr>
      <w:r w:rsidRPr="00073646">
        <w:rPr>
          <w:lang w:val="en-US"/>
        </w:rPr>
        <w:t>2</w:t>
      </w:r>
      <w:r w:rsidRPr="00073646">
        <w:rPr>
          <w:lang w:val="en-US"/>
        </w:rPr>
        <w:tab/>
        <w:t>Technical characteristics</w:t>
      </w:r>
    </w:p>
    <w:p w:rsidR="00073646" w:rsidRPr="00073646" w:rsidRDefault="00073646" w:rsidP="00073646">
      <w:pPr>
        <w:pStyle w:val="Heading2"/>
        <w:rPr>
          <w:lang w:val="en-US"/>
        </w:rPr>
      </w:pPr>
      <w:r w:rsidRPr="00073646">
        <w:rPr>
          <w:lang w:val="en-US"/>
        </w:rPr>
        <w:t>2.1</w:t>
      </w:r>
      <w:r w:rsidRPr="00073646">
        <w:rPr>
          <w:lang w:val="en-US"/>
        </w:rPr>
        <w:tab/>
        <w:t>EESS (passive) systems</w:t>
      </w:r>
    </w:p>
    <w:p w:rsidR="00073646" w:rsidRPr="00073646" w:rsidRDefault="00073646" w:rsidP="00073646">
      <w:pPr>
        <w:pStyle w:val="Heading3"/>
        <w:rPr>
          <w:lang w:val="en-US"/>
        </w:rPr>
      </w:pPr>
      <w:r w:rsidRPr="00073646">
        <w:rPr>
          <w:lang w:val="en-US"/>
        </w:rPr>
        <w:t>2.1.1</w:t>
      </w:r>
      <w:r w:rsidRPr="00073646">
        <w:rPr>
          <w:lang w:val="en-US"/>
        </w:rPr>
        <w:tab/>
        <w:t>Interference criteria</w:t>
      </w:r>
    </w:p>
    <w:p w:rsidR="00073646" w:rsidRPr="00073646" w:rsidRDefault="00073646" w:rsidP="00C520FB">
      <w:pPr>
        <w:rPr>
          <w:lang w:val="en-US"/>
        </w:rPr>
      </w:pPr>
      <w:r w:rsidRPr="00073646">
        <w:rPr>
          <w:lang w:val="en-US"/>
        </w:rPr>
        <w:t>The EESS (passive) interference criterion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 xml:space="preserve">MHz frequency band is given in Recommendation ITU-R </w:t>
      </w:r>
      <w:r w:rsidRPr="000252AC">
        <w:rPr>
          <w:rFonts w:cs="Arial"/>
          <w:szCs w:val="22"/>
          <w:lang w:val="en-US"/>
        </w:rPr>
        <w:t>RS.2017</w:t>
      </w:r>
      <w:r w:rsidR="00C520FB">
        <w:rPr>
          <w:lang w:val="en-US"/>
        </w:rPr>
        <w:t xml:space="preserve">, </w:t>
      </w:r>
      <w:r w:rsidRPr="00073646">
        <w:rPr>
          <w:lang w:val="en-US"/>
        </w:rPr>
        <w:t>as a value of –174</w:t>
      </w:r>
      <w:r w:rsidRPr="00073646">
        <w:rPr>
          <w:szCs w:val="24"/>
          <w:lang w:val="en-US"/>
        </w:rPr>
        <w:t> </w:t>
      </w:r>
      <w:r w:rsidRPr="00073646">
        <w:rPr>
          <w:lang w:val="en-US"/>
        </w:rPr>
        <w:t>dBW/27</w:t>
      </w:r>
      <w:r w:rsidRPr="00073646">
        <w:rPr>
          <w:szCs w:val="24"/>
          <w:lang w:val="en-US"/>
        </w:rPr>
        <w:t> </w:t>
      </w:r>
      <w:r w:rsidRPr="00073646">
        <w:rPr>
          <w:lang w:val="en-US"/>
        </w:rPr>
        <w:t>MHz associated with a 0.1% of area or time it may be exceeded (over a measurement area of 10</w:t>
      </w:r>
      <w:r w:rsidRPr="00073646">
        <w:rPr>
          <w:szCs w:val="24"/>
          <w:lang w:val="en-US"/>
        </w:rPr>
        <w:t> </w:t>
      </w:r>
      <w:r w:rsidRPr="00073646">
        <w:rPr>
          <w:lang w:val="en-US"/>
        </w:rPr>
        <w:t>000</w:t>
      </w:r>
      <w:r w:rsidRPr="00073646">
        <w:rPr>
          <w:szCs w:val="24"/>
          <w:lang w:val="en-US"/>
        </w:rPr>
        <w:t> </w:t>
      </w:r>
      <w:r w:rsidRPr="00073646">
        <w:rPr>
          <w:lang w:val="en-US"/>
        </w:rPr>
        <w:t>000</w:t>
      </w:r>
      <w:r w:rsidRPr="00073646">
        <w:rPr>
          <w:szCs w:val="24"/>
          <w:lang w:val="en-US"/>
        </w:rPr>
        <w:t> </w:t>
      </w:r>
      <w:r w:rsidRPr="00073646">
        <w:rPr>
          <w:lang w:val="en-US"/>
        </w:rPr>
        <w:t>km</w:t>
      </w:r>
      <w:r w:rsidRPr="00073646">
        <w:rPr>
          <w:vertAlign w:val="superscript"/>
          <w:lang w:val="en-US"/>
        </w:rPr>
        <w:t>2</w:t>
      </w:r>
      <w:r w:rsidRPr="00073646">
        <w:rPr>
          <w:lang w:val="en-US"/>
        </w:rPr>
        <w:t>).</w:t>
      </w:r>
    </w:p>
    <w:p w:rsidR="00073646" w:rsidRPr="00073646" w:rsidRDefault="00073646" w:rsidP="00CF0F60">
      <w:pPr>
        <w:rPr>
          <w:lang w:val="en-US"/>
        </w:rPr>
      </w:pPr>
      <w:r w:rsidRPr="00073646">
        <w:rPr>
          <w:lang w:val="en-US" w:eastAsia="ja-JP"/>
        </w:rPr>
        <w:t>Although the level of</w:t>
      </w:r>
      <w:r w:rsidRPr="00073646">
        <w:rPr>
          <w:lang w:val="en-US"/>
        </w:rPr>
        <w:t xml:space="preserve"> unwanted emissions </w:t>
      </w:r>
      <w:r w:rsidRPr="00073646">
        <w:rPr>
          <w:lang w:val="en-US" w:eastAsia="ja-JP"/>
        </w:rPr>
        <w:t>–60</w:t>
      </w:r>
      <w:r w:rsidRPr="00073646">
        <w:rPr>
          <w:szCs w:val="24"/>
          <w:lang w:val="en-US"/>
        </w:rPr>
        <w:t> </w:t>
      </w:r>
      <w:r w:rsidRPr="00073646">
        <w:rPr>
          <w:lang w:val="en-US" w:eastAsia="ja-JP"/>
        </w:rPr>
        <w:t>dBW/27</w:t>
      </w:r>
      <w:r w:rsidRPr="00073646">
        <w:rPr>
          <w:szCs w:val="24"/>
          <w:lang w:val="en-US"/>
        </w:rPr>
        <w:t> </w:t>
      </w:r>
      <w:r w:rsidRPr="00073646">
        <w:rPr>
          <w:lang w:val="en-US" w:eastAsia="ja-JP"/>
        </w:rPr>
        <w:t xml:space="preserve">MHz in Resolution </w:t>
      </w:r>
      <w:r w:rsidRPr="00073646">
        <w:rPr>
          <w:b/>
          <w:lang w:val="en-US" w:eastAsia="ja-JP"/>
        </w:rPr>
        <w:t>750 (Rev.WRC-12)</w:t>
      </w:r>
      <w:r w:rsidRPr="00073646">
        <w:rPr>
          <w:lang w:val="en-US" w:eastAsia="ja-JP"/>
        </w:rPr>
        <w:t xml:space="preserve"> was assessed in </w:t>
      </w:r>
      <w:r w:rsidRPr="00073646">
        <w:rPr>
          <w:lang w:val="en-US"/>
        </w:rPr>
        <w:t xml:space="preserve">Report ITU-R SM.2092 using </w:t>
      </w:r>
      <w:r w:rsidRPr="00073646">
        <w:rPr>
          <w:lang w:val="en-US" w:eastAsia="ja-JP"/>
        </w:rPr>
        <w:t xml:space="preserve">this </w:t>
      </w:r>
      <w:r w:rsidRPr="00073646">
        <w:rPr>
          <w:lang w:val="en-US"/>
        </w:rPr>
        <w:t>EESS (passive) interference criterion</w:t>
      </w:r>
      <w:r w:rsidRPr="00073646">
        <w:rPr>
          <w:lang w:val="en-US" w:eastAsia="ja-JP"/>
        </w:rPr>
        <w:t xml:space="preserve"> </w:t>
      </w:r>
      <w:r w:rsidR="00547EB0">
        <w:rPr>
          <w:lang w:val="en-US" w:eastAsia="ja-JP"/>
        </w:rPr>
        <w:br/>
      </w:r>
      <w:r w:rsidRPr="00073646">
        <w:rPr>
          <w:lang w:val="en-US" w:eastAsia="ja-JP"/>
        </w:rPr>
        <w:t>(</w:t>
      </w:r>
      <w:r w:rsidR="00547EB0" w:rsidRPr="00547EB0">
        <w:rPr>
          <w:lang w:val="en-US" w:eastAsia="ja-JP"/>
        </w:rPr>
        <w:t>–</w:t>
      </w:r>
      <w:r w:rsidRPr="00073646">
        <w:rPr>
          <w:lang w:val="en-US"/>
        </w:rPr>
        <w:t>174</w:t>
      </w:r>
      <w:r w:rsidRPr="00073646">
        <w:rPr>
          <w:szCs w:val="24"/>
          <w:lang w:val="en-US"/>
        </w:rPr>
        <w:t> </w:t>
      </w:r>
      <w:r w:rsidRPr="00073646">
        <w:rPr>
          <w:lang w:val="en-US"/>
        </w:rPr>
        <w:t>dBW/27</w:t>
      </w:r>
      <w:r w:rsidRPr="00073646">
        <w:rPr>
          <w:szCs w:val="24"/>
          <w:lang w:val="en-US"/>
        </w:rPr>
        <w:t> </w:t>
      </w:r>
      <w:r w:rsidRPr="00073646">
        <w:rPr>
          <w:lang w:val="en-US"/>
        </w:rPr>
        <w:t>MHz</w:t>
      </w:r>
      <w:r w:rsidRPr="00073646">
        <w:rPr>
          <w:lang w:val="en-US" w:eastAsia="ja-JP"/>
        </w:rPr>
        <w:t xml:space="preserve">), it is necessary to </w:t>
      </w:r>
      <w:r w:rsidRPr="00073646">
        <w:rPr>
          <w:lang w:val="en-US"/>
        </w:rPr>
        <w:t xml:space="preserve">stress the fact that this criterion is given for all interference </w:t>
      </w:r>
      <w:r w:rsidRPr="00073646">
        <w:rPr>
          <w:lang w:val="en-US"/>
        </w:rPr>
        <w:lastRenderedPageBreak/>
        <w:t xml:space="preserve">sources (not only the immediately adjacent channel). Hence, under WRC-15 agenda item 1.1, unwanted emissions should be apportioned between the </w:t>
      </w:r>
      <w:r w:rsidRPr="00073646">
        <w:rPr>
          <w:lang w:val="en-US" w:eastAsia="ja-JP"/>
        </w:rPr>
        <w:t>m</w:t>
      </w:r>
      <w:r w:rsidRPr="00073646">
        <w:rPr>
          <w:lang w:val="en-US"/>
        </w:rPr>
        <w:t>obile service and the other services operating in the two adjacent frequency bands.</w:t>
      </w:r>
    </w:p>
    <w:p w:rsidR="00073646" w:rsidRPr="00073646" w:rsidRDefault="00073646" w:rsidP="00CF0F60">
      <w:pPr>
        <w:rPr>
          <w:lang w:val="en-US"/>
        </w:rPr>
      </w:pPr>
      <w:r w:rsidRPr="00073646">
        <w:rPr>
          <w:lang w:val="en-US"/>
        </w:rPr>
        <w:t>In the case both 1 375-1 400 MHz and 1 427-1 452 MHz frequency bands are considered to be used simultaneously by mobile applications (uplink and downlink), the above level will have to be considered against the aggregate interference from equipment in both frequency bands as well as possible other sources as detailed below:</w:t>
      </w:r>
    </w:p>
    <w:p w:rsidR="00073646" w:rsidRPr="00073646" w:rsidRDefault="00073646" w:rsidP="00073646">
      <w:pPr>
        <w:pStyle w:val="enumlev1"/>
        <w:rPr>
          <w:lang w:val="en-US"/>
        </w:rPr>
      </w:pPr>
      <w:r w:rsidRPr="00073646">
        <w:rPr>
          <w:lang w:val="en-US"/>
        </w:rPr>
        <w:t>–</w:t>
      </w:r>
      <w:r w:rsidRPr="00073646">
        <w:rPr>
          <w:lang w:val="en-US"/>
        </w:rPr>
        <w:tab/>
        <w:t>1 dB interference margin for interference from all other sources (e.g. spurious from systems of services below 1 375 MHz or above 1 452 MHz), taking into account that a country deploying IMT systems in these frequency bands may not deploy systems or stations of other services in the same frequency band;</w:t>
      </w:r>
    </w:p>
    <w:p w:rsidR="00073646" w:rsidRPr="00073646" w:rsidRDefault="00073646" w:rsidP="00073646">
      <w:pPr>
        <w:pStyle w:val="enumlev1"/>
        <w:rPr>
          <w:lang w:val="en-US"/>
        </w:rPr>
      </w:pPr>
      <w:r w:rsidRPr="00073646">
        <w:rPr>
          <w:lang w:val="en-US"/>
        </w:rPr>
        <w:t>–</w:t>
      </w:r>
      <w:r w:rsidRPr="00073646">
        <w:rPr>
          <w:lang w:val="en-US"/>
        </w:rPr>
        <w:tab/>
        <w:t xml:space="preserve">Apportionment between base-station and UE of the mobile service can be weighted to account for the likely difficulty for UE to comply with the required limit. An apportionment ratio (ABT) of 20% for base-station and 80% for </w:t>
      </w:r>
      <w:r w:rsidRPr="00073646">
        <w:rPr>
          <w:lang w:val="en-US" w:eastAsia="ja-JP"/>
        </w:rPr>
        <w:t>UE</w:t>
      </w:r>
      <w:r w:rsidRPr="00073646">
        <w:rPr>
          <w:lang w:val="en-US"/>
        </w:rPr>
        <w:t xml:space="preserve"> has been considered.</w:t>
      </w:r>
    </w:p>
    <w:p w:rsidR="00073646" w:rsidRPr="00073646" w:rsidRDefault="00073646" w:rsidP="00CF0F60">
      <w:pPr>
        <w:rPr>
          <w:lang w:val="en-US"/>
        </w:rPr>
      </w:pPr>
      <w:r w:rsidRPr="00073646">
        <w:rPr>
          <w:lang w:val="en-US"/>
        </w:rPr>
        <w:t>Under these assumptions, the relevant maximum interference can be calculated as:</w:t>
      </w:r>
    </w:p>
    <w:p w:rsidR="00073646" w:rsidRPr="00C95E2E" w:rsidRDefault="00073646" w:rsidP="00CF0F60">
      <w:pPr>
        <w:pStyle w:val="Equation"/>
        <w:rPr>
          <w:lang w:val="en-US"/>
        </w:rPr>
      </w:pPr>
      <w:r w:rsidRPr="00C95E2E">
        <w:rPr>
          <w:lang w:val="en-US"/>
        </w:rPr>
        <w:tab/>
      </w:r>
      <w:r w:rsidRPr="00C95E2E">
        <w:rPr>
          <w:lang w:val="en-US"/>
        </w:rPr>
        <w:tab/>
        <w:t>Maximum interference = –174 dBW/27MHz –</w:t>
      </w:r>
      <w:r w:rsidR="00C37201">
        <w:rPr>
          <w:lang w:val="en-US"/>
        </w:rPr>
        <w:t xml:space="preserve"> </w:t>
      </w:r>
      <w:r w:rsidRPr="00C95E2E">
        <w:rPr>
          <w:lang w:val="en-US"/>
        </w:rPr>
        <w:t>1 dB +</w:t>
      </w:r>
      <w:r w:rsidR="00C37201">
        <w:rPr>
          <w:lang w:val="en-US"/>
        </w:rPr>
        <w:t xml:space="preserve"> </w:t>
      </w:r>
      <w:r w:rsidRPr="00C95E2E">
        <w:rPr>
          <w:lang w:val="en-US"/>
        </w:rPr>
        <w:t>10</w:t>
      </w:r>
      <w:r w:rsidR="00C37201">
        <w:rPr>
          <w:lang w:val="en-US"/>
        </w:rPr>
        <w:t xml:space="preserve"> </w:t>
      </w:r>
      <w:r w:rsidRPr="00C95E2E">
        <w:rPr>
          <w:lang w:val="en-US"/>
        </w:rPr>
        <w:t>×</w:t>
      </w:r>
      <w:r w:rsidR="00C37201">
        <w:rPr>
          <w:lang w:val="en-US"/>
        </w:rPr>
        <w:t xml:space="preserve"> </w:t>
      </w:r>
      <w:r w:rsidRPr="00C95E2E">
        <w:rPr>
          <w:lang w:val="en-US"/>
        </w:rPr>
        <w:t>log(ABT)</w:t>
      </w:r>
    </w:p>
    <w:p w:rsidR="00073646" w:rsidRPr="00073646" w:rsidRDefault="00073646" w:rsidP="00073646">
      <w:pPr>
        <w:rPr>
          <w:rFonts w:cs="Arial"/>
          <w:szCs w:val="22"/>
          <w:lang w:val="en-US"/>
        </w:rPr>
      </w:pPr>
      <w:r w:rsidRPr="00073646">
        <w:rPr>
          <w:rFonts w:cs="Arial"/>
          <w:szCs w:val="22"/>
          <w:lang w:val="en-US"/>
        </w:rPr>
        <w:t>and are</w:t>
      </w:r>
      <w:r w:rsidR="00CF2A94">
        <w:rPr>
          <w:rFonts w:cs="Arial"/>
          <w:szCs w:val="22"/>
          <w:lang w:val="en-US"/>
        </w:rPr>
        <w:t xml:space="preserve"> given in the following Table 1.</w:t>
      </w:r>
    </w:p>
    <w:p w:rsidR="00073646" w:rsidRPr="00F813F6" w:rsidRDefault="00073646" w:rsidP="00073646">
      <w:pPr>
        <w:pStyle w:val="TableNo"/>
      </w:pPr>
      <w:r w:rsidRPr="00F813F6">
        <w:t>TABLE</w:t>
      </w:r>
      <w:r w:rsidR="003D4715">
        <w:t xml:space="preserve"> </w:t>
      </w:r>
      <w:r w:rsidRPr="00F813F6">
        <w:t>1</w:t>
      </w:r>
    </w:p>
    <w:p w:rsidR="00073646" w:rsidRPr="00F813F6" w:rsidRDefault="00073646" w:rsidP="00073646">
      <w:pPr>
        <w:pStyle w:val="Tabletitle"/>
      </w:pPr>
      <w:r w:rsidRPr="00F813F6">
        <w:t>Maximum interference levels</w:t>
      </w:r>
    </w:p>
    <w:tbl>
      <w:tblPr>
        <w:tblW w:w="8263" w:type="dxa"/>
        <w:jc w:val="center"/>
        <w:tblLayout w:type="fixed"/>
        <w:tblCellMar>
          <w:left w:w="70" w:type="dxa"/>
          <w:right w:w="70" w:type="dxa"/>
        </w:tblCellMar>
        <w:tblLook w:val="04A0" w:firstRow="1" w:lastRow="0" w:firstColumn="1" w:lastColumn="0" w:noHBand="0" w:noVBand="1"/>
      </w:tblPr>
      <w:tblGrid>
        <w:gridCol w:w="2552"/>
        <w:gridCol w:w="1559"/>
        <w:gridCol w:w="2268"/>
        <w:gridCol w:w="1884"/>
      </w:tblGrid>
      <w:tr w:rsidR="00073646" w:rsidRPr="00F813F6" w:rsidTr="00560FC1">
        <w:trPr>
          <w:trHeight w:val="30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Unit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User equipment</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Base-station</w:t>
            </w:r>
          </w:p>
        </w:tc>
      </w:tr>
      <w:tr w:rsidR="00073646" w:rsidRPr="00F813F6" w:rsidTr="00560FC1">
        <w:trPr>
          <w:trHeight w:val="51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560FC1">
            <w:pPr>
              <w:pStyle w:val="Tabletext"/>
              <w:rPr>
                <w:b/>
                <w:bCs/>
                <w:szCs w:val="24"/>
                <w:lang w:eastAsia="fr-FR"/>
              </w:rPr>
            </w:pPr>
            <w:r w:rsidRPr="00F813F6">
              <w:rPr>
                <w:b/>
                <w:bCs/>
                <w:lang w:eastAsia="fr-FR"/>
              </w:rPr>
              <w:t>Maximum interference</w:t>
            </w:r>
          </w:p>
        </w:tc>
        <w:tc>
          <w:tcPr>
            <w:tcW w:w="1559"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rPr>
                <w:lang w:eastAsia="fr-FR"/>
              </w:rPr>
            </w:pPr>
            <w:r w:rsidRPr="00F813F6">
              <w:rPr>
                <w:lang w:eastAsia="fr-FR"/>
              </w:rPr>
              <w:t>dBW/27 MHz</w:t>
            </w:r>
          </w:p>
        </w:tc>
        <w:tc>
          <w:tcPr>
            <w:tcW w:w="2268" w:type="dxa"/>
            <w:tcBorders>
              <w:top w:val="single" w:sz="4" w:space="0" w:color="auto"/>
              <w:left w:val="nil"/>
              <w:bottom w:val="single" w:sz="4" w:space="0" w:color="auto"/>
              <w:right w:val="single" w:sz="4" w:space="0" w:color="auto"/>
            </w:tcBorders>
            <w:shd w:val="clear" w:color="000000" w:fill="auto"/>
            <w:vAlign w:val="center"/>
            <w:hideMark/>
          </w:tcPr>
          <w:p w:rsidR="00073646" w:rsidRPr="00F813F6" w:rsidRDefault="00073646" w:rsidP="00560FC1">
            <w:pPr>
              <w:pStyle w:val="Tabletext"/>
              <w:jc w:val="center"/>
            </w:pPr>
            <w:r w:rsidRPr="00F813F6">
              <w:t>–176</w:t>
            </w:r>
          </w:p>
        </w:tc>
        <w:tc>
          <w:tcPr>
            <w:tcW w:w="1884" w:type="dxa"/>
            <w:tcBorders>
              <w:top w:val="single" w:sz="4" w:space="0" w:color="auto"/>
              <w:left w:val="nil"/>
              <w:bottom w:val="single" w:sz="4" w:space="0" w:color="auto"/>
              <w:right w:val="single" w:sz="4" w:space="0" w:color="auto"/>
            </w:tcBorders>
            <w:shd w:val="clear" w:color="000000" w:fill="auto"/>
            <w:vAlign w:val="center"/>
            <w:hideMark/>
          </w:tcPr>
          <w:p w:rsidR="00073646" w:rsidRPr="00F813F6" w:rsidRDefault="00073646" w:rsidP="00560FC1">
            <w:pPr>
              <w:pStyle w:val="Tabletext"/>
              <w:jc w:val="center"/>
            </w:pPr>
            <w:r w:rsidRPr="00F813F6">
              <w:t>–182</w:t>
            </w:r>
          </w:p>
        </w:tc>
      </w:tr>
    </w:tbl>
    <w:p w:rsidR="00737749" w:rsidRDefault="00737749" w:rsidP="00737749">
      <w:pPr>
        <w:pStyle w:val="Tablefin"/>
      </w:pPr>
    </w:p>
    <w:p w:rsidR="00073646" w:rsidRPr="00073646" w:rsidRDefault="00073646" w:rsidP="00073646">
      <w:pPr>
        <w:rPr>
          <w:lang w:val="en-US"/>
        </w:rPr>
      </w:pPr>
      <w:r w:rsidRPr="00073646">
        <w:rPr>
          <w:lang w:val="en-US"/>
        </w:rPr>
        <w:t>On the other hand, if only one of the 1</w:t>
      </w:r>
      <w:r w:rsidRPr="00073646">
        <w:rPr>
          <w:szCs w:val="24"/>
          <w:lang w:val="en-US"/>
        </w:rPr>
        <w:t> </w:t>
      </w:r>
      <w:r w:rsidRPr="00073646">
        <w:rPr>
          <w:lang w:val="en-US"/>
        </w:rPr>
        <w:t>375-1</w:t>
      </w:r>
      <w:r w:rsidRPr="00073646">
        <w:rPr>
          <w:szCs w:val="24"/>
          <w:lang w:val="en-US"/>
        </w:rPr>
        <w:t> </w:t>
      </w:r>
      <w:r w:rsidRPr="00073646">
        <w:rPr>
          <w:lang w:val="en-US"/>
        </w:rPr>
        <w:t>400</w:t>
      </w:r>
      <w:r w:rsidRPr="00073646">
        <w:rPr>
          <w:szCs w:val="24"/>
          <w:lang w:val="en-US"/>
        </w:rPr>
        <w:t> </w:t>
      </w:r>
      <w:r w:rsidRPr="00073646">
        <w:rPr>
          <w:lang w:val="en-US"/>
        </w:rPr>
        <w:t>MHz or 1</w:t>
      </w:r>
      <w:r w:rsidRPr="00073646">
        <w:rPr>
          <w:szCs w:val="24"/>
          <w:lang w:val="en-US"/>
        </w:rPr>
        <w:t> </w:t>
      </w:r>
      <w:r w:rsidRPr="00073646">
        <w:rPr>
          <w:lang w:val="en-US"/>
        </w:rPr>
        <w:t>427-1</w:t>
      </w:r>
      <w:r w:rsidRPr="00073646">
        <w:rPr>
          <w:szCs w:val="24"/>
          <w:lang w:val="en-US"/>
        </w:rPr>
        <w:t> </w:t>
      </w:r>
      <w:r w:rsidRPr="00073646">
        <w:rPr>
          <w:lang w:val="en-US"/>
        </w:rPr>
        <w:t>452</w:t>
      </w:r>
      <w:r w:rsidRPr="00073646">
        <w:rPr>
          <w:szCs w:val="24"/>
          <w:lang w:val="en-US"/>
        </w:rPr>
        <w:t> </w:t>
      </w:r>
      <w:r w:rsidRPr="00073646">
        <w:rPr>
          <w:lang w:val="en-US"/>
        </w:rPr>
        <w:t>MHz frequency bands were to be considered for mobile applications (uplink or downlink), a different apportionment would be required, assuming a 3</w:t>
      </w:r>
      <w:r w:rsidRPr="00073646">
        <w:rPr>
          <w:szCs w:val="24"/>
          <w:lang w:val="en-US"/>
        </w:rPr>
        <w:t> </w:t>
      </w:r>
      <w:r w:rsidRPr="00073646">
        <w:rPr>
          <w:lang w:val="en-US"/>
        </w:rPr>
        <w:t>dB interference margin for interference from all other sources. Under these assumptions, the relevant maximum interference level would be –177</w:t>
      </w:r>
      <w:r w:rsidRPr="00073646">
        <w:rPr>
          <w:szCs w:val="24"/>
          <w:lang w:val="en-US"/>
        </w:rPr>
        <w:t> </w:t>
      </w:r>
      <w:r w:rsidRPr="00073646">
        <w:rPr>
          <w:lang w:val="en-US"/>
        </w:rPr>
        <w:t>dBW/27</w:t>
      </w:r>
      <w:r w:rsidRPr="00073646">
        <w:rPr>
          <w:szCs w:val="24"/>
          <w:lang w:val="en-US"/>
        </w:rPr>
        <w:t> </w:t>
      </w:r>
      <w:r w:rsidRPr="00073646">
        <w:rPr>
          <w:lang w:val="en-US"/>
        </w:rPr>
        <w:t>MHz.</w:t>
      </w:r>
    </w:p>
    <w:p w:rsidR="00073646" w:rsidRPr="00073646" w:rsidRDefault="00073646" w:rsidP="00073646">
      <w:pPr>
        <w:pStyle w:val="Heading3"/>
        <w:rPr>
          <w:lang w:val="en-US"/>
        </w:rPr>
      </w:pPr>
      <w:r w:rsidRPr="00073646">
        <w:rPr>
          <w:lang w:val="en-US"/>
        </w:rPr>
        <w:t>2.1.2</w:t>
      </w:r>
      <w:r w:rsidRPr="00073646">
        <w:rPr>
          <w:lang w:val="en-US"/>
        </w:rPr>
        <w:tab/>
        <w:t>Parameters</w:t>
      </w:r>
    </w:p>
    <w:p w:rsidR="00073646" w:rsidRPr="00073646" w:rsidRDefault="00073646" w:rsidP="00073646">
      <w:pPr>
        <w:rPr>
          <w:lang w:val="en-US"/>
        </w:rPr>
      </w:pPr>
      <w:r w:rsidRPr="00073646">
        <w:rPr>
          <w:lang w:val="en-US"/>
        </w:rPr>
        <w:t>The following Table 2 provides relevant EESS (passive) parameters to be used in the study, mainly taken from Recommendation ITU-R RS.1861.</w:t>
      </w:r>
    </w:p>
    <w:p w:rsidR="00073646" w:rsidRPr="00F813F6" w:rsidRDefault="00073646" w:rsidP="00073646">
      <w:pPr>
        <w:pStyle w:val="TableNo"/>
      </w:pPr>
      <w:r w:rsidRPr="00F813F6">
        <w:t>TABLE 2</w:t>
      </w:r>
    </w:p>
    <w:p w:rsidR="00073646" w:rsidRPr="00F813F6" w:rsidRDefault="00073646" w:rsidP="00073646">
      <w:pPr>
        <w:pStyle w:val="Tabletitle"/>
      </w:pPr>
      <w:r w:rsidRPr="00F813F6">
        <w:t>EESS (passive) parameters</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1859"/>
        <w:gridCol w:w="1843"/>
        <w:gridCol w:w="1542"/>
        <w:gridCol w:w="1424"/>
      </w:tblGrid>
      <w:tr w:rsidR="00073646" w:rsidRPr="00F813F6" w:rsidTr="00F92BC2">
        <w:trPr>
          <w:jc w:val="center"/>
        </w:trPr>
        <w:tc>
          <w:tcPr>
            <w:tcW w:w="2347" w:type="dxa"/>
          </w:tcPr>
          <w:p w:rsidR="00073646" w:rsidRPr="00F813F6" w:rsidRDefault="00073646" w:rsidP="00CF0F60">
            <w:pPr>
              <w:pStyle w:val="Tablehead"/>
            </w:pPr>
          </w:p>
        </w:tc>
        <w:tc>
          <w:tcPr>
            <w:tcW w:w="1859" w:type="dxa"/>
            <w:vAlign w:val="center"/>
          </w:tcPr>
          <w:p w:rsidR="00073646" w:rsidRPr="00F813F6" w:rsidRDefault="00073646" w:rsidP="00CF0F60">
            <w:pPr>
              <w:pStyle w:val="Tablehead"/>
            </w:pPr>
            <w:r w:rsidRPr="00F813F6">
              <w:t>Sensor A1</w:t>
            </w:r>
          </w:p>
        </w:tc>
        <w:tc>
          <w:tcPr>
            <w:tcW w:w="1843" w:type="dxa"/>
            <w:vAlign w:val="center"/>
          </w:tcPr>
          <w:p w:rsidR="00073646" w:rsidRPr="00F813F6" w:rsidRDefault="00073646" w:rsidP="00CF0F60">
            <w:pPr>
              <w:pStyle w:val="Tablehead"/>
            </w:pPr>
            <w:r w:rsidRPr="00F813F6">
              <w:t>Sensor A1*</w:t>
            </w:r>
          </w:p>
        </w:tc>
        <w:tc>
          <w:tcPr>
            <w:tcW w:w="1542" w:type="dxa"/>
            <w:vAlign w:val="center"/>
          </w:tcPr>
          <w:p w:rsidR="00073646" w:rsidRPr="00F813F6" w:rsidRDefault="00073646" w:rsidP="00CF0F60">
            <w:pPr>
              <w:pStyle w:val="Tablehead"/>
            </w:pPr>
            <w:r w:rsidRPr="00F813F6">
              <w:t>Sensor A2</w:t>
            </w:r>
          </w:p>
        </w:tc>
        <w:tc>
          <w:tcPr>
            <w:tcW w:w="1424" w:type="dxa"/>
            <w:vAlign w:val="center"/>
          </w:tcPr>
          <w:p w:rsidR="00073646" w:rsidRPr="00F813F6" w:rsidRDefault="00073646" w:rsidP="00CF0F60">
            <w:pPr>
              <w:pStyle w:val="Tablehead"/>
            </w:pPr>
            <w:r w:rsidRPr="00F813F6">
              <w:t>Sensor A3</w:t>
            </w:r>
          </w:p>
        </w:tc>
      </w:tr>
      <w:tr w:rsidR="00073646" w:rsidRPr="00CF0F60" w:rsidTr="00F92BC2">
        <w:trPr>
          <w:jc w:val="center"/>
        </w:trPr>
        <w:tc>
          <w:tcPr>
            <w:tcW w:w="2347" w:type="dxa"/>
            <w:vAlign w:val="center"/>
          </w:tcPr>
          <w:p w:rsidR="00073646" w:rsidRPr="00CF0F60" w:rsidRDefault="00073646" w:rsidP="00CF0F60">
            <w:pPr>
              <w:pStyle w:val="Tablehead"/>
              <w:rPr>
                <w:b w:val="0"/>
                <w:bCs/>
              </w:rPr>
            </w:pPr>
            <w:r w:rsidRPr="00CF0F60">
              <w:rPr>
                <w:b w:val="0"/>
                <w:bCs/>
              </w:rPr>
              <w:t>Sensor type</w:t>
            </w:r>
          </w:p>
        </w:tc>
        <w:tc>
          <w:tcPr>
            <w:tcW w:w="1859" w:type="dxa"/>
            <w:vAlign w:val="center"/>
          </w:tcPr>
          <w:p w:rsidR="00073646" w:rsidRPr="00CF0F60" w:rsidRDefault="00073646" w:rsidP="00CF0F60">
            <w:pPr>
              <w:pStyle w:val="Tablehead"/>
              <w:rPr>
                <w:b w:val="0"/>
                <w:bCs/>
              </w:rPr>
            </w:pPr>
            <w:r w:rsidRPr="00CF0F60">
              <w:rPr>
                <w:b w:val="0"/>
                <w:bCs/>
              </w:rPr>
              <w:t>Interferometric radiometer</w:t>
            </w:r>
            <w:r w:rsidRPr="00CF0F60">
              <w:rPr>
                <w:b w:val="0"/>
                <w:bCs/>
              </w:rPr>
              <w:br/>
              <w:t>(single)</w:t>
            </w:r>
          </w:p>
        </w:tc>
        <w:tc>
          <w:tcPr>
            <w:tcW w:w="1843" w:type="dxa"/>
            <w:vAlign w:val="center"/>
          </w:tcPr>
          <w:p w:rsidR="00073646" w:rsidRPr="00CF0F60" w:rsidRDefault="00073646" w:rsidP="00CF0F60">
            <w:pPr>
              <w:pStyle w:val="Tablehead"/>
              <w:rPr>
                <w:b w:val="0"/>
                <w:bCs/>
              </w:rPr>
            </w:pPr>
            <w:r w:rsidRPr="00CF0F60">
              <w:rPr>
                <w:b w:val="0"/>
                <w:bCs/>
              </w:rPr>
              <w:t>Interferometric radiometer</w:t>
            </w:r>
            <w:r w:rsidRPr="00CF0F60">
              <w:rPr>
                <w:b w:val="0"/>
                <w:bCs/>
              </w:rPr>
              <w:br/>
              <w:t>(composite)</w:t>
            </w:r>
          </w:p>
        </w:tc>
        <w:tc>
          <w:tcPr>
            <w:tcW w:w="1542" w:type="dxa"/>
            <w:vAlign w:val="center"/>
          </w:tcPr>
          <w:p w:rsidR="00073646" w:rsidRPr="00CF0F60" w:rsidRDefault="00073646" w:rsidP="00CF0F60">
            <w:pPr>
              <w:pStyle w:val="Tablehead"/>
              <w:rPr>
                <w:b w:val="0"/>
                <w:bCs/>
              </w:rPr>
            </w:pPr>
            <w:r w:rsidRPr="00CF0F60">
              <w:rPr>
                <w:b w:val="0"/>
                <w:bCs/>
              </w:rPr>
              <w:t>Conical scan</w:t>
            </w:r>
          </w:p>
        </w:tc>
        <w:tc>
          <w:tcPr>
            <w:tcW w:w="1424" w:type="dxa"/>
            <w:vAlign w:val="center"/>
          </w:tcPr>
          <w:p w:rsidR="00073646" w:rsidRPr="00CF0F60" w:rsidRDefault="00073646" w:rsidP="00CF0F60">
            <w:pPr>
              <w:pStyle w:val="Tablehead"/>
              <w:rPr>
                <w:b w:val="0"/>
                <w:bCs/>
              </w:rPr>
            </w:pPr>
            <w:r w:rsidRPr="00CF0F60">
              <w:rPr>
                <w:b w:val="0"/>
                <w:bCs/>
              </w:rPr>
              <w:t>Push broom</w:t>
            </w:r>
          </w:p>
        </w:tc>
      </w:tr>
      <w:tr w:rsidR="00073646" w:rsidRPr="009E4382" w:rsidTr="00F92BC2">
        <w:trPr>
          <w:jc w:val="center"/>
        </w:trPr>
        <w:tc>
          <w:tcPr>
            <w:tcW w:w="2347" w:type="dxa"/>
            <w:tcBorders>
              <w:right w:val="nil"/>
            </w:tcBorders>
            <w:vAlign w:val="center"/>
          </w:tcPr>
          <w:p w:rsidR="00073646" w:rsidRPr="009E4382" w:rsidRDefault="00073646" w:rsidP="00560FC1">
            <w:pPr>
              <w:pStyle w:val="Tabletext"/>
              <w:rPr>
                <w:b/>
                <w:bCs/>
              </w:rPr>
            </w:pPr>
            <w:r w:rsidRPr="009E4382">
              <w:rPr>
                <w:b/>
                <w:bCs/>
              </w:rPr>
              <w:t>Orbit parameters</w:t>
            </w:r>
          </w:p>
        </w:tc>
        <w:tc>
          <w:tcPr>
            <w:tcW w:w="1859" w:type="dxa"/>
            <w:tcBorders>
              <w:left w:val="nil"/>
              <w:right w:val="nil"/>
            </w:tcBorders>
            <w:vAlign w:val="center"/>
          </w:tcPr>
          <w:p w:rsidR="00073646" w:rsidRPr="009E4382" w:rsidRDefault="00073646" w:rsidP="00560FC1">
            <w:pPr>
              <w:pStyle w:val="Tabletext"/>
              <w:jc w:val="center"/>
              <w:rPr>
                <w:b/>
                <w:bCs/>
              </w:rPr>
            </w:pPr>
          </w:p>
        </w:tc>
        <w:tc>
          <w:tcPr>
            <w:tcW w:w="1843" w:type="dxa"/>
            <w:tcBorders>
              <w:left w:val="nil"/>
              <w:right w:val="nil"/>
            </w:tcBorders>
            <w:vAlign w:val="center"/>
          </w:tcPr>
          <w:p w:rsidR="00073646" w:rsidRPr="009E4382" w:rsidRDefault="00073646" w:rsidP="00560FC1">
            <w:pPr>
              <w:pStyle w:val="Tabletext"/>
              <w:jc w:val="center"/>
              <w:rPr>
                <w:b/>
                <w:bCs/>
              </w:rPr>
            </w:pPr>
          </w:p>
        </w:tc>
        <w:tc>
          <w:tcPr>
            <w:tcW w:w="1542" w:type="dxa"/>
            <w:tcBorders>
              <w:left w:val="nil"/>
              <w:right w:val="nil"/>
            </w:tcBorders>
            <w:vAlign w:val="center"/>
          </w:tcPr>
          <w:p w:rsidR="00073646" w:rsidRPr="009E4382" w:rsidRDefault="00073646" w:rsidP="00560FC1">
            <w:pPr>
              <w:pStyle w:val="Tabletext"/>
              <w:jc w:val="center"/>
              <w:rPr>
                <w:b/>
                <w:bCs/>
              </w:rPr>
            </w:pPr>
          </w:p>
        </w:tc>
        <w:tc>
          <w:tcPr>
            <w:tcW w:w="1424" w:type="dxa"/>
            <w:tcBorders>
              <w:left w:val="nil"/>
            </w:tcBorders>
            <w:vAlign w:val="center"/>
          </w:tcPr>
          <w:p w:rsidR="00073646" w:rsidRPr="009E4382" w:rsidRDefault="00073646" w:rsidP="00560FC1">
            <w:pPr>
              <w:pStyle w:val="Tabletext"/>
              <w:jc w:val="center"/>
              <w:rPr>
                <w:b/>
                <w:bCs/>
              </w:rPr>
            </w:pPr>
          </w:p>
        </w:tc>
      </w:tr>
      <w:tr w:rsidR="00073646" w:rsidRPr="00F813F6" w:rsidTr="00F92BC2">
        <w:trPr>
          <w:jc w:val="center"/>
        </w:trPr>
        <w:tc>
          <w:tcPr>
            <w:tcW w:w="2347" w:type="dxa"/>
            <w:vAlign w:val="center"/>
          </w:tcPr>
          <w:p w:rsidR="00073646" w:rsidRPr="00F813F6" w:rsidRDefault="00073646" w:rsidP="00560FC1">
            <w:pPr>
              <w:pStyle w:val="Tabletext"/>
            </w:pPr>
            <w:r w:rsidRPr="00F813F6">
              <w:t>Altitude</w:t>
            </w:r>
          </w:p>
        </w:tc>
        <w:tc>
          <w:tcPr>
            <w:tcW w:w="3702" w:type="dxa"/>
            <w:gridSpan w:val="2"/>
            <w:tcBorders>
              <w:bottom w:val="single" w:sz="4" w:space="0" w:color="auto"/>
            </w:tcBorders>
            <w:vAlign w:val="center"/>
          </w:tcPr>
          <w:p w:rsidR="00073646" w:rsidRPr="00F813F6" w:rsidRDefault="00073646" w:rsidP="00560FC1">
            <w:pPr>
              <w:pStyle w:val="Tabletext"/>
              <w:jc w:val="center"/>
            </w:pPr>
            <w:r w:rsidRPr="00F813F6">
              <w:t>757 km</w:t>
            </w:r>
          </w:p>
        </w:tc>
        <w:tc>
          <w:tcPr>
            <w:tcW w:w="1542" w:type="dxa"/>
            <w:tcBorders>
              <w:bottom w:val="single" w:sz="4" w:space="0" w:color="auto"/>
            </w:tcBorders>
            <w:vAlign w:val="center"/>
          </w:tcPr>
          <w:p w:rsidR="00073646" w:rsidRPr="00F813F6" w:rsidRDefault="00073646" w:rsidP="00560FC1">
            <w:pPr>
              <w:pStyle w:val="Tabletext"/>
              <w:jc w:val="center"/>
            </w:pPr>
            <w:r w:rsidRPr="00F813F6">
              <w:t>670 km</w:t>
            </w:r>
          </w:p>
        </w:tc>
        <w:tc>
          <w:tcPr>
            <w:tcW w:w="1424" w:type="dxa"/>
            <w:tcBorders>
              <w:bottom w:val="single" w:sz="4" w:space="0" w:color="auto"/>
            </w:tcBorders>
            <w:vAlign w:val="center"/>
          </w:tcPr>
          <w:p w:rsidR="00073646" w:rsidRPr="00F813F6" w:rsidRDefault="00073646" w:rsidP="00560FC1">
            <w:pPr>
              <w:pStyle w:val="Tabletext"/>
              <w:jc w:val="center"/>
            </w:pPr>
            <w:r w:rsidRPr="00F813F6">
              <w:t>657 km</w:t>
            </w:r>
          </w:p>
        </w:tc>
      </w:tr>
      <w:tr w:rsidR="00073646" w:rsidRPr="00F813F6" w:rsidTr="00F92BC2">
        <w:trPr>
          <w:jc w:val="center"/>
        </w:trPr>
        <w:tc>
          <w:tcPr>
            <w:tcW w:w="2347" w:type="dxa"/>
            <w:tcBorders>
              <w:right w:val="single" w:sz="4" w:space="0" w:color="auto"/>
            </w:tcBorders>
            <w:vAlign w:val="center"/>
          </w:tcPr>
          <w:p w:rsidR="00073646" w:rsidRPr="00F813F6" w:rsidRDefault="00073646" w:rsidP="00560FC1">
            <w:pPr>
              <w:pStyle w:val="Tabletext"/>
            </w:pPr>
            <w:r w:rsidRPr="00F813F6">
              <w:t>Inclination</w:t>
            </w:r>
          </w:p>
        </w:tc>
        <w:tc>
          <w:tcPr>
            <w:tcW w:w="6668" w:type="dxa"/>
            <w:gridSpan w:val="4"/>
            <w:tcBorders>
              <w:top w:val="single" w:sz="4" w:space="0" w:color="auto"/>
              <w:left w:val="single" w:sz="4" w:space="0" w:color="auto"/>
              <w:bottom w:val="single" w:sz="4" w:space="0" w:color="auto"/>
              <w:right w:val="single" w:sz="4" w:space="0" w:color="auto"/>
            </w:tcBorders>
            <w:vAlign w:val="center"/>
          </w:tcPr>
          <w:p w:rsidR="00073646" w:rsidRPr="00F813F6" w:rsidRDefault="00073646" w:rsidP="00560FC1">
            <w:pPr>
              <w:pStyle w:val="Tabletext"/>
              <w:jc w:val="center"/>
            </w:pPr>
            <w:r w:rsidRPr="00F813F6">
              <w:t>98°</w:t>
            </w:r>
          </w:p>
        </w:tc>
      </w:tr>
      <w:tr w:rsidR="00073646" w:rsidRPr="00F813F6" w:rsidTr="00F92BC2">
        <w:trPr>
          <w:jc w:val="center"/>
        </w:trPr>
        <w:tc>
          <w:tcPr>
            <w:tcW w:w="2347" w:type="dxa"/>
            <w:vAlign w:val="center"/>
          </w:tcPr>
          <w:p w:rsidR="00073646" w:rsidRPr="00F813F6" w:rsidRDefault="00073646" w:rsidP="00560FC1">
            <w:pPr>
              <w:pStyle w:val="Tabletext"/>
            </w:pPr>
            <w:r w:rsidRPr="00F813F6">
              <w:t>Eccentricity</w:t>
            </w:r>
          </w:p>
        </w:tc>
        <w:tc>
          <w:tcPr>
            <w:tcW w:w="6668" w:type="dxa"/>
            <w:gridSpan w:val="4"/>
            <w:tcBorders>
              <w:top w:val="single" w:sz="4" w:space="0" w:color="auto"/>
            </w:tcBorders>
            <w:vAlign w:val="center"/>
          </w:tcPr>
          <w:p w:rsidR="00073646" w:rsidRPr="00F813F6" w:rsidRDefault="00073646" w:rsidP="00560FC1">
            <w:pPr>
              <w:pStyle w:val="Tabletext"/>
              <w:jc w:val="center"/>
              <w:rPr>
                <w:vertAlign w:val="superscript"/>
              </w:rPr>
            </w:pPr>
            <w:r w:rsidRPr="00F813F6">
              <w:t>0</w:t>
            </w:r>
            <w:r w:rsidRPr="00F813F6">
              <w:rPr>
                <w:vertAlign w:val="superscript"/>
              </w:rPr>
              <w:t>0</w:t>
            </w:r>
          </w:p>
        </w:tc>
      </w:tr>
      <w:tr w:rsidR="00073646" w:rsidRPr="00F813F6" w:rsidTr="00F92BC2">
        <w:trPr>
          <w:jc w:val="center"/>
        </w:trPr>
        <w:tc>
          <w:tcPr>
            <w:tcW w:w="2347" w:type="dxa"/>
            <w:tcBorders>
              <w:bottom w:val="single" w:sz="4" w:space="0" w:color="auto"/>
            </w:tcBorders>
            <w:vAlign w:val="center"/>
          </w:tcPr>
          <w:p w:rsidR="00073646" w:rsidRPr="00F813F6" w:rsidRDefault="00073646" w:rsidP="00560FC1">
            <w:pPr>
              <w:pStyle w:val="Tabletext"/>
            </w:pPr>
            <w:r w:rsidRPr="00F813F6">
              <w:t>Repeat period</w:t>
            </w:r>
          </w:p>
        </w:tc>
        <w:tc>
          <w:tcPr>
            <w:tcW w:w="3702" w:type="dxa"/>
            <w:gridSpan w:val="2"/>
            <w:tcBorders>
              <w:bottom w:val="single" w:sz="4" w:space="0" w:color="auto"/>
            </w:tcBorders>
            <w:vAlign w:val="center"/>
          </w:tcPr>
          <w:p w:rsidR="00073646" w:rsidRPr="00F813F6" w:rsidRDefault="00073646" w:rsidP="00560FC1">
            <w:pPr>
              <w:pStyle w:val="Tabletext"/>
              <w:jc w:val="center"/>
            </w:pPr>
            <w:r w:rsidRPr="00F813F6">
              <w:t>3 days</w:t>
            </w:r>
          </w:p>
        </w:tc>
        <w:tc>
          <w:tcPr>
            <w:tcW w:w="1542" w:type="dxa"/>
            <w:tcBorders>
              <w:bottom w:val="single" w:sz="4" w:space="0" w:color="auto"/>
            </w:tcBorders>
            <w:vAlign w:val="center"/>
          </w:tcPr>
          <w:p w:rsidR="00073646" w:rsidRPr="00F813F6" w:rsidRDefault="00073646" w:rsidP="00560FC1">
            <w:pPr>
              <w:pStyle w:val="Tabletext"/>
              <w:jc w:val="center"/>
            </w:pPr>
            <w:r w:rsidRPr="00F813F6">
              <w:t>3 days</w:t>
            </w:r>
          </w:p>
        </w:tc>
        <w:tc>
          <w:tcPr>
            <w:tcW w:w="1424" w:type="dxa"/>
            <w:tcBorders>
              <w:bottom w:val="single" w:sz="4" w:space="0" w:color="auto"/>
            </w:tcBorders>
            <w:vAlign w:val="center"/>
          </w:tcPr>
          <w:p w:rsidR="00073646" w:rsidRPr="00F813F6" w:rsidRDefault="00073646" w:rsidP="00560FC1">
            <w:pPr>
              <w:pStyle w:val="Tabletext"/>
              <w:jc w:val="center"/>
            </w:pPr>
            <w:r w:rsidRPr="00F813F6">
              <w:t>7 days</w:t>
            </w:r>
          </w:p>
        </w:tc>
      </w:tr>
    </w:tbl>
    <w:p w:rsidR="001011B3" w:rsidRPr="00F813F6" w:rsidRDefault="001011B3" w:rsidP="001011B3">
      <w:pPr>
        <w:pStyle w:val="TableNo"/>
      </w:pPr>
      <w:r w:rsidRPr="00F813F6">
        <w:lastRenderedPageBreak/>
        <w:t>TABLE 2</w:t>
      </w:r>
      <w:r>
        <w:t xml:space="preserve"> (</w:t>
      </w:r>
      <w:r w:rsidRPr="001011B3">
        <w:rPr>
          <w:i/>
          <w:iCs/>
        </w:rPr>
        <w:t>end</w:t>
      </w:r>
      <w:r>
        <w:t>)</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1859"/>
        <w:gridCol w:w="1843"/>
        <w:gridCol w:w="1542"/>
        <w:gridCol w:w="1424"/>
      </w:tblGrid>
      <w:tr w:rsidR="001011B3" w:rsidRPr="00F813F6" w:rsidTr="00EB26B6">
        <w:trPr>
          <w:jc w:val="center"/>
        </w:trPr>
        <w:tc>
          <w:tcPr>
            <w:tcW w:w="2347" w:type="dxa"/>
          </w:tcPr>
          <w:p w:rsidR="001011B3" w:rsidRPr="00F813F6" w:rsidRDefault="001011B3" w:rsidP="00EB26B6">
            <w:pPr>
              <w:pStyle w:val="Tablehead"/>
            </w:pPr>
          </w:p>
        </w:tc>
        <w:tc>
          <w:tcPr>
            <w:tcW w:w="1859" w:type="dxa"/>
            <w:vAlign w:val="center"/>
          </w:tcPr>
          <w:p w:rsidR="001011B3" w:rsidRPr="00F813F6" w:rsidRDefault="001011B3" w:rsidP="00EB26B6">
            <w:pPr>
              <w:pStyle w:val="Tablehead"/>
            </w:pPr>
            <w:r w:rsidRPr="00F813F6">
              <w:t>Sensor A1</w:t>
            </w:r>
          </w:p>
        </w:tc>
        <w:tc>
          <w:tcPr>
            <w:tcW w:w="1843" w:type="dxa"/>
            <w:vAlign w:val="center"/>
          </w:tcPr>
          <w:p w:rsidR="001011B3" w:rsidRPr="00F813F6" w:rsidRDefault="001011B3" w:rsidP="00EB26B6">
            <w:pPr>
              <w:pStyle w:val="Tablehead"/>
            </w:pPr>
            <w:r w:rsidRPr="00F813F6">
              <w:t>Sensor A1*</w:t>
            </w:r>
          </w:p>
        </w:tc>
        <w:tc>
          <w:tcPr>
            <w:tcW w:w="1542" w:type="dxa"/>
            <w:vAlign w:val="center"/>
          </w:tcPr>
          <w:p w:rsidR="001011B3" w:rsidRPr="00F813F6" w:rsidRDefault="001011B3" w:rsidP="00EB26B6">
            <w:pPr>
              <w:pStyle w:val="Tablehead"/>
            </w:pPr>
            <w:r w:rsidRPr="00F813F6">
              <w:t>Sensor A2</w:t>
            </w:r>
          </w:p>
        </w:tc>
        <w:tc>
          <w:tcPr>
            <w:tcW w:w="1424" w:type="dxa"/>
            <w:vAlign w:val="center"/>
          </w:tcPr>
          <w:p w:rsidR="001011B3" w:rsidRPr="00F813F6" w:rsidRDefault="001011B3" w:rsidP="00EB26B6">
            <w:pPr>
              <w:pStyle w:val="Tablehead"/>
            </w:pPr>
            <w:r w:rsidRPr="00F813F6">
              <w:t>Sensor A3</w:t>
            </w:r>
          </w:p>
        </w:tc>
      </w:tr>
      <w:tr w:rsidR="001011B3" w:rsidRPr="00CF0F60" w:rsidTr="00EB26B6">
        <w:trPr>
          <w:jc w:val="center"/>
        </w:trPr>
        <w:tc>
          <w:tcPr>
            <w:tcW w:w="2347" w:type="dxa"/>
            <w:vAlign w:val="center"/>
          </w:tcPr>
          <w:p w:rsidR="001011B3" w:rsidRPr="00CF0F60" w:rsidRDefault="001011B3" w:rsidP="00EB26B6">
            <w:pPr>
              <w:pStyle w:val="Tablehead"/>
              <w:rPr>
                <w:b w:val="0"/>
                <w:bCs/>
              </w:rPr>
            </w:pPr>
            <w:r w:rsidRPr="00CF0F60">
              <w:rPr>
                <w:b w:val="0"/>
                <w:bCs/>
              </w:rPr>
              <w:t>Sensor type</w:t>
            </w:r>
          </w:p>
        </w:tc>
        <w:tc>
          <w:tcPr>
            <w:tcW w:w="1859" w:type="dxa"/>
            <w:vAlign w:val="center"/>
          </w:tcPr>
          <w:p w:rsidR="001011B3" w:rsidRPr="00CF0F60" w:rsidRDefault="001011B3" w:rsidP="00EB26B6">
            <w:pPr>
              <w:pStyle w:val="Tablehead"/>
              <w:rPr>
                <w:b w:val="0"/>
                <w:bCs/>
              </w:rPr>
            </w:pPr>
            <w:r w:rsidRPr="00CF0F60">
              <w:rPr>
                <w:b w:val="0"/>
                <w:bCs/>
              </w:rPr>
              <w:t>Interferometric radiometer</w:t>
            </w:r>
            <w:r w:rsidRPr="00CF0F60">
              <w:rPr>
                <w:b w:val="0"/>
                <w:bCs/>
              </w:rPr>
              <w:br/>
              <w:t>(single)</w:t>
            </w:r>
          </w:p>
        </w:tc>
        <w:tc>
          <w:tcPr>
            <w:tcW w:w="1843" w:type="dxa"/>
            <w:vAlign w:val="center"/>
          </w:tcPr>
          <w:p w:rsidR="001011B3" w:rsidRPr="00CF0F60" w:rsidRDefault="001011B3" w:rsidP="00EB26B6">
            <w:pPr>
              <w:pStyle w:val="Tablehead"/>
              <w:rPr>
                <w:b w:val="0"/>
                <w:bCs/>
              </w:rPr>
            </w:pPr>
            <w:r w:rsidRPr="00CF0F60">
              <w:rPr>
                <w:b w:val="0"/>
                <w:bCs/>
              </w:rPr>
              <w:t>Interferometric radiometer</w:t>
            </w:r>
            <w:r w:rsidRPr="00CF0F60">
              <w:rPr>
                <w:b w:val="0"/>
                <w:bCs/>
              </w:rPr>
              <w:br/>
              <w:t>(composite)</w:t>
            </w:r>
          </w:p>
        </w:tc>
        <w:tc>
          <w:tcPr>
            <w:tcW w:w="1542" w:type="dxa"/>
            <w:vAlign w:val="center"/>
          </w:tcPr>
          <w:p w:rsidR="001011B3" w:rsidRPr="00CF0F60" w:rsidRDefault="001011B3" w:rsidP="00EB26B6">
            <w:pPr>
              <w:pStyle w:val="Tablehead"/>
              <w:rPr>
                <w:b w:val="0"/>
                <w:bCs/>
              </w:rPr>
            </w:pPr>
            <w:r w:rsidRPr="00CF0F60">
              <w:rPr>
                <w:b w:val="0"/>
                <w:bCs/>
              </w:rPr>
              <w:t>Conical scan</w:t>
            </w:r>
          </w:p>
        </w:tc>
        <w:tc>
          <w:tcPr>
            <w:tcW w:w="1424" w:type="dxa"/>
            <w:vAlign w:val="center"/>
          </w:tcPr>
          <w:p w:rsidR="001011B3" w:rsidRPr="00CF0F60" w:rsidRDefault="001011B3" w:rsidP="00EB26B6">
            <w:pPr>
              <w:pStyle w:val="Tablehead"/>
              <w:rPr>
                <w:b w:val="0"/>
                <w:bCs/>
              </w:rPr>
            </w:pPr>
            <w:r w:rsidRPr="00CF0F60">
              <w:rPr>
                <w:b w:val="0"/>
                <w:bCs/>
              </w:rPr>
              <w:t>Push broom</w:t>
            </w:r>
          </w:p>
        </w:tc>
      </w:tr>
      <w:tr w:rsidR="00073646" w:rsidRPr="009E4382" w:rsidTr="00F92BC2">
        <w:trPr>
          <w:jc w:val="center"/>
        </w:trPr>
        <w:tc>
          <w:tcPr>
            <w:tcW w:w="4206" w:type="dxa"/>
            <w:gridSpan w:val="2"/>
            <w:tcBorders>
              <w:top w:val="single" w:sz="4" w:space="0" w:color="auto"/>
              <w:left w:val="single" w:sz="4" w:space="0" w:color="auto"/>
              <w:bottom w:val="single" w:sz="4" w:space="0" w:color="auto"/>
              <w:right w:val="nil"/>
            </w:tcBorders>
            <w:vAlign w:val="center"/>
          </w:tcPr>
          <w:p w:rsidR="00073646" w:rsidRPr="009E4382" w:rsidRDefault="00073646" w:rsidP="00560FC1">
            <w:pPr>
              <w:pStyle w:val="Tabletext"/>
              <w:rPr>
                <w:b/>
                <w:bCs/>
              </w:rPr>
            </w:pPr>
            <w:r w:rsidRPr="009E4382">
              <w:rPr>
                <w:b/>
                <w:bCs/>
              </w:rPr>
              <w:t>Sensor antenna parameters</w:t>
            </w:r>
          </w:p>
        </w:tc>
        <w:tc>
          <w:tcPr>
            <w:tcW w:w="1843" w:type="dxa"/>
            <w:tcBorders>
              <w:top w:val="single" w:sz="4" w:space="0" w:color="auto"/>
              <w:left w:val="nil"/>
              <w:bottom w:val="single" w:sz="4" w:space="0" w:color="auto"/>
              <w:right w:val="nil"/>
            </w:tcBorders>
            <w:vAlign w:val="center"/>
          </w:tcPr>
          <w:p w:rsidR="00073646" w:rsidRPr="009E4382" w:rsidRDefault="00073646" w:rsidP="00560FC1">
            <w:pPr>
              <w:pStyle w:val="Tabletext"/>
              <w:rPr>
                <w:b/>
                <w:bCs/>
              </w:rPr>
            </w:pPr>
          </w:p>
        </w:tc>
        <w:tc>
          <w:tcPr>
            <w:tcW w:w="1542" w:type="dxa"/>
            <w:tcBorders>
              <w:top w:val="single" w:sz="4" w:space="0" w:color="auto"/>
              <w:left w:val="nil"/>
              <w:bottom w:val="single" w:sz="4" w:space="0" w:color="auto"/>
              <w:right w:val="nil"/>
            </w:tcBorders>
            <w:vAlign w:val="center"/>
          </w:tcPr>
          <w:p w:rsidR="00073646" w:rsidRPr="009E4382" w:rsidRDefault="00073646" w:rsidP="00560FC1">
            <w:pPr>
              <w:pStyle w:val="Tabletext"/>
              <w:rPr>
                <w:b/>
                <w:bCs/>
              </w:rPr>
            </w:pPr>
          </w:p>
        </w:tc>
        <w:tc>
          <w:tcPr>
            <w:tcW w:w="1424" w:type="dxa"/>
            <w:tcBorders>
              <w:top w:val="single" w:sz="4" w:space="0" w:color="auto"/>
              <w:left w:val="nil"/>
              <w:bottom w:val="single" w:sz="4" w:space="0" w:color="auto"/>
              <w:right w:val="single" w:sz="4" w:space="0" w:color="auto"/>
            </w:tcBorders>
            <w:vAlign w:val="center"/>
          </w:tcPr>
          <w:p w:rsidR="00073646" w:rsidRPr="009E4382" w:rsidRDefault="00073646" w:rsidP="00560FC1">
            <w:pPr>
              <w:pStyle w:val="Tabletext"/>
              <w:rPr>
                <w:b/>
                <w:bCs/>
              </w:rPr>
            </w:pPr>
          </w:p>
        </w:tc>
      </w:tr>
      <w:tr w:rsidR="00073646" w:rsidRPr="00F813F6" w:rsidTr="00F92BC2">
        <w:trPr>
          <w:jc w:val="center"/>
        </w:trPr>
        <w:tc>
          <w:tcPr>
            <w:tcW w:w="2347" w:type="dxa"/>
            <w:tcBorders>
              <w:top w:val="single" w:sz="4" w:space="0" w:color="auto"/>
            </w:tcBorders>
            <w:vAlign w:val="center"/>
          </w:tcPr>
          <w:p w:rsidR="00073646" w:rsidRPr="00F813F6" w:rsidRDefault="00073646" w:rsidP="00560FC1">
            <w:pPr>
              <w:pStyle w:val="Tabletext"/>
            </w:pPr>
            <w:r w:rsidRPr="00F813F6">
              <w:t>Number of beams</w:t>
            </w:r>
          </w:p>
        </w:tc>
        <w:tc>
          <w:tcPr>
            <w:tcW w:w="1859" w:type="dxa"/>
            <w:tcBorders>
              <w:top w:val="single" w:sz="4" w:space="0" w:color="auto"/>
            </w:tcBorders>
            <w:vAlign w:val="center"/>
          </w:tcPr>
          <w:p w:rsidR="00073646" w:rsidRPr="00F813F6" w:rsidRDefault="00073646" w:rsidP="00560FC1">
            <w:pPr>
              <w:pStyle w:val="Tabletext"/>
              <w:jc w:val="center"/>
            </w:pPr>
            <w:r w:rsidRPr="00F813F6">
              <w:t>1</w:t>
            </w:r>
          </w:p>
        </w:tc>
        <w:tc>
          <w:tcPr>
            <w:tcW w:w="1843" w:type="dxa"/>
            <w:tcBorders>
              <w:top w:val="single" w:sz="4" w:space="0" w:color="auto"/>
            </w:tcBorders>
            <w:vAlign w:val="center"/>
          </w:tcPr>
          <w:p w:rsidR="00073646" w:rsidRPr="00F813F6" w:rsidRDefault="00073646" w:rsidP="00560FC1">
            <w:pPr>
              <w:pStyle w:val="Tabletext"/>
              <w:jc w:val="center"/>
            </w:pPr>
            <w:r w:rsidRPr="00F813F6">
              <w:t>16 384</w:t>
            </w:r>
          </w:p>
        </w:tc>
        <w:tc>
          <w:tcPr>
            <w:tcW w:w="1542" w:type="dxa"/>
            <w:tcBorders>
              <w:top w:val="single" w:sz="4" w:space="0" w:color="auto"/>
            </w:tcBorders>
            <w:vAlign w:val="center"/>
          </w:tcPr>
          <w:p w:rsidR="00073646" w:rsidRPr="00F813F6" w:rsidRDefault="00073646" w:rsidP="00560FC1">
            <w:pPr>
              <w:pStyle w:val="Tabletext"/>
              <w:jc w:val="center"/>
            </w:pPr>
            <w:r w:rsidRPr="00F813F6">
              <w:t>1</w:t>
            </w:r>
          </w:p>
        </w:tc>
        <w:tc>
          <w:tcPr>
            <w:tcW w:w="1424" w:type="dxa"/>
            <w:tcBorders>
              <w:top w:val="single" w:sz="4" w:space="0" w:color="auto"/>
            </w:tcBorders>
            <w:vAlign w:val="center"/>
          </w:tcPr>
          <w:p w:rsidR="00073646" w:rsidRPr="00F813F6" w:rsidRDefault="00073646" w:rsidP="00560FC1">
            <w:pPr>
              <w:pStyle w:val="Tabletext"/>
              <w:jc w:val="center"/>
            </w:pPr>
            <w:r w:rsidRPr="00F813F6">
              <w:t>3</w:t>
            </w:r>
          </w:p>
        </w:tc>
      </w:tr>
      <w:tr w:rsidR="00073646" w:rsidRPr="00F813F6" w:rsidTr="00F92BC2">
        <w:trPr>
          <w:jc w:val="center"/>
        </w:trPr>
        <w:tc>
          <w:tcPr>
            <w:tcW w:w="2347" w:type="dxa"/>
            <w:vAlign w:val="center"/>
          </w:tcPr>
          <w:p w:rsidR="00073646" w:rsidRPr="00F813F6" w:rsidRDefault="00073646" w:rsidP="00560FC1">
            <w:pPr>
              <w:pStyle w:val="Tabletext"/>
            </w:pPr>
            <w:r w:rsidRPr="00F813F6">
              <w:t>Reflector diameter</w:t>
            </w:r>
          </w:p>
        </w:tc>
        <w:tc>
          <w:tcPr>
            <w:tcW w:w="1859" w:type="dxa"/>
            <w:vAlign w:val="center"/>
          </w:tcPr>
          <w:p w:rsidR="00073646" w:rsidRPr="00F813F6" w:rsidRDefault="00073646" w:rsidP="00560FC1">
            <w:pPr>
              <w:pStyle w:val="Tabletext"/>
              <w:jc w:val="center"/>
            </w:pPr>
            <w:r w:rsidRPr="00F813F6">
              <w:t>19 cm</w:t>
            </w:r>
          </w:p>
        </w:tc>
        <w:tc>
          <w:tcPr>
            <w:tcW w:w="1843" w:type="dxa"/>
            <w:vAlign w:val="center"/>
          </w:tcPr>
          <w:p w:rsidR="00073646" w:rsidRPr="00073646" w:rsidRDefault="00073646" w:rsidP="00560FC1">
            <w:pPr>
              <w:pStyle w:val="Tabletext"/>
              <w:jc w:val="center"/>
              <w:rPr>
                <w:lang w:val="en-US"/>
              </w:rPr>
            </w:pPr>
            <w:r w:rsidRPr="00073646">
              <w:rPr>
                <w:lang w:val="en-US"/>
              </w:rPr>
              <w:t>3 arms 4 m length, equi-spaced 120°</w:t>
            </w:r>
          </w:p>
        </w:tc>
        <w:tc>
          <w:tcPr>
            <w:tcW w:w="1542" w:type="dxa"/>
            <w:vAlign w:val="center"/>
          </w:tcPr>
          <w:p w:rsidR="00073646" w:rsidRPr="00F813F6" w:rsidRDefault="00073646" w:rsidP="00560FC1">
            <w:pPr>
              <w:pStyle w:val="Tabletext"/>
              <w:jc w:val="center"/>
            </w:pPr>
            <w:r w:rsidRPr="00F813F6">
              <w:t>6.2 m</w:t>
            </w:r>
          </w:p>
        </w:tc>
        <w:tc>
          <w:tcPr>
            <w:tcW w:w="1424" w:type="dxa"/>
            <w:vAlign w:val="center"/>
          </w:tcPr>
          <w:p w:rsidR="00073646" w:rsidRPr="00F813F6" w:rsidRDefault="00073646" w:rsidP="00560FC1">
            <w:pPr>
              <w:pStyle w:val="Tabletext"/>
              <w:jc w:val="center"/>
            </w:pPr>
            <w:r w:rsidRPr="00F813F6">
              <w:t>2.5 m</w:t>
            </w:r>
          </w:p>
        </w:tc>
      </w:tr>
      <w:tr w:rsidR="00073646" w:rsidRPr="00F813F6" w:rsidTr="00F92BC2">
        <w:trPr>
          <w:jc w:val="center"/>
        </w:trPr>
        <w:tc>
          <w:tcPr>
            <w:tcW w:w="2347" w:type="dxa"/>
            <w:vAlign w:val="center"/>
          </w:tcPr>
          <w:p w:rsidR="00073646" w:rsidRPr="00F813F6" w:rsidRDefault="00073646" w:rsidP="00560FC1">
            <w:pPr>
              <w:pStyle w:val="Tabletext"/>
            </w:pPr>
            <w:r w:rsidRPr="00F813F6">
              <w:t>Maximum beam gain</w:t>
            </w:r>
          </w:p>
        </w:tc>
        <w:tc>
          <w:tcPr>
            <w:tcW w:w="1859" w:type="dxa"/>
            <w:tcBorders>
              <w:bottom w:val="single" w:sz="4" w:space="0" w:color="auto"/>
            </w:tcBorders>
            <w:vAlign w:val="center"/>
          </w:tcPr>
          <w:p w:rsidR="00073646" w:rsidRPr="00F813F6" w:rsidRDefault="00073646" w:rsidP="00560FC1">
            <w:pPr>
              <w:pStyle w:val="Tabletext"/>
              <w:jc w:val="center"/>
            </w:pPr>
            <w:r w:rsidRPr="00F813F6">
              <w:t>9 dBi</w:t>
            </w:r>
          </w:p>
        </w:tc>
        <w:tc>
          <w:tcPr>
            <w:tcW w:w="1843" w:type="dxa"/>
            <w:tcBorders>
              <w:bottom w:val="single" w:sz="4" w:space="0" w:color="auto"/>
            </w:tcBorders>
            <w:vAlign w:val="center"/>
          </w:tcPr>
          <w:p w:rsidR="00073646" w:rsidRPr="00F813F6" w:rsidRDefault="00073646" w:rsidP="00560FC1">
            <w:pPr>
              <w:pStyle w:val="Tabletext"/>
              <w:jc w:val="center"/>
            </w:pPr>
            <w:r w:rsidRPr="00F813F6">
              <w:t>24 dBi</w:t>
            </w:r>
          </w:p>
        </w:tc>
        <w:tc>
          <w:tcPr>
            <w:tcW w:w="1542" w:type="dxa"/>
            <w:tcBorders>
              <w:bottom w:val="single" w:sz="4" w:space="0" w:color="auto"/>
            </w:tcBorders>
            <w:vAlign w:val="center"/>
          </w:tcPr>
          <w:p w:rsidR="00073646" w:rsidRPr="00F813F6" w:rsidRDefault="00073646" w:rsidP="00560FC1">
            <w:pPr>
              <w:pStyle w:val="Tabletext"/>
              <w:jc w:val="center"/>
            </w:pPr>
            <w:r w:rsidRPr="00F813F6">
              <w:t>37 dBi</w:t>
            </w:r>
          </w:p>
        </w:tc>
        <w:tc>
          <w:tcPr>
            <w:tcW w:w="1424" w:type="dxa"/>
            <w:tcBorders>
              <w:bottom w:val="single" w:sz="4" w:space="0" w:color="auto"/>
            </w:tcBorders>
            <w:vAlign w:val="center"/>
          </w:tcPr>
          <w:p w:rsidR="00073646" w:rsidRPr="00F813F6" w:rsidRDefault="00073646" w:rsidP="00560FC1">
            <w:pPr>
              <w:pStyle w:val="Tabletext"/>
              <w:jc w:val="center"/>
            </w:pPr>
            <w:r w:rsidRPr="00F813F6">
              <w:t>29.1, 28.8, 28.5 dBi</w:t>
            </w:r>
          </w:p>
        </w:tc>
      </w:tr>
      <w:tr w:rsidR="00073646" w:rsidRPr="00F813F6" w:rsidTr="00F92BC2">
        <w:trPr>
          <w:jc w:val="center"/>
        </w:trPr>
        <w:tc>
          <w:tcPr>
            <w:tcW w:w="2347" w:type="dxa"/>
            <w:tcBorders>
              <w:right w:val="single" w:sz="4" w:space="0" w:color="auto"/>
            </w:tcBorders>
            <w:vAlign w:val="center"/>
          </w:tcPr>
          <w:p w:rsidR="00073646" w:rsidRPr="00F813F6" w:rsidRDefault="00073646" w:rsidP="00560FC1">
            <w:pPr>
              <w:pStyle w:val="Tabletext"/>
            </w:pPr>
            <w:r w:rsidRPr="00F813F6">
              <w:t>Polarization</w:t>
            </w:r>
          </w:p>
        </w:tc>
        <w:tc>
          <w:tcPr>
            <w:tcW w:w="6668" w:type="dxa"/>
            <w:gridSpan w:val="4"/>
            <w:tcBorders>
              <w:top w:val="single" w:sz="4" w:space="0" w:color="auto"/>
              <w:left w:val="single" w:sz="4" w:space="0" w:color="auto"/>
              <w:bottom w:val="single" w:sz="4" w:space="0" w:color="auto"/>
              <w:right w:val="single" w:sz="4" w:space="0" w:color="auto"/>
            </w:tcBorders>
            <w:vAlign w:val="center"/>
          </w:tcPr>
          <w:p w:rsidR="00073646" w:rsidRPr="00F813F6" w:rsidRDefault="00073646" w:rsidP="00560FC1">
            <w:pPr>
              <w:pStyle w:val="Tabletext"/>
              <w:jc w:val="center"/>
            </w:pPr>
            <w:r w:rsidRPr="00F813F6">
              <w:t>V, H</w:t>
            </w:r>
          </w:p>
        </w:tc>
      </w:tr>
      <w:tr w:rsidR="00073646" w:rsidRPr="00F813F6" w:rsidTr="00F92BC2">
        <w:trPr>
          <w:jc w:val="center"/>
        </w:trPr>
        <w:tc>
          <w:tcPr>
            <w:tcW w:w="2347" w:type="dxa"/>
            <w:vAlign w:val="center"/>
          </w:tcPr>
          <w:p w:rsidR="00073646" w:rsidRPr="00F813F6" w:rsidRDefault="00073646" w:rsidP="00560FC1">
            <w:pPr>
              <w:pStyle w:val="Tabletext"/>
            </w:pPr>
            <w:r w:rsidRPr="00F813F6">
              <w:t>–3 dB beamwidth</w:t>
            </w:r>
          </w:p>
        </w:tc>
        <w:tc>
          <w:tcPr>
            <w:tcW w:w="1859" w:type="dxa"/>
            <w:tcBorders>
              <w:top w:val="single" w:sz="4" w:space="0" w:color="auto"/>
            </w:tcBorders>
            <w:vAlign w:val="center"/>
          </w:tcPr>
          <w:p w:rsidR="00073646" w:rsidRPr="00F813F6" w:rsidRDefault="00073646" w:rsidP="00560FC1">
            <w:pPr>
              <w:pStyle w:val="Tabletext"/>
              <w:jc w:val="center"/>
            </w:pPr>
            <w:r w:rsidRPr="00F813F6">
              <w:t>64°</w:t>
            </w:r>
          </w:p>
        </w:tc>
        <w:tc>
          <w:tcPr>
            <w:tcW w:w="1843" w:type="dxa"/>
            <w:tcBorders>
              <w:top w:val="single" w:sz="4" w:space="0" w:color="auto"/>
            </w:tcBorders>
            <w:vAlign w:val="center"/>
          </w:tcPr>
          <w:p w:rsidR="00073646" w:rsidRPr="00F813F6" w:rsidRDefault="00073646" w:rsidP="00560FC1">
            <w:pPr>
              <w:pStyle w:val="Tabletext"/>
              <w:jc w:val="center"/>
            </w:pPr>
            <w:r w:rsidRPr="00F813F6">
              <w:t>1.8-2.4°</w:t>
            </w:r>
          </w:p>
        </w:tc>
        <w:tc>
          <w:tcPr>
            <w:tcW w:w="1542" w:type="dxa"/>
            <w:tcBorders>
              <w:top w:val="single" w:sz="4" w:space="0" w:color="auto"/>
            </w:tcBorders>
            <w:vAlign w:val="center"/>
          </w:tcPr>
          <w:p w:rsidR="00073646" w:rsidRPr="00F813F6" w:rsidRDefault="00073646" w:rsidP="00560FC1">
            <w:pPr>
              <w:pStyle w:val="Tabletext"/>
              <w:jc w:val="center"/>
            </w:pPr>
            <w:r w:rsidRPr="00F813F6">
              <w:t>2.6°</w:t>
            </w:r>
          </w:p>
        </w:tc>
        <w:tc>
          <w:tcPr>
            <w:tcW w:w="1424" w:type="dxa"/>
            <w:tcBorders>
              <w:top w:val="single" w:sz="4" w:space="0" w:color="auto"/>
            </w:tcBorders>
            <w:vAlign w:val="center"/>
          </w:tcPr>
          <w:p w:rsidR="00073646" w:rsidRPr="00F813F6" w:rsidRDefault="00073646" w:rsidP="00560FC1">
            <w:pPr>
              <w:pStyle w:val="Tabletext"/>
              <w:jc w:val="center"/>
            </w:pPr>
            <w:r w:rsidRPr="00F813F6">
              <w:t>6.1</w:t>
            </w:r>
            <w:r w:rsidRPr="00F813F6">
              <w:sym w:font="Symbol" w:char="F0B0"/>
            </w:r>
            <w:r w:rsidRPr="00F813F6">
              <w:t>, 6.3</w:t>
            </w:r>
            <w:r w:rsidRPr="00F813F6">
              <w:sym w:font="Symbol" w:char="F0B0"/>
            </w:r>
            <w:r w:rsidRPr="00F813F6">
              <w:t>, 6.6°</w:t>
            </w:r>
          </w:p>
        </w:tc>
      </w:tr>
      <w:tr w:rsidR="00073646" w:rsidRPr="00F813F6" w:rsidTr="00F92BC2">
        <w:trPr>
          <w:jc w:val="center"/>
        </w:trPr>
        <w:tc>
          <w:tcPr>
            <w:tcW w:w="2347" w:type="dxa"/>
            <w:vAlign w:val="center"/>
          </w:tcPr>
          <w:p w:rsidR="00073646" w:rsidRPr="00F813F6" w:rsidRDefault="00073646" w:rsidP="00560FC1">
            <w:pPr>
              <w:pStyle w:val="Tabletext"/>
            </w:pPr>
            <w:r w:rsidRPr="00F813F6">
              <w:t>Off-nadir pointing angle</w:t>
            </w:r>
          </w:p>
        </w:tc>
        <w:tc>
          <w:tcPr>
            <w:tcW w:w="3702" w:type="dxa"/>
            <w:gridSpan w:val="2"/>
            <w:vAlign w:val="center"/>
          </w:tcPr>
          <w:p w:rsidR="00073646" w:rsidRPr="00F813F6" w:rsidRDefault="00073646" w:rsidP="00560FC1">
            <w:pPr>
              <w:pStyle w:val="Tabletext"/>
              <w:jc w:val="center"/>
            </w:pPr>
            <w:r w:rsidRPr="00F813F6">
              <w:t>32°</w:t>
            </w:r>
          </w:p>
        </w:tc>
        <w:tc>
          <w:tcPr>
            <w:tcW w:w="1542" w:type="dxa"/>
            <w:vAlign w:val="center"/>
          </w:tcPr>
          <w:p w:rsidR="00073646" w:rsidRPr="00F813F6" w:rsidRDefault="00073646" w:rsidP="00560FC1">
            <w:pPr>
              <w:pStyle w:val="Tabletext"/>
              <w:jc w:val="center"/>
            </w:pPr>
            <w:r w:rsidRPr="00F813F6">
              <w:t>35.5°</w:t>
            </w:r>
          </w:p>
        </w:tc>
        <w:tc>
          <w:tcPr>
            <w:tcW w:w="1424" w:type="dxa"/>
            <w:vAlign w:val="center"/>
          </w:tcPr>
          <w:p w:rsidR="00073646" w:rsidRPr="00F813F6" w:rsidRDefault="00073646" w:rsidP="00560FC1">
            <w:pPr>
              <w:pStyle w:val="Tabletext"/>
              <w:jc w:val="center"/>
            </w:pPr>
            <w:r w:rsidRPr="00F813F6">
              <w:t>25.8°, 33.8°, 40.3°</w:t>
            </w:r>
          </w:p>
        </w:tc>
      </w:tr>
      <w:tr w:rsidR="00073646" w:rsidRPr="00F813F6" w:rsidTr="00F92BC2">
        <w:trPr>
          <w:jc w:val="center"/>
        </w:trPr>
        <w:tc>
          <w:tcPr>
            <w:tcW w:w="2347" w:type="dxa"/>
            <w:vAlign w:val="center"/>
          </w:tcPr>
          <w:p w:rsidR="00073646" w:rsidRPr="00F813F6" w:rsidRDefault="00073646" w:rsidP="00560FC1">
            <w:pPr>
              <w:pStyle w:val="Tabletext"/>
            </w:pPr>
            <w:r w:rsidRPr="00F813F6">
              <w:t>Beam dynamics</w:t>
            </w:r>
          </w:p>
        </w:tc>
        <w:tc>
          <w:tcPr>
            <w:tcW w:w="3702" w:type="dxa"/>
            <w:gridSpan w:val="2"/>
            <w:vAlign w:val="center"/>
          </w:tcPr>
          <w:p w:rsidR="00073646" w:rsidRPr="00F813F6" w:rsidRDefault="00073646" w:rsidP="00560FC1">
            <w:pPr>
              <w:pStyle w:val="Tabletext"/>
              <w:jc w:val="center"/>
            </w:pPr>
            <w:r w:rsidRPr="00F813F6">
              <w:t>Fixed</w:t>
            </w:r>
          </w:p>
        </w:tc>
        <w:tc>
          <w:tcPr>
            <w:tcW w:w="1542" w:type="dxa"/>
            <w:vAlign w:val="center"/>
          </w:tcPr>
          <w:p w:rsidR="00073646" w:rsidRPr="00F813F6" w:rsidRDefault="00073646" w:rsidP="00560FC1">
            <w:pPr>
              <w:pStyle w:val="Tabletext"/>
              <w:jc w:val="center"/>
            </w:pPr>
            <w:r w:rsidRPr="00F813F6">
              <w:t>14.6 rpm</w:t>
            </w:r>
          </w:p>
        </w:tc>
        <w:tc>
          <w:tcPr>
            <w:tcW w:w="1424" w:type="dxa"/>
            <w:vAlign w:val="center"/>
          </w:tcPr>
          <w:p w:rsidR="00073646" w:rsidRPr="00F813F6" w:rsidRDefault="00073646" w:rsidP="00560FC1">
            <w:pPr>
              <w:pStyle w:val="Tabletext"/>
              <w:jc w:val="center"/>
            </w:pPr>
            <w:r w:rsidRPr="00F813F6">
              <w:t>Fixed</w:t>
            </w:r>
          </w:p>
        </w:tc>
      </w:tr>
      <w:tr w:rsidR="00073646" w:rsidRPr="00F813F6" w:rsidTr="00F92BC2">
        <w:trPr>
          <w:jc w:val="center"/>
        </w:trPr>
        <w:tc>
          <w:tcPr>
            <w:tcW w:w="2347" w:type="dxa"/>
            <w:vAlign w:val="center"/>
          </w:tcPr>
          <w:p w:rsidR="00073646" w:rsidRPr="00F813F6" w:rsidRDefault="00073646" w:rsidP="00560FC1">
            <w:pPr>
              <w:pStyle w:val="Tabletext"/>
            </w:pPr>
            <w:r w:rsidRPr="00F813F6">
              <w:t>Incidence angle at Earth</w:t>
            </w:r>
          </w:p>
        </w:tc>
        <w:tc>
          <w:tcPr>
            <w:tcW w:w="3702" w:type="dxa"/>
            <w:gridSpan w:val="2"/>
            <w:vAlign w:val="center"/>
          </w:tcPr>
          <w:p w:rsidR="00073646" w:rsidRPr="00F813F6" w:rsidRDefault="00073646" w:rsidP="00560FC1">
            <w:pPr>
              <w:pStyle w:val="Tabletext"/>
              <w:jc w:val="center"/>
            </w:pPr>
            <w:r w:rsidRPr="00F813F6">
              <w:t>2°/48°</w:t>
            </w:r>
          </w:p>
        </w:tc>
        <w:tc>
          <w:tcPr>
            <w:tcW w:w="1542" w:type="dxa"/>
            <w:vAlign w:val="center"/>
          </w:tcPr>
          <w:p w:rsidR="00073646" w:rsidRPr="00F813F6" w:rsidRDefault="00073646" w:rsidP="00560FC1">
            <w:pPr>
              <w:pStyle w:val="Tabletext"/>
              <w:jc w:val="center"/>
            </w:pPr>
            <w:r w:rsidRPr="00F813F6">
              <w:t>39.9°</w:t>
            </w:r>
          </w:p>
        </w:tc>
        <w:tc>
          <w:tcPr>
            <w:tcW w:w="1424" w:type="dxa"/>
            <w:vAlign w:val="center"/>
          </w:tcPr>
          <w:p w:rsidR="00073646" w:rsidRPr="00F813F6" w:rsidRDefault="00073646" w:rsidP="00560FC1">
            <w:pPr>
              <w:pStyle w:val="Tabletext"/>
              <w:jc w:val="center"/>
            </w:pPr>
            <w:r w:rsidRPr="00F813F6">
              <w:t>27.8°, 37.8° and 45.6°</w:t>
            </w:r>
          </w:p>
        </w:tc>
      </w:tr>
      <w:tr w:rsidR="00073646" w:rsidRPr="00F813F6" w:rsidTr="00F92BC2">
        <w:trPr>
          <w:jc w:val="center"/>
        </w:trPr>
        <w:tc>
          <w:tcPr>
            <w:tcW w:w="2347" w:type="dxa"/>
            <w:vAlign w:val="center"/>
          </w:tcPr>
          <w:p w:rsidR="00073646" w:rsidRPr="00F813F6" w:rsidRDefault="00073646" w:rsidP="00560FC1">
            <w:pPr>
              <w:pStyle w:val="Tabletext"/>
            </w:pPr>
            <w:r w:rsidRPr="00F813F6">
              <w:t>–3 dB beam dimensions</w:t>
            </w:r>
          </w:p>
        </w:tc>
        <w:tc>
          <w:tcPr>
            <w:tcW w:w="1859" w:type="dxa"/>
            <w:vAlign w:val="center"/>
          </w:tcPr>
          <w:p w:rsidR="00073646" w:rsidRPr="00F813F6" w:rsidRDefault="00073646" w:rsidP="00560FC1">
            <w:pPr>
              <w:pStyle w:val="Tabletext"/>
              <w:jc w:val="center"/>
            </w:pPr>
            <w:r w:rsidRPr="00F813F6">
              <w:t>64°</w:t>
            </w:r>
          </w:p>
        </w:tc>
        <w:tc>
          <w:tcPr>
            <w:tcW w:w="1843" w:type="dxa"/>
            <w:vAlign w:val="center"/>
          </w:tcPr>
          <w:p w:rsidR="00073646" w:rsidRPr="00073646" w:rsidRDefault="00073646" w:rsidP="00560FC1">
            <w:pPr>
              <w:pStyle w:val="Tabletext"/>
              <w:jc w:val="center"/>
              <w:rPr>
                <w:lang w:val="en-US"/>
              </w:rPr>
            </w:pPr>
            <w:r w:rsidRPr="00073646">
              <w:rPr>
                <w:lang w:val="en-US"/>
              </w:rPr>
              <w:t>50 km (35 km centre of FOV)</w:t>
            </w:r>
          </w:p>
        </w:tc>
        <w:tc>
          <w:tcPr>
            <w:tcW w:w="1542" w:type="dxa"/>
            <w:vAlign w:val="center"/>
          </w:tcPr>
          <w:p w:rsidR="00073646" w:rsidRPr="00F813F6" w:rsidRDefault="00073646" w:rsidP="00560FC1">
            <w:pPr>
              <w:pStyle w:val="Tabletext"/>
              <w:jc w:val="center"/>
            </w:pPr>
            <w:r w:rsidRPr="00F813F6">
              <w:t>50.1 × 38.5 km</w:t>
            </w:r>
          </w:p>
        </w:tc>
        <w:tc>
          <w:tcPr>
            <w:tcW w:w="1424" w:type="dxa"/>
            <w:vAlign w:val="center"/>
          </w:tcPr>
          <w:p w:rsidR="00073646" w:rsidRPr="00F813F6" w:rsidRDefault="00073646" w:rsidP="00560FC1">
            <w:pPr>
              <w:pStyle w:val="Tabletext"/>
              <w:jc w:val="center"/>
            </w:pPr>
            <w:r w:rsidRPr="00F813F6">
              <w:t xml:space="preserve">94 × 76 km, </w:t>
            </w:r>
            <w:r w:rsidRPr="00F813F6">
              <w:br/>
              <w:t xml:space="preserve">120 × 84 km </w:t>
            </w:r>
            <w:r w:rsidRPr="00F813F6">
              <w:br/>
              <w:t>156 × 97 km</w:t>
            </w:r>
          </w:p>
        </w:tc>
      </w:tr>
      <w:tr w:rsidR="00073646" w:rsidRPr="00C95E2E" w:rsidTr="00F92BC2">
        <w:trPr>
          <w:jc w:val="center"/>
        </w:trPr>
        <w:tc>
          <w:tcPr>
            <w:tcW w:w="2347" w:type="dxa"/>
            <w:vAlign w:val="center"/>
          </w:tcPr>
          <w:p w:rsidR="00073646" w:rsidRPr="00F813F6" w:rsidRDefault="00073646" w:rsidP="002406E7">
            <w:pPr>
              <w:pStyle w:val="Tabletext"/>
              <w:jc w:val="left"/>
            </w:pPr>
            <w:r w:rsidRPr="00F813F6">
              <w:t>Instantaneous field of view</w:t>
            </w:r>
          </w:p>
        </w:tc>
        <w:tc>
          <w:tcPr>
            <w:tcW w:w="1859" w:type="dxa"/>
            <w:vAlign w:val="center"/>
          </w:tcPr>
          <w:p w:rsidR="00073646" w:rsidRPr="00F813F6" w:rsidRDefault="00073646" w:rsidP="00560FC1">
            <w:pPr>
              <w:pStyle w:val="Tabletext"/>
              <w:jc w:val="center"/>
            </w:pPr>
            <w:r w:rsidRPr="00F813F6">
              <w:t xml:space="preserve">Front semi-sphere </w:t>
            </w:r>
            <w:r w:rsidRPr="00F813F6">
              <w:br/>
              <w:t>(2</w:t>
            </w:r>
            <w:r w:rsidRPr="00F813F6">
              <w:sym w:font="Symbol" w:char="F070"/>
            </w:r>
            <w:r w:rsidRPr="00F813F6">
              <w:t xml:space="preserve"> stereoradians)</w:t>
            </w:r>
          </w:p>
        </w:tc>
        <w:tc>
          <w:tcPr>
            <w:tcW w:w="1843" w:type="dxa"/>
            <w:vAlign w:val="center"/>
          </w:tcPr>
          <w:p w:rsidR="00073646" w:rsidRPr="00F813F6" w:rsidRDefault="00073646" w:rsidP="00560FC1">
            <w:pPr>
              <w:pStyle w:val="Tabletext"/>
              <w:jc w:val="center"/>
            </w:pPr>
          </w:p>
        </w:tc>
        <w:tc>
          <w:tcPr>
            <w:tcW w:w="1542" w:type="dxa"/>
            <w:vAlign w:val="center"/>
          </w:tcPr>
          <w:p w:rsidR="00073646" w:rsidRPr="00073646" w:rsidRDefault="00073646" w:rsidP="00560FC1">
            <w:pPr>
              <w:pStyle w:val="Tabletext"/>
              <w:jc w:val="center"/>
              <w:rPr>
                <w:lang w:val="en-US"/>
              </w:rPr>
            </w:pPr>
            <w:r w:rsidRPr="00073646">
              <w:rPr>
                <w:lang w:val="en-US"/>
              </w:rPr>
              <w:t>Same as –3 dB dimensions, above</w:t>
            </w:r>
          </w:p>
        </w:tc>
        <w:tc>
          <w:tcPr>
            <w:tcW w:w="1424" w:type="dxa"/>
            <w:vAlign w:val="center"/>
          </w:tcPr>
          <w:p w:rsidR="00073646" w:rsidRPr="00073646" w:rsidRDefault="00073646" w:rsidP="00560FC1">
            <w:pPr>
              <w:pStyle w:val="Tabletext"/>
              <w:jc w:val="center"/>
              <w:rPr>
                <w:lang w:val="en-US"/>
              </w:rPr>
            </w:pPr>
          </w:p>
        </w:tc>
      </w:tr>
      <w:tr w:rsidR="00073646" w:rsidRPr="00F813F6" w:rsidTr="00F92BC2">
        <w:trPr>
          <w:jc w:val="center"/>
        </w:trPr>
        <w:tc>
          <w:tcPr>
            <w:tcW w:w="2347" w:type="dxa"/>
            <w:vAlign w:val="center"/>
          </w:tcPr>
          <w:p w:rsidR="00073646" w:rsidRPr="00F813F6" w:rsidRDefault="00073646" w:rsidP="002406E7">
            <w:pPr>
              <w:pStyle w:val="Tabletext"/>
              <w:jc w:val="left"/>
            </w:pPr>
            <w:r w:rsidRPr="00F813F6">
              <w:t>Main beam covering area</w:t>
            </w:r>
          </w:p>
        </w:tc>
        <w:tc>
          <w:tcPr>
            <w:tcW w:w="1859" w:type="dxa"/>
            <w:vAlign w:val="center"/>
          </w:tcPr>
          <w:p w:rsidR="00073646" w:rsidRPr="00F813F6" w:rsidRDefault="00073646" w:rsidP="00560FC1">
            <w:pPr>
              <w:pStyle w:val="Tabletext"/>
              <w:jc w:val="center"/>
            </w:pPr>
            <w:r w:rsidRPr="00F813F6">
              <w:t>2 638 745 km²</w:t>
            </w:r>
          </w:p>
        </w:tc>
        <w:tc>
          <w:tcPr>
            <w:tcW w:w="1843" w:type="dxa"/>
            <w:vAlign w:val="center"/>
          </w:tcPr>
          <w:p w:rsidR="00073646" w:rsidRPr="00F813F6" w:rsidRDefault="00073646" w:rsidP="00560FC1">
            <w:pPr>
              <w:pStyle w:val="Tabletext"/>
              <w:jc w:val="center"/>
            </w:pPr>
            <w:r w:rsidRPr="00F813F6">
              <w:t>8 300 km²</w:t>
            </w:r>
          </w:p>
        </w:tc>
        <w:tc>
          <w:tcPr>
            <w:tcW w:w="1542" w:type="dxa"/>
            <w:vAlign w:val="center"/>
          </w:tcPr>
          <w:p w:rsidR="00073646" w:rsidRPr="00F813F6" w:rsidRDefault="00073646" w:rsidP="00560FC1">
            <w:pPr>
              <w:pStyle w:val="Tabletext"/>
              <w:jc w:val="center"/>
            </w:pPr>
            <w:r w:rsidRPr="00F813F6">
              <w:t>1 402 km²</w:t>
            </w:r>
          </w:p>
        </w:tc>
        <w:tc>
          <w:tcPr>
            <w:tcW w:w="1424" w:type="dxa"/>
            <w:vAlign w:val="center"/>
          </w:tcPr>
          <w:p w:rsidR="00073646" w:rsidRPr="00F813F6" w:rsidRDefault="00073646" w:rsidP="00560FC1">
            <w:pPr>
              <w:pStyle w:val="Tabletext"/>
              <w:jc w:val="center"/>
            </w:pPr>
            <w:r w:rsidRPr="00F813F6">
              <w:t>TBD</w:t>
            </w:r>
          </w:p>
        </w:tc>
      </w:tr>
      <w:tr w:rsidR="00073646" w:rsidRPr="00F813F6" w:rsidTr="00F92BC2">
        <w:trPr>
          <w:jc w:val="center"/>
        </w:trPr>
        <w:tc>
          <w:tcPr>
            <w:tcW w:w="2347" w:type="dxa"/>
            <w:tcBorders>
              <w:bottom w:val="single" w:sz="4" w:space="0" w:color="auto"/>
            </w:tcBorders>
            <w:vAlign w:val="center"/>
          </w:tcPr>
          <w:p w:rsidR="00073646" w:rsidRPr="00F813F6" w:rsidRDefault="00073646" w:rsidP="00560FC1">
            <w:pPr>
              <w:pStyle w:val="Tabletext"/>
            </w:pPr>
            <w:r w:rsidRPr="00F813F6">
              <w:t>Sensor antenna pattern</w:t>
            </w:r>
          </w:p>
        </w:tc>
        <w:tc>
          <w:tcPr>
            <w:tcW w:w="6668" w:type="dxa"/>
            <w:gridSpan w:val="4"/>
            <w:tcBorders>
              <w:bottom w:val="single" w:sz="4" w:space="0" w:color="auto"/>
            </w:tcBorders>
            <w:vAlign w:val="center"/>
          </w:tcPr>
          <w:p w:rsidR="00073646" w:rsidRPr="00F813F6" w:rsidRDefault="00073646" w:rsidP="00560FC1">
            <w:pPr>
              <w:pStyle w:val="Tabletext"/>
              <w:jc w:val="center"/>
            </w:pPr>
            <w:r w:rsidRPr="00F813F6">
              <w:t>Recommendation ITU-R RS.1813</w:t>
            </w:r>
          </w:p>
        </w:tc>
      </w:tr>
      <w:tr w:rsidR="00073646" w:rsidRPr="009E4382" w:rsidTr="00F92BC2">
        <w:trPr>
          <w:jc w:val="center"/>
        </w:trPr>
        <w:tc>
          <w:tcPr>
            <w:tcW w:w="7591" w:type="dxa"/>
            <w:gridSpan w:val="4"/>
            <w:tcBorders>
              <w:top w:val="single" w:sz="4" w:space="0" w:color="auto"/>
              <w:left w:val="single" w:sz="4" w:space="0" w:color="auto"/>
              <w:bottom w:val="single" w:sz="4" w:space="0" w:color="auto"/>
              <w:right w:val="nil"/>
            </w:tcBorders>
            <w:vAlign w:val="center"/>
          </w:tcPr>
          <w:p w:rsidR="00073646" w:rsidRPr="009E4382" w:rsidRDefault="00073646" w:rsidP="00560FC1">
            <w:pPr>
              <w:pStyle w:val="Tabletext"/>
              <w:rPr>
                <w:b/>
                <w:bCs/>
              </w:rPr>
            </w:pPr>
            <w:r w:rsidRPr="009E4382">
              <w:rPr>
                <w:b/>
                <w:bCs/>
              </w:rPr>
              <w:t>Sensor receiver parameters</w:t>
            </w:r>
          </w:p>
        </w:tc>
        <w:tc>
          <w:tcPr>
            <w:tcW w:w="1424" w:type="dxa"/>
            <w:tcBorders>
              <w:top w:val="single" w:sz="4" w:space="0" w:color="auto"/>
              <w:left w:val="nil"/>
              <w:bottom w:val="single" w:sz="4" w:space="0" w:color="auto"/>
              <w:right w:val="single" w:sz="4" w:space="0" w:color="auto"/>
            </w:tcBorders>
            <w:vAlign w:val="center"/>
          </w:tcPr>
          <w:p w:rsidR="00073646" w:rsidRPr="009E4382" w:rsidRDefault="00073646" w:rsidP="00560FC1">
            <w:pPr>
              <w:pStyle w:val="Tabletext"/>
              <w:rPr>
                <w:b/>
                <w:bCs/>
              </w:rPr>
            </w:pPr>
          </w:p>
        </w:tc>
      </w:tr>
      <w:tr w:rsidR="00073646" w:rsidRPr="00F813F6" w:rsidTr="00F92BC2">
        <w:trPr>
          <w:jc w:val="center"/>
        </w:trPr>
        <w:tc>
          <w:tcPr>
            <w:tcW w:w="2347" w:type="dxa"/>
            <w:tcBorders>
              <w:top w:val="single" w:sz="4" w:space="0" w:color="auto"/>
            </w:tcBorders>
            <w:vAlign w:val="center"/>
          </w:tcPr>
          <w:p w:rsidR="00073646" w:rsidRPr="00F813F6" w:rsidRDefault="00073646" w:rsidP="00560FC1">
            <w:pPr>
              <w:pStyle w:val="Tabletext"/>
            </w:pPr>
            <w:r w:rsidRPr="00F813F6">
              <w:t>Sensor integration time</w:t>
            </w:r>
          </w:p>
        </w:tc>
        <w:tc>
          <w:tcPr>
            <w:tcW w:w="3702" w:type="dxa"/>
            <w:gridSpan w:val="2"/>
            <w:tcBorders>
              <w:top w:val="single" w:sz="4" w:space="0" w:color="auto"/>
            </w:tcBorders>
            <w:vAlign w:val="center"/>
          </w:tcPr>
          <w:p w:rsidR="00073646" w:rsidRPr="00F813F6" w:rsidRDefault="00073646" w:rsidP="00560FC1">
            <w:pPr>
              <w:pStyle w:val="Tabletext"/>
              <w:jc w:val="center"/>
            </w:pPr>
            <w:r w:rsidRPr="00F813F6">
              <w:t>1.2 s</w:t>
            </w:r>
          </w:p>
        </w:tc>
        <w:tc>
          <w:tcPr>
            <w:tcW w:w="1542" w:type="dxa"/>
            <w:tcBorders>
              <w:top w:val="single" w:sz="4" w:space="0" w:color="auto"/>
            </w:tcBorders>
            <w:vAlign w:val="center"/>
          </w:tcPr>
          <w:p w:rsidR="00073646" w:rsidRPr="00F813F6" w:rsidRDefault="00073646" w:rsidP="00560FC1">
            <w:pPr>
              <w:pStyle w:val="Tabletext"/>
              <w:jc w:val="center"/>
            </w:pPr>
            <w:r w:rsidRPr="00F813F6">
              <w:t>84 ms</w:t>
            </w:r>
          </w:p>
        </w:tc>
        <w:tc>
          <w:tcPr>
            <w:tcW w:w="1424" w:type="dxa"/>
            <w:tcBorders>
              <w:top w:val="single" w:sz="4" w:space="0" w:color="auto"/>
            </w:tcBorders>
            <w:vAlign w:val="center"/>
          </w:tcPr>
          <w:p w:rsidR="00073646" w:rsidRPr="00F813F6" w:rsidRDefault="00073646" w:rsidP="00560FC1">
            <w:pPr>
              <w:pStyle w:val="Tabletext"/>
              <w:jc w:val="center"/>
            </w:pPr>
            <w:r w:rsidRPr="00F813F6">
              <w:t>6 s</w:t>
            </w:r>
          </w:p>
        </w:tc>
      </w:tr>
      <w:tr w:rsidR="00073646" w:rsidRPr="00F813F6" w:rsidTr="00F92BC2">
        <w:trPr>
          <w:jc w:val="center"/>
        </w:trPr>
        <w:tc>
          <w:tcPr>
            <w:tcW w:w="2347" w:type="dxa"/>
            <w:tcBorders>
              <w:bottom w:val="single" w:sz="4" w:space="0" w:color="auto"/>
            </w:tcBorders>
            <w:vAlign w:val="center"/>
          </w:tcPr>
          <w:p w:rsidR="00073646" w:rsidRPr="00F813F6" w:rsidRDefault="00073646" w:rsidP="00560FC1">
            <w:pPr>
              <w:pStyle w:val="Tabletext"/>
            </w:pPr>
            <w:r w:rsidRPr="00F813F6">
              <w:t>Channel bandwidth</w:t>
            </w:r>
          </w:p>
        </w:tc>
        <w:tc>
          <w:tcPr>
            <w:tcW w:w="3702" w:type="dxa"/>
            <w:gridSpan w:val="2"/>
            <w:tcBorders>
              <w:bottom w:val="single" w:sz="4" w:space="0" w:color="auto"/>
            </w:tcBorders>
            <w:vAlign w:val="center"/>
          </w:tcPr>
          <w:p w:rsidR="00073646" w:rsidRPr="00F813F6" w:rsidRDefault="00073646" w:rsidP="00560FC1">
            <w:pPr>
              <w:pStyle w:val="Tabletext"/>
              <w:jc w:val="center"/>
            </w:pPr>
            <w:r w:rsidRPr="00F813F6">
              <w:t>19 MHz</w:t>
            </w:r>
          </w:p>
        </w:tc>
        <w:tc>
          <w:tcPr>
            <w:tcW w:w="1542" w:type="dxa"/>
            <w:tcBorders>
              <w:bottom w:val="single" w:sz="4" w:space="0" w:color="auto"/>
            </w:tcBorders>
            <w:vAlign w:val="center"/>
          </w:tcPr>
          <w:p w:rsidR="00073646" w:rsidRPr="00F813F6" w:rsidRDefault="00073646" w:rsidP="00560FC1">
            <w:pPr>
              <w:pStyle w:val="Tabletext"/>
              <w:jc w:val="center"/>
            </w:pPr>
            <w:r w:rsidRPr="00F813F6">
              <w:t>27 MHz</w:t>
            </w:r>
          </w:p>
        </w:tc>
        <w:tc>
          <w:tcPr>
            <w:tcW w:w="1424" w:type="dxa"/>
            <w:tcBorders>
              <w:bottom w:val="single" w:sz="4" w:space="0" w:color="auto"/>
            </w:tcBorders>
            <w:vAlign w:val="center"/>
          </w:tcPr>
          <w:p w:rsidR="00073646" w:rsidRPr="00F813F6" w:rsidRDefault="00073646" w:rsidP="00560FC1">
            <w:pPr>
              <w:pStyle w:val="Tabletext"/>
              <w:jc w:val="center"/>
            </w:pPr>
            <w:r w:rsidRPr="00F813F6">
              <w:t>26 MHz</w:t>
            </w:r>
          </w:p>
        </w:tc>
      </w:tr>
      <w:tr w:rsidR="00073646" w:rsidRPr="00C95E2E" w:rsidTr="00F92BC2">
        <w:trPr>
          <w:jc w:val="center"/>
        </w:trPr>
        <w:tc>
          <w:tcPr>
            <w:tcW w:w="9015" w:type="dxa"/>
            <w:gridSpan w:val="5"/>
            <w:tcBorders>
              <w:left w:val="nil"/>
              <w:bottom w:val="nil"/>
              <w:right w:val="nil"/>
            </w:tcBorders>
            <w:vAlign w:val="center"/>
          </w:tcPr>
          <w:p w:rsidR="00073646" w:rsidRPr="00073646" w:rsidRDefault="00073646" w:rsidP="001B31B9">
            <w:pPr>
              <w:pStyle w:val="Tabletext"/>
              <w:ind w:left="284" w:hanging="284"/>
              <w:rPr>
                <w:lang w:val="en-US"/>
              </w:rPr>
            </w:pPr>
            <w:r w:rsidRPr="00073646">
              <w:rPr>
                <w:lang w:val="en-US"/>
              </w:rPr>
              <w:t>*</w:t>
            </w:r>
            <w:r w:rsidRPr="00073646">
              <w:rPr>
                <w:lang w:val="en-US"/>
              </w:rPr>
              <w:tab/>
              <w:t>The sensor A1 antenna is composed of 69 single 9 dBi antenna elements forming a composite antenna of 24 dBi. Interference need to be assessed for both figures noting that their respective covering area is different.</w:t>
            </w:r>
          </w:p>
        </w:tc>
      </w:tr>
    </w:tbl>
    <w:p w:rsidR="001B31B9" w:rsidRDefault="001B31B9" w:rsidP="001B31B9">
      <w:pPr>
        <w:pStyle w:val="Tablefin"/>
      </w:pPr>
    </w:p>
    <w:p w:rsidR="00073646" w:rsidRPr="00073646" w:rsidRDefault="00073646" w:rsidP="00073646">
      <w:pPr>
        <w:pStyle w:val="Heading2"/>
        <w:rPr>
          <w:lang w:val="en-US"/>
        </w:rPr>
      </w:pPr>
      <w:r w:rsidRPr="00073646">
        <w:rPr>
          <w:lang w:val="en-US"/>
        </w:rPr>
        <w:t>2.2</w:t>
      </w:r>
      <w:r w:rsidRPr="00073646">
        <w:rPr>
          <w:lang w:val="en-US"/>
        </w:rPr>
        <w:tab/>
        <w:t>Mobile systems deployment and parameters</w:t>
      </w:r>
    </w:p>
    <w:p w:rsidR="00073646" w:rsidRPr="00073646" w:rsidRDefault="00073646" w:rsidP="007C691A">
      <w:pPr>
        <w:rPr>
          <w:lang w:val="en-US"/>
        </w:rPr>
      </w:pPr>
      <w:r w:rsidRPr="00073646">
        <w:rPr>
          <w:lang w:val="en-US"/>
        </w:rPr>
        <w:t>The compatibility studies being related to unwanted emissions, for both UE and base-stations the</w:t>
      </w:r>
      <w:r w:rsidR="007C691A">
        <w:rPr>
          <w:lang w:val="en-US"/>
        </w:rPr>
        <w:t xml:space="preserve"> </w:t>
      </w:r>
      <w:r w:rsidRPr="00073646">
        <w:rPr>
          <w:lang w:val="en-US"/>
        </w:rPr>
        <w:t>level of unwanted emissions of –60 dBW/27</w:t>
      </w:r>
      <w:r w:rsidRPr="00073646">
        <w:rPr>
          <w:szCs w:val="24"/>
          <w:lang w:val="en-US"/>
        </w:rPr>
        <w:t> </w:t>
      </w:r>
      <w:r w:rsidRPr="00073646">
        <w:rPr>
          <w:lang w:val="en-US"/>
        </w:rPr>
        <w:t xml:space="preserve">MHz in the 1 400-1 427 MHz frequency band (consistent with Resolution </w:t>
      </w:r>
      <w:r w:rsidRPr="00073646">
        <w:rPr>
          <w:b/>
          <w:bCs/>
          <w:lang w:val="en-US"/>
        </w:rPr>
        <w:t>750</w:t>
      </w:r>
      <w:r w:rsidRPr="00073646">
        <w:rPr>
          <w:lang w:val="en-US"/>
        </w:rPr>
        <w:t> </w:t>
      </w:r>
      <w:r w:rsidRPr="00073646">
        <w:rPr>
          <w:b/>
          <w:bCs/>
          <w:lang w:val="en-US"/>
        </w:rPr>
        <w:t>(Rev.WRC-12)</w:t>
      </w:r>
      <w:r w:rsidRPr="00073646">
        <w:rPr>
          <w:lang w:val="en-US"/>
        </w:rPr>
        <w:t>) was taken as a reference.</w:t>
      </w:r>
    </w:p>
    <w:p w:rsidR="00073646" w:rsidRPr="00073646" w:rsidRDefault="00073646" w:rsidP="007C691A">
      <w:pPr>
        <w:rPr>
          <w:lang w:val="en-US"/>
        </w:rPr>
      </w:pPr>
      <w:r w:rsidRPr="00073646">
        <w:rPr>
          <w:lang w:val="en-US"/>
        </w:rPr>
        <w:t xml:space="preserve">As far as the base-stations are concerned, it has been considered that each base-station will include </w:t>
      </w:r>
      <w:r w:rsidR="00CF0F60">
        <w:rPr>
          <w:lang w:val="en-US"/>
        </w:rPr>
        <w:t xml:space="preserve">three </w:t>
      </w:r>
      <w:r w:rsidRPr="00073646">
        <w:rPr>
          <w:lang w:val="en-US"/>
        </w:rPr>
        <w:t xml:space="preserve">sectors of 120°. However, it has also been assumed that, on average, emissions from </w:t>
      </w:r>
      <w:r w:rsidR="00CF0F60">
        <w:rPr>
          <w:lang w:val="en-US"/>
        </w:rPr>
        <w:t>one</w:t>
      </w:r>
      <w:r w:rsidRPr="00073646">
        <w:rPr>
          <w:lang w:val="en-US"/>
        </w:rPr>
        <w:t xml:space="preserve"> sector will always be blocked. In the end, only </w:t>
      </w:r>
      <w:r w:rsidR="00CF0F60">
        <w:rPr>
          <w:lang w:val="en-US"/>
        </w:rPr>
        <w:t xml:space="preserve">two </w:t>
      </w:r>
      <w:r w:rsidRPr="00073646">
        <w:rPr>
          <w:lang w:val="en-US"/>
        </w:rPr>
        <w:t>sectors per base-stations have been considered with the</w:t>
      </w:r>
      <w:r w:rsidR="007C691A">
        <w:rPr>
          <w:lang w:val="en-US"/>
        </w:rPr>
        <w:t xml:space="preserve"> </w:t>
      </w:r>
      <w:r w:rsidRPr="00073646">
        <w:rPr>
          <w:lang w:val="en-US"/>
        </w:rPr>
        <w:t>following parameters:</w:t>
      </w:r>
    </w:p>
    <w:p w:rsidR="00073646" w:rsidRPr="00073646" w:rsidRDefault="00073646" w:rsidP="00073646">
      <w:pPr>
        <w:pStyle w:val="enumlev1"/>
        <w:rPr>
          <w:rFonts w:cs="Arial"/>
          <w:lang w:val="en-US"/>
        </w:rPr>
      </w:pPr>
      <w:r w:rsidRPr="00073646">
        <w:rPr>
          <w:lang w:val="en-US"/>
        </w:rPr>
        <w:t>–</w:t>
      </w:r>
      <w:r w:rsidRPr="00073646">
        <w:rPr>
          <w:lang w:val="en-US"/>
        </w:rPr>
        <w:tab/>
        <w:t>antenna gain = 17</w:t>
      </w:r>
      <w:r w:rsidRPr="00073646">
        <w:rPr>
          <w:szCs w:val="24"/>
          <w:lang w:val="en-US"/>
        </w:rPr>
        <w:t> </w:t>
      </w:r>
      <w:r w:rsidRPr="00073646">
        <w:rPr>
          <w:lang w:val="en-US"/>
        </w:rPr>
        <w:t>dBi;</w:t>
      </w:r>
    </w:p>
    <w:p w:rsidR="00073646" w:rsidRPr="00073646" w:rsidRDefault="00073646" w:rsidP="00073646">
      <w:pPr>
        <w:pStyle w:val="enumlev1"/>
        <w:rPr>
          <w:rFonts w:cs="Arial"/>
          <w:lang w:val="en-US"/>
        </w:rPr>
      </w:pPr>
      <w:r w:rsidRPr="00073646">
        <w:rPr>
          <w:lang w:val="en-US"/>
        </w:rPr>
        <w:lastRenderedPageBreak/>
        <w:t>–</w:t>
      </w:r>
      <w:r w:rsidRPr="00073646">
        <w:rPr>
          <w:lang w:val="en-US"/>
        </w:rPr>
        <w:tab/>
        <w:t>antenna pattern = Recommendation ITU-R F.1336-4 (k</w:t>
      </w:r>
      <w:r w:rsidRPr="00073646">
        <w:rPr>
          <w:vertAlign w:val="subscript"/>
          <w:lang w:val="en-US"/>
        </w:rPr>
        <w:t>v </w:t>
      </w:r>
      <w:r w:rsidRPr="00073646">
        <w:rPr>
          <w:lang w:val="en-US"/>
        </w:rPr>
        <w:t>= 0.3);</w:t>
      </w:r>
    </w:p>
    <w:p w:rsidR="00073646" w:rsidRPr="00073646" w:rsidRDefault="00073646" w:rsidP="00073646">
      <w:pPr>
        <w:pStyle w:val="enumlev1"/>
        <w:rPr>
          <w:lang w:val="en-US"/>
        </w:rPr>
      </w:pPr>
      <w:r w:rsidRPr="00073646">
        <w:rPr>
          <w:lang w:val="en-US"/>
        </w:rPr>
        <w:t>–</w:t>
      </w:r>
      <w:r w:rsidRPr="00073646">
        <w:rPr>
          <w:lang w:val="en-US"/>
        </w:rPr>
        <w:tab/>
        <w:t>antenna elevation = –6° (downtilt);</w:t>
      </w:r>
    </w:p>
    <w:p w:rsidR="00073646" w:rsidRPr="00073646" w:rsidRDefault="00073646" w:rsidP="00073646">
      <w:pPr>
        <w:pStyle w:val="enumlev1"/>
        <w:rPr>
          <w:rFonts w:cs="Arial"/>
          <w:lang w:val="en-US"/>
        </w:rPr>
      </w:pPr>
      <w:r w:rsidRPr="00073646">
        <w:rPr>
          <w:lang w:val="en-US"/>
        </w:rPr>
        <w:t>–</w:t>
      </w:r>
      <w:r w:rsidRPr="00073646">
        <w:rPr>
          <w:lang w:val="en-US"/>
        </w:rPr>
        <w:tab/>
        <w:t>feeder losses = 3 dB;</w:t>
      </w:r>
    </w:p>
    <w:p w:rsidR="00073646" w:rsidRPr="00073646" w:rsidRDefault="00073646" w:rsidP="00073646">
      <w:pPr>
        <w:pStyle w:val="enumlev1"/>
        <w:rPr>
          <w:lang w:val="en-US"/>
        </w:rPr>
      </w:pPr>
      <w:r w:rsidRPr="00073646">
        <w:rPr>
          <w:lang w:val="en-US"/>
        </w:rPr>
        <w:t>–</w:t>
      </w:r>
      <w:r w:rsidRPr="00073646">
        <w:rPr>
          <w:lang w:val="en-US"/>
        </w:rPr>
        <w:tab/>
        <w:t>average activity factor = 50%.</w:t>
      </w:r>
    </w:p>
    <w:p w:rsidR="00073646" w:rsidRPr="00073646" w:rsidRDefault="00073646" w:rsidP="005A771E">
      <w:pPr>
        <w:rPr>
          <w:lang w:val="en-US"/>
        </w:rPr>
      </w:pPr>
      <w:r w:rsidRPr="00073646">
        <w:rPr>
          <w:lang w:val="en-US"/>
        </w:rPr>
        <w:t xml:space="preserve">Considering </w:t>
      </w:r>
      <w:r w:rsidRPr="00073646">
        <w:rPr>
          <w:lang w:val="en-US" w:eastAsia="ja-JP"/>
        </w:rPr>
        <w:t>UE</w:t>
      </w:r>
      <w:r w:rsidRPr="00073646">
        <w:rPr>
          <w:lang w:val="en-US"/>
        </w:rPr>
        <w:t xml:space="preserve">, it has been assumed that, on average, 1 </w:t>
      </w:r>
      <w:r w:rsidRPr="00073646">
        <w:rPr>
          <w:lang w:val="en-US" w:eastAsia="ja-JP"/>
        </w:rPr>
        <w:t>UE</w:t>
      </w:r>
      <w:r w:rsidRPr="00073646">
        <w:rPr>
          <w:lang w:val="en-US"/>
        </w:rPr>
        <w:t xml:space="preserve"> will always be transmitting within each of the </w:t>
      </w:r>
      <w:r w:rsidR="005A771E">
        <w:rPr>
          <w:lang w:val="en-US"/>
        </w:rPr>
        <w:t>two</w:t>
      </w:r>
      <w:r w:rsidRPr="00073646">
        <w:rPr>
          <w:lang w:val="en-US"/>
        </w:rPr>
        <w:t xml:space="preserve"> sectors. The following parameters have been considered for </w:t>
      </w:r>
      <w:r w:rsidRPr="00073646">
        <w:rPr>
          <w:lang w:val="en-US" w:eastAsia="ja-JP"/>
        </w:rPr>
        <w:t>UE</w:t>
      </w:r>
      <w:r w:rsidRPr="00073646">
        <w:rPr>
          <w:lang w:val="en-US"/>
        </w:rPr>
        <w:t>:</w:t>
      </w:r>
    </w:p>
    <w:p w:rsidR="00073646" w:rsidRPr="00073646" w:rsidRDefault="00073646" w:rsidP="00073646">
      <w:pPr>
        <w:pStyle w:val="enumlev1"/>
        <w:rPr>
          <w:rFonts w:cs="Arial"/>
          <w:lang w:val="en-US"/>
        </w:rPr>
      </w:pPr>
      <w:r w:rsidRPr="00073646">
        <w:rPr>
          <w:lang w:val="en-US"/>
        </w:rPr>
        <w:t>–</w:t>
      </w:r>
      <w:r w:rsidRPr="00073646">
        <w:rPr>
          <w:lang w:val="en-US"/>
        </w:rPr>
        <w:tab/>
        <w:t>antenna gain = –3</w:t>
      </w:r>
      <w:r w:rsidRPr="00073646">
        <w:rPr>
          <w:szCs w:val="24"/>
          <w:lang w:val="en-US"/>
        </w:rPr>
        <w:t> </w:t>
      </w:r>
      <w:r w:rsidRPr="00073646">
        <w:rPr>
          <w:lang w:val="en-US"/>
        </w:rPr>
        <w:t>dBi;</w:t>
      </w:r>
    </w:p>
    <w:p w:rsidR="00073646" w:rsidRPr="00073646" w:rsidRDefault="00073646" w:rsidP="00073646">
      <w:pPr>
        <w:pStyle w:val="enumlev1"/>
        <w:rPr>
          <w:lang w:val="en-US"/>
        </w:rPr>
      </w:pPr>
      <w:r w:rsidRPr="00073646">
        <w:rPr>
          <w:lang w:val="en-US"/>
        </w:rPr>
        <w:t>–</w:t>
      </w:r>
      <w:r w:rsidRPr="00073646">
        <w:rPr>
          <w:lang w:val="en-US"/>
        </w:rPr>
        <w:tab/>
        <w:t>antenna pattern = omnidirectional;</w:t>
      </w:r>
    </w:p>
    <w:p w:rsidR="00073646" w:rsidRPr="00073646" w:rsidRDefault="00073646" w:rsidP="00073646">
      <w:pPr>
        <w:pStyle w:val="enumlev1"/>
        <w:rPr>
          <w:lang w:val="en-US"/>
        </w:rPr>
      </w:pPr>
      <w:r w:rsidRPr="00073646">
        <w:rPr>
          <w:lang w:val="en-US"/>
        </w:rPr>
        <w:t>–</w:t>
      </w:r>
      <w:r w:rsidRPr="00073646">
        <w:rPr>
          <w:lang w:val="en-US"/>
        </w:rPr>
        <w:tab/>
        <w:t>body loss = 4 dBi;</w:t>
      </w:r>
    </w:p>
    <w:p w:rsidR="00073646" w:rsidRPr="00073646" w:rsidRDefault="00073646" w:rsidP="00073646">
      <w:pPr>
        <w:pStyle w:val="enumlev1"/>
        <w:rPr>
          <w:lang w:val="en-US"/>
        </w:rPr>
      </w:pPr>
      <w:r w:rsidRPr="00073646">
        <w:rPr>
          <w:lang w:val="en-US"/>
        </w:rPr>
        <w:t>–</w:t>
      </w:r>
      <w:r w:rsidRPr="00073646">
        <w:rPr>
          <w:lang w:val="en-US"/>
        </w:rPr>
        <w:tab/>
        <w:t>outdoor terminal in visibility of the satellite = 10%;</w:t>
      </w:r>
    </w:p>
    <w:p w:rsidR="00073646" w:rsidRPr="00073646" w:rsidRDefault="00073646" w:rsidP="00073646">
      <w:pPr>
        <w:pStyle w:val="enumlev1"/>
        <w:rPr>
          <w:lang w:val="en-US"/>
        </w:rPr>
      </w:pPr>
      <w:r w:rsidRPr="00073646">
        <w:rPr>
          <w:lang w:val="en-US"/>
        </w:rPr>
        <w:t>–</w:t>
      </w:r>
      <w:r w:rsidRPr="00073646">
        <w:rPr>
          <w:lang w:val="en-US"/>
        </w:rPr>
        <w:tab/>
        <w:t>outdoor terminals with blocking (10 dB attenuation) = 20%;</w:t>
      </w:r>
    </w:p>
    <w:p w:rsidR="00073646" w:rsidRPr="00073646" w:rsidRDefault="00073646" w:rsidP="00073646">
      <w:pPr>
        <w:pStyle w:val="enumlev1"/>
        <w:rPr>
          <w:lang w:val="en-US"/>
        </w:rPr>
      </w:pPr>
      <w:r w:rsidRPr="00073646">
        <w:rPr>
          <w:lang w:val="en-US"/>
        </w:rPr>
        <w:t>–</w:t>
      </w:r>
      <w:r w:rsidRPr="00073646">
        <w:rPr>
          <w:lang w:val="en-US"/>
        </w:rPr>
        <w:tab/>
        <w:t>indoor terminals (12 dB attenuation) = 70%.</w:t>
      </w:r>
    </w:p>
    <w:p w:rsidR="00073646" w:rsidRPr="00073646" w:rsidRDefault="00073646" w:rsidP="00073646">
      <w:pPr>
        <w:pStyle w:val="Heading1"/>
        <w:rPr>
          <w:lang w:val="en-US"/>
        </w:rPr>
      </w:pPr>
      <w:r w:rsidRPr="00073646">
        <w:rPr>
          <w:lang w:val="en-US"/>
        </w:rPr>
        <w:t>3</w:t>
      </w:r>
      <w:r w:rsidRPr="00073646">
        <w:rPr>
          <w:lang w:val="en-US"/>
        </w:rPr>
        <w:tab/>
        <w:t>Analysis for unwanted emissions levels applied for a station of IMT systems to ensure protection for EESS (passive) systems</w:t>
      </w:r>
    </w:p>
    <w:p w:rsidR="00073646" w:rsidRPr="00073646" w:rsidRDefault="00073646" w:rsidP="003D4715">
      <w:pPr>
        <w:rPr>
          <w:lang w:val="en-US"/>
        </w:rPr>
      </w:pPr>
      <w:r w:rsidRPr="00073646">
        <w:rPr>
          <w:lang w:val="en-US"/>
        </w:rPr>
        <w:t>Based on the above assumptions and mobile service deployments, the relevant analyses are performed using a static scenario (</w:t>
      </w:r>
      <w:r w:rsidR="003D4715">
        <w:rPr>
          <w:lang w:val="en-US"/>
        </w:rPr>
        <w:t>§</w:t>
      </w:r>
      <w:r w:rsidR="006A4B1F">
        <w:rPr>
          <w:lang w:val="en-US"/>
        </w:rPr>
        <w:t xml:space="preserve"> </w:t>
      </w:r>
      <w:r w:rsidRPr="00073646">
        <w:rPr>
          <w:lang w:val="en-US"/>
        </w:rPr>
        <w:t>3.1) and a dynamic methodology (</w:t>
      </w:r>
      <w:r w:rsidR="003D4715">
        <w:rPr>
          <w:lang w:val="en-US"/>
        </w:rPr>
        <w:t>§</w:t>
      </w:r>
      <w:r w:rsidR="006A4B1F">
        <w:rPr>
          <w:lang w:val="en-US"/>
        </w:rPr>
        <w:t xml:space="preserve"> </w:t>
      </w:r>
      <w:r w:rsidRPr="00073646">
        <w:rPr>
          <w:lang w:val="en-US"/>
        </w:rPr>
        <w:t>3.2).</w:t>
      </w:r>
    </w:p>
    <w:p w:rsidR="00073646" w:rsidRPr="00073646" w:rsidRDefault="00073646" w:rsidP="00073646">
      <w:pPr>
        <w:pStyle w:val="Heading2"/>
        <w:rPr>
          <w:lang w:val="en-US"/>
        </w:rPr>
      </w:pPr>
      <w:r w:rsidRPr="00073646">
        <w:rPr>
          <w:lang w:val="en-US"/>
        </w:rPr>
        <w:t>3.1</w:t>
      </w:r>
      <w:r w:rsidRPr="00073646">
        <w:rPr>
          <w:lang w:val="en-US"/>
        </w:rPr>
        <w:tab/>
        <w:t>Static analysis</w:t>
      </w:r>
    </w:p>
    <w:p w:rsidR="00073646" w:rsidRPr="00073646" w:rsidRDefault="00073646" w:rsidP="00073646">
      <w:pPr>
        <w:pStyle w:val="Heading3"/>
        <w:rPr>
          <w:lang w:val="en-US"/>
        </w:rPr>
      </w:pPr>
      <w:r w:rsidRPr="00073646">
        <w:rPr>
          <w:lang w:val="en-US"/>
        </w:rPr>
        <w:t>3.1.1</w:t>
      </w:r>
      <w:r w:rsidRPr="00073646">
        <w:rPr>
          <w:lang w:val="en-US"/>
        </w:rPr>
        <w:tab/>
        <w:t>Mobile systems deployment</w:t>
      </w:r>
    </w:p>
    <w:p w:rsidR="00073646" w:rsidRPr="00073646" w:rsidRDefault="00073646" w:rsidP="003D4715">
      <w:pPr>
        <w:rPr>
          <w:lang w:val="en-US"/>
        </w:rPr>
      </w:pPr>
      <w:r w:rsidRPr="00073646">
        <w:rPr>
          <w:lang w:val="en-US"/>
        </w:rPr>
        <w:t xml:space="preserve">In addition to the parameters given in </w:t>
      </w:r>
      <w:r w:rsidR="003D4715">
        <w:rPr>
          <w:lang w:val="en-US"/>
        </w:rPr>
        <w:t>§</w:t>
      </w:r>
      <w:r w:rsidR="00065C72">
        <w:rPr>
          <w:lang w:val="en-US"/>
        </w:rPr>
        <w:t xml:space="preserve"> </w:t>
      </w:r>
      <w:r w:rsidRPr="00073646">
        <w:rPr>
          <w:lang w:val="en-US"/>
        </w:rPr>
        <w:t>2 above, the following assumptions were considere</w:t>
      </w:r>
      <w:r w:rsidR="007C691A">
        <w:rPr>
          <w:lang w:val="en-US"/>
        </w:rPr>
        <w:t>d.</w:t>
      </w:r>
    </w:p>
    <w:p w:rsidR="00073646" w:rsidRPr="00073646" w:rsidRDefault="00073646" w:rsidP="00073646">
      <w:pPr>
        <w:rPr>
          <w:rFonts w:cs="Arial"/>
          <w:szCs w:val="22"/>
          <w:lang w:val="en-US" w:eastAsia="ja-JP"/>
        </w:rPr>
      </w:pPr>
      <w:r w:rsidRPr="00073646">
        <w:rPr>
          <w:rFonts w:cs="Arial"/>
          <w:szCs w:val="22"/>
          <w:lang w:val="en-US"/>
        </w:rPr>
        <w:t>The maximum number of sites in the main beam cover (2 000) is derived from the number of sites around Paris (as a dense urban area). In a country like France (550 000</w:t>
      </w:r>
      <w:r w:rsidRPr="00073646">
        <w:rPr>
          <w:szCs w:val="24"/>
          <w:lang w:val="en-US"/>
        </w:rPr>
        <w:t> </w:t>
      </w:r>
      <w:r w:rsidRPr="00073646">
        <w:rPr>
          <w:rFonts w:cs="Arial"/>
          <w:szCs w:val="22"/>
          <w:lang w:val="en-US"/>
        </w:rPr>
        <w:t>km</w:t>
      </w:r>
      <w:r w:rsidRPr="00073646">
        <w:rPr>
          <w:rFonts w:cs="Arial"/>
          <w:szCs w:val="22"/>
          <w:vertAlign w:val="superscript"/>
          <w:lang w:val="en-US"/>
        </w:rPr>
        <w:t>2</w:t>
      </w:r>
      <w:r w:rsidRPr="00073646">
        <w:rPr>
          <w:rFonts w:cs="Arial"/>
          <w:szCs w:val="22"/>
          <w:lang w:val="en-US"/>
        </w:rPr>
        <w:t>) the number of sites for one national network is approximately 20 000 and taking into account geographical variation and the presence of seas, a number of 50 000 sites has been roughly assumed for the SMOS single main beam cover.</w:t>
      </w:r>
    </w:p>
    <w:p w:rsidR="00073646" w:rsidRPr="00073646" w:rsidRDefault="00073646" w:rsidP="00073646">
      <w:pPr>
        <w:rPr>
          <w:rFonts w:cs="Arial"/>
          <w:szCs w:val="22"/>
          <w:lang w:val="en-US"/>
        </w:rPr>
      </w:pPr>
      <w:r w:rsidRPr="00073646">
        <w:rPr>
          <w:rFonts w:cs="Arial"/>
          <w:szCs w:val="22"/>
          <w:lang w:val="en-US"/>
        </w:rPr>
        <w:t>Base-stations that are within the beam coverage of a satellite have their antenna gain discrimination that may vary depending on the size of this covered area:</w:t>
      </w:r>
    </w:p>
    <w:p w:rsidR="00073646" w:rsidRPr="00073646" w:rsidRDefault="00073646" w:rsidP="00073646">
      <w:pPr>
        <w:pStyle w:val="enumlev1"/>
        <w:rPr>
          <w:lang w:val="en-US"/>
        </w:rPr>
      </w:pPr>
      <w:r w:rsidRPr="00073646">
        <w:rPr>
          <w:lang w:val="en-US"/>
        </w:rPr>
        <w:t>–</w:t>
      </w:r>
      <w:r w:rsidRPr="00073646">
        <w:rPr>
          <w:lang w:val="en-US"/>
        </w:rPr>
        <w:tab/>
        <w:t>slight variations with small beam coverage (directional antenna: SMOS Composite &amp; Hydros) resulting in strong discrimination value (22</w:t>
      </w:r>
      <w:r w:rsidRPr="00073646">
        <w:rPr>
          <w:szCs w:val="24"/>
          <w:lang w:val="en-US"/>
        </w:rPr>
        <w:t> </w:t>
      </w:r>
      <w:r w:rsidRPr="00073646">
        <w:rPr>
          <w:lang w:val="en-US"/>
        </w:rPr>
        <w:t>dB, using an incidence angle of ~35º);</w:t>
      </w:r>
    </w:p>
    <w:p w:rsidR="00073646" w:rsidRPr="00073646" w:rsidRDefault="00073646" w:rsidP="007C691A">
      <w:pPr>
        <w:pStyle w:val="enumlev1"/>
        <w:rPr>
          <w:lang w:val="en-US" w:eastAsia="ja-JP"/>
        </w:rPr>
      </w:pPr>
      <w:r w:rsidRPr="00073646">
        <w:rPr>
          <w:lang w:val="en-US"/>
        </w:rPr>
        <w:t>–</w:t>
      </w:r>
      <w:r w:rsidRPr="00073646">
        <w:rPr>
          <w:lang w:val="en-US"/>
        </w:rPr>
        <w:tab/>
        <w:t>strong variations with large beam coverage (non-directional antenna SMOS Single elements), resulting in lower discrimination value (17</w:t>
      </w:r>
      <w:r w:rsidRPr="00073646">
        <w:rPr>
          <w:szCs w:val="24"/>
          <w:lang w:val="en-US"/>
        </w:rPr>
        <w:t> </w:t>
      </w:r>
      <w:r w:rsidRPr="00073646">
        <w:rPr>
          <w:lang w:val="en-US"/>
        </w:rPr>
        <w:t>dB, assuming an incidence angle ranging from 2º</w:t>
      </w:r>
      <w:r w:rsidR="00065C72">
        <w:rPr>
          <w:lang w:val="en-US"/>
        </w:rPr>
        <w:t> </w:t>
      </w:r>
      <w:r w:rsidR="00D91251">
        <w:rPr>
          <w:lang w:val="en-US"/>
        </w:rPr>
        <w:t xml:space="preserve">to </w:t>
      </w:r>
      <w:r w:rsidR="00241915">
        <w:rPr>
          <w:lang w:val="en-US"/>
        </w:rPr>
        <w:t>48º) (See Table 2</w:t>
      </w:r>
      <w:r w:rsidRPr="00073646">
        <w:rPr>
          <w:lang w:val="en-US"/>
        </w:rPr>
        <w:t>)</w:t>
      </w:r>
      <w:r w:rsidR="007C691A">
        <w:rPr>
          <w:lang w:val="en-US"/>
        </w:rPr>
        <w:t>.</w:t>
      </w:r>
    </w:p>
    <w:p w:rsidR="00073646" w:rsidRPr="00073646" w:rsidRDefault="00073646" w:rsidP="00073646">
      <w:pPr>
        <w:rPr>
          <w:lang w:val="en-US"/>
        </w:rPr>
      </w:pPr>
      <w:r w:rsidRPr="00073646">
        <w:rPr>
          <w:lang w:val="en-US"/>
        </w:rPr>
        <w:t xml:space="preserve">The aggregate interference from UE in a given cell is assumed to correspond, on average, to one </w:t>
      </w:r>
      <w:r w:rsidRPr="00073646">
        <w:rPr>
          <w:lang w:val="en-US" w:eastAsia="ja-JP"/>
        </w:rPr>
        <w:t>UE transmitting at an average output power of 15 dBm (over all resource block (RB))</w:t>
      </w:r>
      <w:r w:rsidRPr="00073646">
        <w:rPr>
          <w:lang w:val="en-US"/>
        </w:rPr>
        <w:t xml:space="preserve"> per base-station sector</w:t>
      </w:r>
      <w:r w:rsidRPr="00073646">
        <w:rPr>
          <w:lang w:val="en-US" w:eastAsia="ja-JP"/>
        </w:rPr>
        <w:t>. This assumption is equivalent to the case in which there would be several UE in a given cell with a low activity factor. With this, the number of UE is considered to be the same as the number of sectors.</w:t>
      </w:r>
    </w:p>
    <w:p w:rsidR="00073646" w:rsidRPr="00C95E2E" w:rsidRDefault="00073646" w:rsidP="00D91251">
      <w:pPr>
        <w:pStyle w:val="Heading3"/>
        <w:rPr>
          <w:lang w:val="en-US"/>
        </w:rPr>
      </w:pPr>
      <w:r w:rsidRPr="00C95E2E">
        <w:rPr>
          <w:lang w:val="en-US"/>
        </w:rPr>
        <w:t>3.1.2</w:t>
      </w:r>
      <w:r w:rsidRPr="00C95E2E">
        <w:rPr>
          <w:lang w:val="en-US"/>
        </w:rPr>
        <w:tab/>
        <w:t>Maximum unwanted emissions limits for user equipment and base-station</w:t>
      </w:r>
    </w:p>
    <w:p w:rsidR="00073646" w:rsidRPr="00073646" w:rsidDel="00EC4E30" w:rsidRDefault="00073646" w:rsidP="00073646">
      <w:pPr>
        <w:rPr>
          <w:lang w:val="en-US"/>
        </w:rPr>
      </w:pPr>
      <w:r w:rsidRPr="00073646" w:rsidDel="00EC4E30">
        <w:rPr>
          <w:lang w:val="en-US"/>
        </w:rPr>
        <w:t xml:space="preserve">The calculations of </w:t>
      </w:r>
      <w:r w:rsidRPr="00073646">
        <w:rPr>
          <w:lang w:val="en-US"/>
        </w:rPr>
        <w:t>unwanted emissions</w:t>
      </w:r>
      <w:r w:rsidRPr="00073646" w:rsidDel="00EC4E30">
        <w:rPr>
          <w:lang w:val="en-US"/>
        </w:rPr>
        <w:t xml:space="preserve"> limits in Report ITU-R SM.2092 were only considering a</w:t>
      </w:r>
      <w:r w:rsidRPr="00073646">
        <w:rPr>
          <w:lang w:val="en-US"/>
        </w:rPr>
        <w:t> </w:t>
      </w:r>
      <w:r w:rsidRPr="00073646" w:rsidDel="00EC4E30">
        <w:rPr>
          <w:lang w:val="en-US"/>
        </w:rPr>
        <w:t xml:space="preserve">deployment of </w:t>
      </w:r>
      <w:r w:rsidRPr="00073646">
        <w:rPr>
          <w:lang w:val="en-US"/>
        </w:rPr>
        <w:t>UE</w:t>
      </w:r>
      <w:r w:rsidRPr="00073646" w:rsidDel="00EC4E30">
        <w:rPr>
          <w:lang w:val="en-US"/>
        </w:rPr>
        <w:t xml:space="preserve"> (i.e. uplink) in Japan (i.e. an area of 377 000 km²).</w:t>
      </w:r>
      <w:r w:rsidRPr="00073646">
        <w:rPr>
          <w:lang w:val="en-US"/>
        </w:rPr>
        <w:t xml:space="preserve"> </w:t>
      </w:r>
      <w:r w:rsidRPr="00073646" w:rsidDel="00EC4E30">
        <w:rPr>
          <w:lang w:val="en-US"/>
        </w:rPr>
        <w:t>At this stage, using the</w:t>
      </w:r>
      <w:r w:rsidRPr="00073646">
        <w:rPr>
          <w:lang w:val="en-US"/>
        </w:rPr>
        <w:t> </w:t>
      </w:r>
      <w:r w:rsidRPr="00073646" w:rsidDel="00EC4E30">
        <w:rPr>
          <w:lang w:val="en-US"/>
        </w:rPr>
        <w:t xml:space="preserve">methodology and assumptions in Report ITU-R SM.2092, it is possible to reassess the compatibility between EESS (passive) sensors and </w:t>
      </w:r>
      <w:r w:rsidRPr="00073646">
        <w:rPr>
          <w:lang w:val="en-US"/>
        </w:rPr>
        <w:t>UE</w:t>
      </w:r>
      <w:r w:rsidRPr="00073646" w:rsidDel="00EC4E30">
        <w:rPr>
          <w:lang w:val="en-US"/>
        </w:rPr>
        <w:t xml:space="preserve"> (</w:t>
      </w:r>
      <w:r w:rsidRPr="00073646">
        <w:rPr>
          <w:lang w:val="en-US" w:eastAsia="ja-JP"/>
        </w:rPr>
        <w:t xml:space="preserve">e.g. </w:t>
      </w:r>
      <w:r w:rsidRPr="00073646" w:rsidDel="00EC4E30">
        <w:rPr>
          <w:lang w:val="en-US"/>
        </w:rPr>
        <w:t>within 1</w:t>
      </w:r>
      <w:r w:rsidRPr="00073646" w:rsidDel="00EC4E30">
        <w:rPr>
          <w:szCs w:val="24"/>
          <w:lang w:val="en-US"/>
        </w:rPr>
        <w:t> </w:t>
      </w:r>
      <w:r w:rsidRPr="00073646" w:rsidDel="00EC4E30">
        <w:rPr>
          <w:lang w:val="en-US"/>
        </w:rPr>
        <w:t>375-1</w:t>
      </w:r>
      <w:r w:rsidRPr="00073646" w:rsidDel="00EC4E30">
        <w:rPr>
          <w:szCs w:val="24"/>
          <w:lang w:val="en-US"/>
        </w:rPr>
        <w:t> </w:t>
      </w:r>
      <w:r w:rsidRPr="00073646" w:rsidDel="00EC4E30">
        <w:rPr>
          <w:lang w:val="en-US"/>
        </w:rPr>
        <w:t>400</w:t>
      </w:r>
      <w:r w:rsidRPr="00073646" w:rsidDel="00EC4E30">
        <w:rPr>
          <w:szCs w:val="24"/>
          <w:lang w:val="en-US"/>
        </w:rPr>
        <w:t> </w:t>
      </w:r>
      <w:r w:rsidRPr="00073646" w:rsidDel="00EC4E30">
        <w:rPr>
          <w:lang w:val="en-US"/>
        </w:rPr>
        <w:t xml:space="preserve">MHz uplink) which </w:t>
      </w:r>
      <w:r w:rsidRPr="00073646" w:rsidDel="00EC4E30">
        <w:rPr>
          <w:lang w:val="en-US"/>
        </w:rPr>
        <w:lastRenderedPageBreak/>
        <w:t xml:space="preserve">unwanted emissions are limited to –60 dBW/27 MHz and also between EESS (passive) sensors and </w:t>
      </w:r>
      <w:r w:rsidRPr="00073646">
        <w:rPr>
          <w:lang w:val="en-US"/>
        </w:rPr>
        <w:t>base</w:t>
      </w:r>
      <w:r w:rsidRPr="00073646">
        <w:rPr>
          <w:lang w:val="en-US"/>
        </w:rPr>
        <w:noBreakHyphen/>
        <w:t>station</w:t>
      </w:r>
      <w:r w:rsidRPr="00073646" w:rsidDel="00EC4E30">
        <w:rPr>
          <w:lang w:val="en-US"/>
        </w:rPr>
        <w:t>s (</w:t>
      </w:r>
      <w:r w:rsidRPr="00073646">
        <w:rPr>
          <w:lang w:val="en-US" w:eastAsia="ja-JP"/>
        </w:rPr>
        <w:t xml:space="preserve">e.g. </w:t>
      </w:r>
      <w:r w:rsidRPr="00073646" w:rsidDel="00EC4E30">
        <w:rPr>
          <w:lang w:val="en-US"/>
        </w:rPr>
        <w:t>within 1</w:t>
      </w:r>
      <w:r w:rsidRPr="00073646" w:rsidDel="00EC4E30">
        <w:rPr>
          <w:szCs w:val="24"/>
          <w:lang w:val="en-US"/>
        </w:rPr>
        <w:t> </w:t>
      </w:r>
      <w:r w:rsidRPr="00073646" w:rsidDel="00EC4E30">
        <w:rPr>
          <w:lang w:val="en-US"/>
        </w:rPr>
        <w:t>427-1</w:t>
      </w:r>
      <w:r w:rsidRPr="00073646" w:rsidDel="00EC4E30">
        <w:rPr>
          <w:szCs w:val="24"/>
          <w:lang w:val="en-US"/>
        </w:rPr>
        <w:t> </w:t>
      </w:r>
      <w:r w:rsidRPr="00073646" w:rsidDel="00EC4E30">
        <w:rPr>
          <w:lang w:val="en-US"/>
        </w:rPr>
        <w:t>452 MHz downlink).</w:t>
      </w:r>
    </w:p>
    <w:p w:rsidR="00073646" w:rsidRPr="00073646" w:rsidDel="00EC4E30" w:rsidRDefault="00073646" w:rsidP="00073646">
      <w:pPr>
        <w:rPr>
          <w:lang w:val="en-US"/>
        </w:rPr>
      </w:pPr>
      <w:r w:rsidRPr="00073646" w:rsidDel="00EC4E30">
        <w:rPr>
          <w:lang w:val="en-US"/>
        </w:rPr>
        <w:t>According to the Report ITU-R SM.2092, single-entry interference level and aggregate interference level formula are given:</w:t>
      </w:r>
    </w:p>
    <w:p w:rsidR="00073646" w:rsidRPr="00073646" w:rsidRDefault="00073646" w:rsidP="00D91251">
      <w:pPr>
        <w:pStyle w:val="Equation"/>
        <w:rPr>
          <w:lang w:val="en-US" w:eastAsia="fr-FR"/>
        </w:rPr>
      </w:pPr>
      <w:r w:rsidRPr="00073646">
        <w:rPr>
          <w:lang w:val="en-US" w:eastAsia="fr-FR"/>
        </w:rPr>
        <w:tab/>
      </w:r>
      <w:r w:rsidRPr="00073646">
        <w:rPr>
          <w:lang w:val="en-US" w:eastAsia="fr-FR"/>
        </w:rPr>
        <w:tab/>
        <w:t>unwanted emissions</w:t>
      </w:r>
      <w:r w:rsidRPr="00073646" w:rsidDel="00EC4E30">
        <w:rPr>
          <w:lang w:val="en-US" w:eastAsia="fr-FR"/>
        </w:rPr>
        <w:t xml:space="preserve"> Interference </w:t>
      </w:r>
      <w:r w:rsidRPr="00F813F6" w:rsidDel="00EC4E30">
        <w:rPr>
          <w:rFonts w:ascii="Symbol" w:hAnsi="Symbol"/>
          <w:lang w:eastAsia="fr-FR"/>
        </w:rPr>
        <w:t></w:t>
      </w:r>
      <w:r w:rsidRPr="00F813F6" w:rsidDel="00EC4E30">
        <w:rPr>
          <w:rFonts w:ascii="Symbol" w:hAnsi="Symbol"/>
          <w:lang w:eastAsia="fr-FR"/>
        </w:rPr>
        <w:t></w:t>
      </w:r>
      <w:r w:rsidRPr="00073646" w:rsidDel="00EC4E30">
        <w:rPr>
          <w:i/>
          <w:iCs/>
          <w:lang w:val="en-US" w:eastAsia="fr-FR"/>
        </w:rPr>
        <w:t>E</w:t>
      </w:r>
      <w:r w:rsidR="00D91251" w:rsidRPr="00D91251">
        <w:rPr>
          <w:i/>
          <w:iCs/>
          <w:vertAlign w:val="subscript"/>
          <w:lang w:val="en-US" w:eastAsia="fr-FR"/>
        </w:rPr>
        <w:t>u</w:t>
      </w:r>
      <w:r w:rsidRPr="00D91251" w:rsidDel="00EC4E30">
        <w:rPr>
          <w:i/>
          <w:iCs/>
          <w:vertAlign w:val="subscript"/>
          <w:lang w:val="en-US" w:eastAsia="fr-FR"/>
        </w:rPr>
        <w:t>nwanted</w:t>
      </w:r>
      <w:r w:rsidR="00241915">
        <w:rPr>
          <w:i/>
          <w:iCs/>
          <w:vertAlign w:val="subscript"/>
          <w:lang w:val="en-US" w:eastAsia="fr-FR"/>
        </w:rPr>
        <w:t xml:space="preserve"> </w:t>
      </w:r>
      <w:r w:rsidRPr="00F813F6" w:rsidDel="00EC4E30">
        <w:rPr>
          <w:rFonts w:ascii="Symbol" w:hAnsi="Symbol"/>
          <w:lang w:eastAsia="fr-FR"/>
        </w:rPr>
        <w:t></w:t>
      </w:r>
      <w:r w:rsidR="00241915">
        <w:rPr>
          <w:rFonts w:ascii="Symbol" w:hAnsi="Symbol"/>
          <w:lang w:eastAsia="fr-FR"/>
        </w:rPr>
        <w:t></w:t>
      </w:r>
      <w:r w:rsidRPr="00073646" w:rsidDel="00EC4E30">
        <w:rPr>
          <w:i/>
          <w:iCs/>
          <w:lang w:val="en-US" w:eastAsia="fr-FR"/>
        </w:rPr>
        <w:t>L</w:t>
      </w:r>
      <w:r w:rsidRPr="00D91251">
        <w:rPr>
          <w:i/>
          <w:iCs/>
          <w:vertAlign w:val="subscript"/>
          <w:lang w:val="en-US" w:eastAsia="fr-FR"/>
        </w:rPr>
        <w:t>free</w:t>
      </w:r>
      <w:r w:rsidRPr="00D91251" w:rsidDel="00EC4E30">
        <w:rPr>
          <w:i/>
          <w:iCs/>
          <w:vertAlign w:val="subscript"/>
          <w:lang w:val="en-US" w:eastAsia="fr-FR"/>
        </w:rPr>
        <w:t xml:space="preserve"> space</w:t>
      </w:r>
      <w:r w:rsidRPr="00073646" w:rsidDel="00EC4E30">
        <w:rPr>
          <w:vertAlign w:val="subscript"/>
          <w:lang w:val="en-US" w:eastAsia="fr-FR"/>
        </w:rPr>
        <w:t xml:space="preserve"> </w:t>
      </w:r>
      <w:r w:rsidRPr="00F813F6" w:rsidDel="00EC4E30">
        <w:rPr>
          <w:rFonts w:ascii="Symbol" w:hAnsi="Symbol"/>
          <w:lang w:eastAsia="fr-FR"/>
        </w:rPr>
        <w:t></w:t>
      </w:r>
      <w:r w:rsidRPr="00073646" w:rsidDel="00EC4E30">
        <w:rPr>
          <w:color w:val="000000"/>
          <w:lang w:val="en-US" w:eastAsia="fr-FR"/>
        </w:rPr>
        <w:t xml:space="preserve"> </w:t>
      </w:r>
      <w:r w:rsidRPr="00073646" w:rsidDel="00EC4E30">
        <w:rPr>
          <w:i/>
          <w:iCs/>
          <w:color w:val="000000"/>
          <w:lang w:val="en-US" w:eastAsia="fr-FR"/>
        </w:rPr>
        <w:t>G</w:t>
      </w:r>
      <w:r w:rsidRPr="00073646" w:rsidDel="00EC4E30">
        <w:rPr>
          <w:i/>
          <w:iCs/>
          <w:color w:val="000000"/>
          <w:vertAlign w:val="subscript"/>
          <w:lang w:val="en-US" w:eastAsia="fr-FR"/>
        </w:rPr>
        <w:t>r</w:t>
      </w:r>
      <w:r w:rsidRPr="00073646">
        <w:rPr>
          <w:lang w:val="en-US" w:eastAsia="fr-FR"/>
        </w:rPr>
        <w:tab/>
        <w:t>(1)</w:t>
      </w:r>
    </w:p>
    <w:p w:rsidR="00073646" w:rsidRPr="00073646" w:rsidDel="00EC4E30" w:rsidRDefault="00073646" w:rsidP="00073646">
      <w:pPr>
        <w:rPr>
          <w:lang w:val="en-US" w:eastAsia="fr-FR"/>
        </w:rPr>
      </w:pPr>
      <w:r w:rsidRPr="00073646" w:rsidDel="00EC4E30">
        <w:rPr>
          <w:lang w:val="en-US" w:eastAsia="fr-FR"/>
        </w:rPr>
        <w:t>where:</w:t>
      </w:r>
    </w:p>
    <w:p w:rsidR="00073646" w:rsidRPr="00F813F6" w:rsidDel="00EC4E30" w:rsidRDefault="00073646" w:rsidP="00073646">
      <w:pPr>
        <w:pStyle w:val="Equationlegend"/>
        <w:rPr>
          <w:lang w:eastAsia="fr-FR"/>
        </w:rPr>
      </w:pPr>
      <w:r w:rsidRPr="00F813F6">
        <w:rPr>
          <w:i/>
          <w:iCs/>
          <w:lang w:eastAsia="fr-FR"/>
        </w:rPr>
        <w:tab/>
      </w:r>
      <w:r w:rsidRPr="00F813F6" w:rsidDel="00EC4E30">
        <w:rPr>
          <w:i/>
          <w:iCs/>
          <w:lang w:eastAsia="fr-FR"/>
        </w:rPr>
        <w:t>E</w:t>
      </w:r>
      <w:r w:rsidRPr="00FA0475" w:rsidDel="00EC4E30">
        <w:rPr>
          <w:i/>
          <w:vertAlign w:val="subscript"/>
          <w:lang w:eastAsia="fr-FR"/>
        </w:rPr>
        <w:t>unwanted</w:t>
      </w:r>
      <w:r w:rsidRPr="00F813F6" w:rsidDel="00EC4E30">
        <w:rPr>
          <w:lang w:eastAsia="fr-FR"/>
        </w:rPr>
        <w:t xml:space="preserve">: </w:t>
      </w:r>
      <w:r w:rsidRPr="00F813F6">
        <w:rPr>
          <w:lang w:eastAsia="fr-FR"/>
        </w:rPr>
        <w:tab/>
      </w:r>
      <w:r w:rsidRPr="00F813F6" w:rsidDel="00EC4E30">
        <w:rPr>
          <w:lang w:eastAsia="fr-FR"/>
        </w:rPr>
        <w:t>e.i.r.p. density (dB(W/27</w:t>
      </w:r>
      <w:r w:rsidRPr="00F813F6" w:rsidDel="00EC4E30">
        <w:rPr>
          <w:szCs w:val="24"/>
        </w:rPr>
        <w:t> </w:t>
      </w:r>
      <w:r w:rsidRPr="00F813F6" w:rsidDel="00EC4E30">
        <w:rPr>
          <w:lang w:eastAsia="fr-FR"/>
        </w:rPr>
        <w:t>MHz)) of mobile unwanted emissions integrated over 1</w:t>
      </w:r>
      <w:r w:rsidRPr="00F813F6" w:rsidDel="00EC4E30">
        <w:rPr>
          <w:szCs w:val="24"/>
        </w:rPr>
        <w:t> </w:t>
      </w:r>
      <w:r w:rsidRPr="00F813F6" w:rsidDel="00EC4E30">
        <w:rPr>
          <w:lang w:eastAsia="fr-FR"/>
        </w:rPr>
        <w:t>400-1</w:t>
      </w:r>
      <w:r w:rsidRPr="00F813F6" w:rsidDel="00EC4E30">
        <w:rPr>
          <w:szCs w:val="24"/>
        </w:rPr>
        <w:t> </w:t>
      </w:r>
      <w:r w:rsidRPr="00F813F6" w:rsidDel="00EC4E30">
        <w:rPr>
          <w:lang w:eastAsia="fr-FR"/>
        </w:rPr>
        <w:t>427</w:t>
      </w:r>
      <w:r w:rsidRPr="00F813F6" w:rsidDel="00EC4E30">
        <w:rPr>
          <w:szCs w:val="24"/>
        </w:rPr>
        <w:t> </w:t>
      </w:r>
      <w:r>
        <w:rPr>
          <w:lang w:eastAsia="fr-FR"/>
        </w:rPr>
        <w:t>MHz</w:t>
      </w:r>
    </w:p>
    <w:p w:rsidR="00073646" w:rsidRPr="00F813F6" w:rsidDel="00EC4E30" w:rsidRDefault="00073646" w:rsidP="00073646">
      <w:pPr>
        <w:pStyle w:val="Equationlegend"/>
        <w:rPr>
          <w:rFonts w:cs="Arial"/>
          <w:szCs w:val="22"/>
          <w:lang w:eastAsia="fr-FR"/>
        </w:rPr>
      </w:pPr>
      <w:r w:rsidRPr="00F813F6">
        <w:rPr>
          <w:rFonts w:cs="Arial"/>
          <w:i/>
          <w:iCs/>
          <w:szCs w:val="22"/>
          <w:lang w:eastAsia="fr-FR"/>
        </w:rPr>
        <w:tab/>
      </w:r>
      <w:r w:rsidRPr="00F813F6" w:rsidDel="00EC4E30">
        <w:rPr>
          <w:rFonts w:cs="Arial"/>
          <w:i/>
          <w:iCs/>
          <w:szCs w:val="22"/>
          <w:lang w:eastAsia="fr-FR"/>
        </w:rPr>
        <w:t>L</w:t>
      </w:r>
      <w:r w:rsidRPr="00FA0475" w:rsidDel="00EC4E30">
        <w:rPr>
          <w:rFonts w:cs="Arial"/>
          <w:i/>
          <w:szCs w:val="22"/>
          <w:vertAlign w:val="subscript"/>
          <w:lang w:eastAsia="fr-FR"/>
        </w:rPr>
        <w:t>free space</w:t>
      </w:r>
      <w:r w:rsidRPr="00F813F6" w:rsidDel="00EC4E30">
        <w:rPr>
          <w:rFonts w:cs="Arial"/>
          <w:szCs w:val="22"/>
          <w:lang w:eastAsia="fr-FR"/>
        </w:rPr>
        <w:t xml:space="preserve">: </w:t>
      </w:r>
      <w:r w:rsidRPr="00F813F6">
        <w:rPr>
          <w:rFonts w:cs="Arial"/>
          <w:szCs w:val="22"/>
          <w:lang w:eastAsia="fr-FR"/>
        </w:rPr>
        <w:tab/>
      </w:r>
      <w:r w:rsidRPr="00F813F6" w:rsidDel="00EC4E30">
        <w:rPr>
          <w:rFonts w:cs="Arial"/>
          <w:szCs w:val="22"/>
          <w:lang w:eastAsia="fr-FR"/>
        </w:rPr>
        <w:t>free space loss to passive sensor (dB)</w:t>
      </w:r>
    </w:p>
    <w:p w:rsidR="00073646" w:rsidRPr="00F813F6" w:rsidDel="00EC4E30" w:rsidRDefault="00073646" w:rsidP="00073646">
      <w:pPr>
        <w:pStyle w:val="Equationlegend"/>
        <w:rPr>
          <w:rFonts w:cs="Arial"/>
          <w:szCs w:val="22"/>
          <w:lang w:eastAsia="fr-FR"/>
        </w:rPr>
      </w:pPr>
      <w:r w:rsidRPr="00F813F6">
        <w:rPr>
          <w:rFonts w:cs="Arial"/>
          <w:i/>
          <w:iCs/>
          <w:szCs w:val="22"/>
          <w:lang w:eastAsia="fr-FR"/>
        </w:rPr>
        <w:tab/>
        <w:t>G</w:t>
      </w:r>
      <w:r w:rsidRPr="003852CB">
        <w:rPr>
          <w:rFonts w:cs="Arial"/>
          <w:i/>
          <w:iCs/>
          <w:szCs w:val="22"/>
          <w:vertAlign w:val="subscript"/>
          <w:lang w:eastAsia="fr-FR"/>
        </w:rPr>
        <w:t>r</w:t>
      </w:r>
      <w:r w:rsidRPr="00F813F6">
        <w:rPr>
          <w:rFonts w:cs="Arial"/>
          <w:i/>
          <w:iCs/>
          <w:szCs w:val="22"/>
          <w:lang w:eastAsia="fr-FR"/>
        </w:rPr>
        <w:t>:</w:t>
      </w:r>
      <w:r w:rsidRPr="00F813F6">
        <w:rPr>
          <w:rFonts w:cs="Arial"/>
          <w:i/>
          <w:iCs/>
          <w:szCs w:val="22"/>
          <w:lang w:eastAsia="fr-FR"/>
        </w:rPr>
        <w:tab/>
      </w:r>
      <w:r w:rsidRPr="00F813F6">
        <w:rPr>
          <w:lang w:eastAsia="fr-FR"/>
        </w:rPr>
        <w:t>EESS</w:t>
      </w:r>
      <w:r w:rsidRPr="00F813F6">
        <w:rPr>
          <w:rFonts w:cs="Arial"/>
          <w:iCs/>
          <w:szCs w:val="22"/>
          <w:lang w:eastAsia="fr-FR"/>
        </w:rPr>
        <w:t xml:space="preserve"> receiving antenna gain (dBi).</w:t>
      </w:r>
    </w:p>
    <w:p w:rsidR="00073646" w:rsidRPr="00073646" w:rsidRDefault="00073646" w:rsidP="00073646">
      <w:pPr>
        <w:rPr>
          <w:szCs w:val="22"/>
          <w:lang w:val="en-US"/>
        </w:rPr>
      </w:pPr>
      <w:r w:rsidRPr="00073646" w:rsidDel="00EC4E30">
        <w:rPr>
          <w:lang w:val="en-US" w:eastAsia="fr-FR"/>
        </w:rPr>
        <w:t>The aggregate interference level is calculated while considering the average number of devices (</w:t>
      </w:r>
      <w:r w:rsidRPr="00073646">
        <w:rPr>
          <w:lang w:val="en-US" w:eastAsia="fr-FR"/>
        </w:rPr>
        <w:t>UE</w:t>
      </w:r>
      <w:r w:rsidRPr="00073646" w:rsidDel="00EC4E30">
        <w:rPr>
          <w:lang w:val="en-US" w:eastAsia="fr-FR"/>
        </w:rPr>
        <w:t>/</w:t>
      </w:r>
      <w:r w:rsidRPr="00073646">
        <w:rPr>
          <w:lang w:val="en-US" w:eastAsia="fr-FR"/>
        </w:rPr>
        <w:t>base-station</w:t>
      </w:r>
      <w:r w:rsidRPr="00073646" w:rsidDel="00EC4E30">
        <w:rPr>
          <w:lang w:val="en-US" w:eastAsia="fr-FR"/>
        </w:rPr>
        <w:t>s) (</w:t>
      </w:r>
      <w:r w:rsidRPr="00073646" w:rsidDel="00EC4E30">
        <w:rPr>
          <w:i/>
          <w:iCs/>
          <w:lang w:val="en-US" w:eastAsia="fr-FR"/>
        </w:rPr>
        <w:t>N</w:t>
      </w:r>
      <w:r w:rsidRPr="00073646" w:rsidDel="00EC4E30">
        <w:rPr>
          <w:vertAlign w:val="subscript"/>
          <w:lang w:val="en-US" w:eastAsia="fr-FR"/>
        </w:rPr>
        <w:t>m</w:t>
      </w:r>
      <w:r w:rsidRPr="00073646" w:rsidDel="00EC4E30">
        <w:rPr>
          <w:lang w:val="en-US" w:eastAsia="fr-FR"/>
        </w:rPr>
        <w:t>) within –3</w:t>
      </w:r>
      <w:r w:rsidRPr="00073646" w:rsidDel="00EC4E30">
        <w:rPr>
          <w:szCs w:val="24"/>
          <w:lang w:val="en-US"/>
        </w:rPr>
        <w:t> </w:t>
      </w:r>
      <w:r w:rsidRPr="00073646" w:rsidDel="00EC4E30">
        <w:rPr>
          <w:lang w:val="en-US" w:eastAsia="fr-FR"/>
        </w:rPr>
        <w:t>dB contour of the sensor main beam.</w:t>
      </w:r>
      <w:r w:rsidRPr="00073646">
        <w:rPr>
          <w:lang w:val="en-US" w:eastAsia="fr-FR"/>
        </w:rPr>
        <w:t xml:space="preserve"> </w:t>
      </w:r>
      <w:r w:rsidRPr="00073646">
        <w:rPr>
          <w:szCs w:val="22"/>
          <w:lang w:val="en-US"/>
        </w:rPr>
        <w:t>The following Tables 3 and 4 provide the detailed calculations for the</w:t>
      </w:r>
      <w:r w:rsidRPr="00073646">
        <w:rPr>
          <w:szCs w:val="22"/>
          <w:lang w:val="en-US" w:eastAsia="ja-JP"/>
        </w:rPr>
        <w:t xml:space="preserve"> UE</w:t>
      </w:r>
      <w:r w:rsidRPr="00073646">
        <w:rPr>
          <w:szCs w:val="22"/>
          <w:lang w:val="en-US"/>
        </w:rPr>
        <w:t xml:space="preserve"> and base-stations cases respectively.</w:t>
      </w:r>
    </w:p>
    <w:p w:rsidR="00073646" w:rsidRPr="00073646" w:rsidRDefault="00073646" w:rsidP="00073646">
      <w:pPr>
        <w:pStyle w:val="TableNo"/>
        <w:rPr>
          <w:lang w:val="en-US"/>
        </w:rPr>
      </w:pPr>
      <w:r w:rsidRPr="00073646">
        <w:rPr>
          <w:lang w:val="en-US"/>
        </w:rPr>
        <w:t>TABLE 3</w:t>
      </w:r>
    </w:p>
    <w:p w:rsidR="00073646" w:rsidRPr="00073646" w:rsidRDefault="00073646" w:rsidP="00073646">
      <w:pPr>
        <w:pStyle w:val="Tabletitle"/>
        <w:rPr>
          <w:lang w:val="en-US"/>
        </w:rPr>
      </w:pPr>
      <w:r w:rsidRPr="00073646">
        <w:rPr>
          <w:lang w:val="en-US"/>
        </w:rPr>
        <w:t xml:space="preserve">Detailed derivation of the unwanted emissions limits for UE required </w:t>
      </w:r>
      <w:r w:rsidR="00B50E5B">
        <w:rPr>
          <w:lang w:val="en-US"/>
        </w:rPr>
        <w:br/>
      </w:r>
      <w:r w:rsidRPr="00073646">
        <w:rPr>
          <w:lang w:val="en-US"/>
        </w:rPr>
        <w:t>for different satellite systems</w:t>
      </w:r>
    </w:p>
    <w:tbl>
      <w:tblPr>
        <w:tblW w:w="9639" w:type="dxa"/>
        <w:jc w:val="center"/>
        <w:tblLayout w:type="fixed"/>
        <w:tblLook w:val="04A0" w:firstRow="1" w:lastRow="0" w:firstColumn="1" w:lastColumn="0" w:noHBand="0" w:noVBand="1"/>
      </w:tblPr>
      <w:tblGrid>
        <w:gridCol w:w="3856"/>
        <w:gridCol w:w="1606"/>
        <w:gridCol w:w="1124"/>
        <w:gridCol w:w="1446"/>
        <w:gridCol w:w="1607"/>
      </w:tblGrid>
      <w:tr w:rsidR="00073646" w:rsidRPr="00F813F6" w:rsidTr="00E91107">
        <w:trPr>
          <w:trHeight w:val="510"/>
          <w:tblHeader/>
          <w:jc w:val="center"/>
        </w:trPr>
        <w:tc>
          <w:tcPr>
            <w:tcW w:w="3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46" w:rsidRPr="00F813F6" w:rsidRDefault="00073646" w:rsidP="00560FC1">
            <w:pPr>
              <w:pStyle w:val="Tablehead"/>
              <w:keepLines/>
              <w:rPr>
                <w:lang w:eastAsia="fr-FR"/>
              </w:rPr>
            </w:pPr>
            <w:r w:rsidRPr="00F813F6">
              <w:rPr>
                <w:lang w:eastAsia="fr-FR"/>
              </w:rPr>
              <w:t>Mobile Terminals scenario</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keepLines/>
              <w:rPr>
                <w:lang w:eastAsia="fr-FR"/>
              </w:rPr>
            </w:pPr>
            <w:r w:rsidRPr="00F813F6">
              <w:rPr>
                <w:lang w:eastAsia="fr-FR"/>
              </w:rPr>
              <w:t>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keepLines/>
              <w:rPr>
                <w:lang w:eastAsia="fr-FR"/>
              </w:rPr>
            </w:pPr>
            <w:r w:rsidRPr="00F813F6">
              <w:rPr>
                <w:lang w:eastAsia="fr-FR"/>
              </w:rPr>
              <w:t>SMOS Single</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keepLines/>
              <w:rPr>
                <w:lang w:eastAsia="fr-FR"/>
              </w:rPr>
            </w:pPr>
            <w:r w:rsidRPr="00F813F6">
              <w:rPr>
                <w:lang w:eastAsia="fr-FR"/>
              </w:rPr>
              <w:t>SMOS Composite</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keepLines/>
              <w:rPr>
                <w:lang w:eastAsia="fr-FR"/>
              </w:rPr>
            </w:pPr>
            <w:r w:rsidRPr="00F813F6">
              <w:rPr>
                <w:lang w:eastAsia="fr-FR"/>
              </w:rPr>
              <w:t>HYDROS</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lang w:val="en-US" w:eastAsia="fr-FR"/>
              </w:rPr>
            </w:pPr>
            <w:r w:rsidRPr="00073646">
              <w:rPr>
                <w:lang w:val="en-US" w:eastAsia="fr-FR"/>
              </w:rPr>
              <w:t>Free Space losses (at 1</w:t>
            </w:r>
            <w:r w:rsidRPr="00073646">
              <w:rPr>
                <w:lang w:val="en-US"/>
              </w:rPr>
              <w:t> </w:t>
            </w:r>
            <w:r w:rsidRPr="00073646">
              <w:rPr>
                <w:lang w:val="en-US" w:eastAsia="fr-FR"/>
              </w:rPr>
              <w:t>413.5</w:t>
            </w:r>
            <w:r w:rsidRPr="00073646">
              <w:rPr>
                <w:lang w:val="en-US"/>
              </w:rPr>
              <w:t> </w:t>
            </w:r>
            <w:r w:rsidRPr="00073646">
              <w:rPr>
                <w:lang w:val="en-US" w:eastAsia="fr-FR"/>
              </w:rPr>
              <w:t>MHz)</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dBi</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154.59</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154.59</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154.01</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lang w:val="en-US" w:eastAsia="fr-FR"/>
              </w:rPr>
            </w:pPr>
            <w:r w:rsidRPr="00073646">
              <w:rPr>
                <w:lang w:val="en-US" w:eastAsia="fr-FR"/>
              </w:rPr>
              <w:t>EESS main beam cover area</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km²</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2 638 745</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8 300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1 402</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E91107">
            <w:pPr>
              <w:pStyle w:val="Tabletext"/>
              <w:rPr>
                <w:lang w:eastAsia="fr-FR"/>
              </w:rPr>
            </w:pPr>
            <w:r w:rsidRPr="00F813F6">
              <w:rPr>
                <w:lang w:eastAsia="fr-FR"/>
              </w:rPr>
              <w:t>EESS Receiving antenna gain</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dBi</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9</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24</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35</w:t>
            </w:r>
          </w:p>
        </w:tc>
      </w:tr>
      <w:tr w:rsidR="00073646" w:rsidRPr="00F813F6" w:rsidTr="00E91107">
        <w:trPr>
          <w:trHeight w:val="51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lang w:val="en-US" w:eastAsia="ja-JP"/>
              </w:rPr>
            </w:pPr>
            <w:r w:rsidRPr="00073646">
              <w:rPr>
                <w:lang w:val="en-US" w:eastAsia="fr-FR"/>
              </w:rPr>
              <w:t>Total number of equivalent full power terminals in the main beam cover</w:t>
            </w:r>
          </w:p>
        </w:tc>
        <w:tc>
          <w:tcPr>
            <w:tcW w:w="1606" w:type="dxa"/>
            <w:tcBorders>
              <w:top w:val="nil"/>
              <w:left w:val="nil"/>
              <w:bottom w:val="single" w:sz="4" w:space="0" w:color="auto"/>
              <w:right w:val="single" w:sz="4" w:space="0" w:color="auto"/>
            </w:tcBorders>
            <w:shd w:val="clear" w:color="auto" w:fill="auto"/>
            <w:vAlign w:val="center"/>
            <w:hideMark/>
          </w:tcPr>
          <w:p w:rsidR="00073646" w:rsidRPr="00073646" w:rsidRDefault="00073646" w:rsidP="00E91107">
            <w:pPr>
              <w:pStyle w:val="Tabletext"/>
              <w:jc w:val="center"/>
              <w:rPr>
                <w:lang w:val="en-US" w:eastAsia="fr-FR"/>
              </w:rPr>
            </w:pP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50 000</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2 000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330</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lang w:val="en-US" w:eastAsia="fr-FR"/>
              </w:rPr>
            </w:pPr>
            <w:r w:rsidRPr="00073646">
              <w:rPr>
                <w:lang w:val="en-US" w:eastAsia="fr-FR"/>
              </w:rPr>
              <w:t>Outdoor UE in visibility (P1)</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lang w:val="en-US" w:eastAsia="fr-FR"/>
              </w:rPr>
            </w:pPr>
            <w:r w:rsidRPr="00073646">
              <w:rPr>
                <w:lang w:val="en-US" w:eastAsia="fr-FR"/>
              </w:rPr>
              <w:t>Outdoor UE with blocking (P2)</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20</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20</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E91107">
            <w:pPr>
              <w:pStyle w:val="Tabletext"/>
              <w:rPr>
                <w:lang w:eastAsia="fr-FR"/>
              </w:rPr>
            </w:pPr>
            <w:r w:rsidRPr="00F813F6">
              <w:rPr>
                <w:lang w:eastAsia="fr-FR"/>
              </w:rPr>
              <w:t>Indoor UE (P3)</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70</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70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70</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E91107">
            <w:pPr>
              <w:pStyle w:val="Tabletext"/>
              <w:rPr>
                <w:lang w:eastAsia="fr-FR"/>
              </w:rPr>
            </w:pPr>
            <w:r w:rsidRPr="00F813F6">
              <w:rPr>
                <w:lang w:eastAsia="fr-FR"/>
              </w:rPr>
              <w:t>Indoor/outdoor attenuation (A3)</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12</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12</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12</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E91107">
            <w:pPr>
              <w:pStyle w:val="Tabletext"/>
              <w:rPr>
                <w:lang w:eastAsia="fr-FR"/>
              </w:rPr>
            </w:pPr>
            <w:r w:rsidRPr="00F813F6">
              <w:rPr>
                <w:lang w:eastAsia="fr-FR"/>
              </w:rPr>
              <w:t>Blocking attenuation (A2)</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10</w:t>
            </w:r>
          </w:p>
        </w:tc>
      </w:tr>
      <w:tr w:rsidR="00073646" w:rsidRPr="00F813F6" w:rsidTr="00550061">
        <w:trPr>
          <w:trHeight w:val="30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550061">
            <w:pPr>
              <w:pStyle w:val="Tabletext"/>
              <w:jc w:val="left"/>
              <w:rPr>
                <w:lang w:val="en-US" w:eastAsia="fr-FR"/>
              </w:rPr>
            </w:pPr>
            <w:r w:rsidRPr="00073646">
              <w:rPr>
                <w:lang w:val="en-US" w:eastAsia="fr-FR"/>
              </w:rPr>
              <w:t>Nb of Equivalent visibility outdoor terminals</w:t>
            </w:r>
            <w:r w:rsidRPr="00463E4C">
              <w:rPr>
                <w:rStyle w:val="FootnoteReference"/>
                <w:sz w:val="16"/>
                <w:szCs w:val="16"/>
              </w:rPr>
              <w:footnoteReference w:id="2"/>
            </w:r>
          </w:p>
        </w:tc>
        <w:tc>
          <w:tcPr>
            <w:tcW w:w="1606" w:type="dxa"/>
            <w:tcBorders>
              <w:top w:val="nil"/>
              <w:left w:val="nil"/>
              <w:bottom w:val="single" w:sz="4" w:space="0" w:color="auto"/>
              <w:right w:val="single" w:sz="4" w:space="0" w:color="auto"/>
            </w:tcBorders>
            <w:shd w:val="clear" w:color="auto" w:fill="auto"/>
            <w:vAlign w:val="center"/>
            <w:hideMark/>
          </w:tcPr>
          <w:p w:rsidR="00073646" w:rsidRPr="00073646" w:rsidRDefault="00073646" w:rsidP="00E91107">
            <w:pPr>
              <w:pStyle w:val="Tabletext"/>
              <w:jc w:val="center"/>
              <w:rPr>
                <w:lang w:val="en-US" w:eastAsia="fr-FR"/>
              </w:rPr>
            </w:pP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8 208.4</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328.3</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54.2</w:t>
            </w:r>
          </w:p>
        </w:tc>
      </w:tr>
      <w:tr w:rsidR="00073646" w:rsidRPr="00F813F6" w:rsidTr="00E91107">
        <w:trPr>
          <w:trHeight w:val="51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E91107">
            <w:pPr>
              <w:pStyle w:val="Tabletext"/>
              <w:rPr>
                <w:lang w:eastAsia="fr-FR"/>
              </w:rPr>
            </w:pPr>
            <w:r w:rsidRPr="00F813F6">
              <w:rPr>
                <w:lang w:eastAsia="fr-FR"/>
              </w:rPr>
              <w:t>UE antenna gain</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dBi</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–3</w:t>
            </w:r>
          </w:p>
        </w:tc>
      </w:tr>
      <w:tr w:rsidR="00073646" w:rsidRPr="00F813F6" w:rsidTr="00E91107">
        <w:trPr>
          <w:trHeight w:val="300"/>
          <w:jc w:val="center"/>
        </w:trPr>
        <w:tc>
          <w:tcPr>
            <w:tcW w:w="3856"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E91107">
            <w:pPr>
              <w:pStyle w:val="Tabletext"/>
              <w:rPr>
                <w:b/>
                <w:lang w:val="en-US" w:eastAsia="fr-FR"/>
              </w:rPr>
            </w:pPr>
            <w:r w:rsidRPr="00073646">
              <w:rPr>
                <w:lang w:val="en-US" w:eastAsia="fr-FR"/>
              </w:rPr>
              <w:t>Effect of human body absorption</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dB</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–4</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–4</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fr-FR"/>
              </w:rPr>
              <w:t>–4</w:t>
            </w:r>
          </w:p>
        </w:tc>
      </w:tr>
      <w:tr w:rsidR="00073646" w:rsidRPr="00F813F6" w:rsidTr="00E91107">
        <w:trPr>
          <w:trHeight w:val="51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E91107">
            <w:pPr>
              <w:pStyle w:val="Tabletext"/>
              <w:jc w:val="left"/>
              <w:rPr>
                <w:b/>
                <w:lang w:val="en-US" w:eastAsia="fr-FR"/>
              </w:rPr>
            </w:pPr>
            <w:r w:rsidRPr="00073646">
              <w:rPr>
                <w:b/>
                <w:lang w:val="en-US" w:eastAsia="zh-CN"/>
              </w:rPr>
              <w:t xml:space="preserve">Interference level for a </w:t>
            </w:r>
            <w:r w:rsidRPr="00073646">
              <w:rPr>
                <w:b/>
                <w:lang w:val="en-US" w:eastAsia="zh-CN"/>
              </w:rPr>
              <w:br/>
              <w:t>–60 dBW/27 MHz unwanted emissions</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b/>
                <w:lang w:eastAsia="fr-FR"/>
              </w:rPr>
            </w:pPr>
            <w:r w:rsidRPr="00F813F6">
              <w:rPr>
                <w:b/>
                <w:lang w:eastAsia="zh-CN"/>
              </w:rPr>
              <w:t>dBW/27 MHz</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b/>
                <w:lang w:eastAsia="fr-FR"/>
              </w:rPr>
            </w:pPr>
            <w:r w:rsidRPr="00F813F6">
              <w:rPr>
                <w:b/>
                <w:lang w:eastAsia="zh-CN"/>
              </w:rPr>
              <w:t>–173.4</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b/>
                <w:lang w:eastAsia="fr-FR"/>
              </w:rPr>
            </w:pPr>
            <w:r w:rsidRPr="00F813F6">
              <w:rPr>
                <w:b/>
                <w:lang w:eastAsia="zh-CN"/>
              </w:rPr>
              <w:t>–172.4</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b/>
                <w:lang w:eastAsia="fr-FR"/>
              </w:rPr>
            </w:pPr>
            <w:r w:rsidRPr="00F813F6">
              <w:rPr>
                <w:b/>
                <w:lang w:eastAsia="zh-CN"/>
              </w:rPr>
              <w:t>–168.7</w:t>
            </w:r>
          </w:p>
        </w:tc>
      </w:tr>
      <w:tr w:rsidR="00073646" w:rsidRPr="00F813F6" w:rsidTr="00E91107">
        <w:trPr>
          <w:trHeight w:val="51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E91107">
            <w:pPr>
              <w:pStyle w:val="Tabletext"/>
              <w:rPr>
                <w:lang w:val="en-US" w:eastAsia="fr-FR"/>
              </w:rPr>
            </w:pPr>
            <w:r w:rsidRPr="00073646">
              <w:rPr>
                <w:lang w:val="en-US" w:eastAsia="zh-CN"/>
              </w:rPr>
              <w:t>Maximum interference level (2 Mobile bands)</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dBW/27 MHz</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–176</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–176</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–176</w:t>
            </w:r>
          </w:p>
        </w:tc>
      </w:tr>
      <w:tr w:rsidR="00073646" w:rsidRPr="00F813F6" w:rsidTr="00550061">
        <w:trPr>
          <w:trHeight w:val="30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550061">
            <w:pPr>
              <w:pStyle w:val="Tabletext"/>
              <w:jc w:val="left"/>
              <w:rPr>
                <w:lang w:val="en-US" w:eastAsia="fr-FR"/>
              </w:rPr>
            </w:pPr>
            <w:r w:rsidRPr="00073646">
              <w:rPr>
                <w:lang w:val="en-US" w:eastAsia="zh-CN"/>
              </w:rPr>
              <w:t>Maximum unwanted emissions per terminal (2 adjacent mobile allocations)</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dBW/27 MHz</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–62.6</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–63.6</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–67.3</w:t>
            </w:r>
          </w:p>
        </w:tc>
      </w:tr>
    </w:tbl>
    <w:p w:rsidR="00E91107" w:rsidRPr="00073646" w:rsidRDefault="00E91107" w:rsidP="00E91107">
      <w:pPr>
        <w:pStyle w:val="TableNo"/>
        <w:rPr>
          <w:lang w:val="en-US"/>
        </w:rPr>
      </w:pPr>
      <w:r w:rsidRPr="00073646">
        <w:rPr>
          <w:lang w:val="en-US"/>
        </w:rPr>
        <w:lastRenderedPageBreak/>
        <w:t>TABLE 3</w:t>
      </w:r>
      <w:r>
        <w:rPr>
          <w:lang w:val="en-US"/>
        </w:rPr>
        <w:t xml:space="preserve"> (</w:t>
      </w:r>
      <w:r w:rsidRPr="00E91107">
        <w:rPr>
          <w:i/>
          <w:iCs/>
          <w:lang w:val="en-US"/>
        </w:rPr>
        <w:t>end</w:t>
      </w:r>
      <w:r>
        <w:rPr>
          <w:lang w:val="en-US"/>
        </w:rPr>
        <w:t>)</w:t>
      </w:r>
    </w:p>
    <w:tbl>
      <w:tblPr>
        <w:tblW w:w="9639" w:type="dxa"/>
        <w:jc w:val="center"/>
        <w:tblLayout w:type="fixed"/>
        <w:tblLook w:val="04A0" w:firstRow="1" w:lastRow="0" w:firstColumn="1" w:lastColumn="0" w:noHBand="0" w:noVBand="1"/>
      </w:tblPr>
      <w:tblGrid>
        <w:gridCol w:w="3856"/>
        <w:gridCol w:w="1606"/>
        <w:gridCol w:w="1124"/>
        <w:gridCol w:w="1446"/>
        <w:gridCol w:w="1607"/>
      </w:tblGrid>
      <w:tr w:rsidR="00E91107" w:rsidRPr="00F813F6" w:rsidTr="00E91107">
        <w:trPr>
          <w:trHeight w:val="510"/>
          <w:jc w:val="center"/>
        </w:trPr>
        <w:tc>
          <w:tcPr>
            <w:tcW w:w="3856" w:type="dxa"/>
            <w:tcBorders>
              <w:top w:val="single" w:sz="4" w:space="0" w:color="auto"/>
              <w:left w:val="single" w:sz="4" w:space="0" w:color="auto"/>
              <w:bottom w:val="single" w:sz="4" w:space="0" w:color="auto"/>
              <w:right w:val="single" w:sz="4" w:space="0" w:color="auto"/>
            </w:tcBorders>
            <w:shd w:val="clear" w:color="auto" w:fill="auto"/>
            <w:hideMark/>
          </w:tcPr>
          <w:p w:rsidR="00E91107" w:rsidRPr="00E91107" w:rsidRDefault="00E91107" w:rsidP="00E91107">
            <w:pPr>
              <w:pStyle w:val="Tablehead"/>
              <w:rPr>
                <w:lang w:val="en-US" w:eastAsia="zh-CN"/>
              </w:rPr>
            </w:pPr>
            <w:r w:rsidRPr="00E91107">
              <w:rPr>
                <w:lang w:val="en-US" w:eastAsia="zh-CN"/>
              </w:rPr>
              <w:t>Mobile Terminals scenario</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E91107" w:rsidRPr="00F813F6" w:rsidRDefault="00E91107" w:rsidP="00E91107">
            <w:pPr>
              <w:pStyle w:val="Tablehead"/>
              <w:rPr>
                <w:lang w:eastAsia="zh-CN"/>
              </w:rPr>
            </w:pPr>
            <w:r w:rsidRPr="00F813F6">
              <w:rPr>
                <w:lang w:eastAsia="zh-CN"/>
              </w:rPr>
              <w:t>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E91107" w:rsidRPr="00F813F6" w:rsidRDefault="00E91107" w:rsidP="00E91107">
            <w:pPr>
              <w:pStyle w:val="Tablehead"/>
              <w:rPr>
                <w:lang w:eastAsia="zh-CN"/>
              </w:rPr>
            </w:pPr>
            <w:r w:rsidRPr="00F813F6">
              <w:rPr>
                <w:lang w:eastAsia="zh-CN"/>
              </w:rPr>
              <w:t>SMOS Single</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E91107" w:rsidRPr="00F813F6" w:rsidRDefault="00E91107" w:rsidP="00E91107">
            <w:pPr>
              <w:pStyle w:val="Tablehead"/>
              <w:rPr>
                <w:lang w:eastAsia="zh-CN"/>
              </w:rPr>
            </w:pPr>
            <w:r w:rsidRPr="00F813F6">
              <w:rPr>
                <w:lang w:eastAsia="zh-CN"/>
              </w:rPr>
              <w:t>SMOS Composite</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E91107" w:rsidRPr="00F813F6" w:rsidRDefault="00E91107" w:rsidP="00E91107">
            <w:pPr>
              <w:pStyle w:val="Tablehead"/>
              <w:rPr>
                <w:lang w:eastAsia="zh-CN"/>
              </w:rPr>
            </w:pPr>
            <w:r w:rsidRPr="00F813F6">
              <w:rPr>
                <w:lang w:eastAsia="zh-CN"/>
              </w:rPr>
              <w:t>HYDROS</w:t>
            </w:r>
          </w:p>
        </w:tc>
      </w:tr>
      <w:tr w:rsidR="00073646" w:rsidRPr="00F813F6" w:rsidTr="00E91107">
        <w:trPr>
          <w:trHeight w:val="51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E91107">
            <w:pPr>
              <w:pStyle w:val="Tabletext"/>
              <w:rPr>
                <w:lang w:val="en-US" w:eastAsia="fr-FR"/>
              </w:rPr>
            </w:pPr>
            <w:r w:rsidRPr="00073646">
              <w:rPr>
                <w:lang w:val="en-US" w:eastAsia="zh-CN"/>
              </w:rPr>
              <w:t>Maximum interference level (1 Mobile band)</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dBW/27 MHz</w:t>
            </w:r>
          </w:p>
        </w:tc>
        <w:tc>
          <w:tcPr>
            <w:tcW w:w="1124"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–177</w:t>
            </w:r>
          </w:p>
        </w:tc>
        <w:tc>
          <w:tcPr>
            <w:tcW w:w="144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–177</w:t>
            </w:r>
          </w:p>
        </w:tc>
        <w:tc>
          <w:tcPr>
            <w:tcW w:w="160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–177</w:t>
            </w:r>
          </w:p>
        </w:tc>
      </w:tr>
      <w:tr w:rsidR="00073646" w:rsidRPr="00F813F6" w:rsidTr="00550061">
        <w:trPr>
          <w:trHeight w:val="510"/>
          <w:jc w:val="center"/>
        </w:trPr>
        <w:tc>
          <w:tcPr>
            <w:tcW w:w="3856"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550061">
            <w:pPr>
              <w:pStyle w:val="Tabletext"/>
              <w:jc w:val="left"/>
              <w:rPr>
                <w:lang w:val="en-US" w:eastAsia="fr-FR"/>
              </w:rPr>
            </w:pPr>
            <w:r w:rsidRPr="00073646">
              <w:rPr>
                <w:lang w:val="en-US" w:eastAsia="zh-CN"/>
              </w:rPr>
              <w:t>Maximum unwanted emissions per terminal (1 adjacent mobile allocation)</w:t>
            </w:r>
          </w:p>
        </w:tc>
        <w:tc>
          <w:tcPr>
            <w:tcW w:w="1606"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E91107">
            <w:pPr>
              <w:pStyle w:val="Tabletext"/>
              <w:jc w:val="center"/>
              <w:rPr>
                <w:lang w:eastAsia="fr-FR"/>
              </w:rPr>
            </w:pPr>
            <w:r w:rsidRPr="00F813F6">
              <w:rPr>
                <w:lang w:eastAsia="zh-CN"/>
              </w:rPr>
              <w:t>dBW/27 MHz</w:t>
            </w:r>
          </w:p>
        </w:tc>
        <w:tc>
          <w:tcPr>
            <w:tcW w:w="1124"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E91107">
            <w:pPr>
              <w:pStyle w:val="Tabletext"/>
              <w:jc w:val="center"/>
              <w:rPr>
                <w:lang w:eastAsia="fr-FR"/>
              </w:rPr>
            </w:pPr>
            <w:r w:rsidRPr="00F813F6">
              <w:rPr>
                <w:lang w:eastAsia="zh-CN"/>
              </w:rPr>
              <w:t>–63.6</w:t>
            </w:r>
          </w:p>
        </w:tc>
        <w:tc>
          <w:tcPr>
            <w:tcW w:w="1446"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E91107">
            <w:pPr>
              <w:pStyle w:val="Tabletext"/>
              <w:jc w:val="center"/>
              <w:rPr>
                <w:lang w:eastAsia="fr-FR"/>
              </w:rPr>
            </w:pPr>
            <w:r w:rsidRPr="00F813F6">
              <w:rPr>
                <w:lang w:eastAsia="zh-CN"/>
              </w:rPr>
              <w:t>–64.6</w:t>
            </w:r>
          </w:p>
        </w:tc>
        <w:tc>
          <w:tcPr>
            <w:tcW w:w="1607"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E91107">
            <w:pPr>
              <w:pStyle w:val="Tabletext"/>
              <w:jc w:val="center"/>
              <w:rPr>
                <w:lang w:eastAsia="fr-FR"/>
              </w:rPr>
            </w:pPr>
            <w:r w:rsidRPr="00F813F6">
              <w:rPr>
                <w:lang w:eastAsia="zh-CN"/>
              </w:rPr>
              <w:t>–68.3</w:t>
            </w:r>
          </w:p>
        </w:tc>
      </w:tr>
    </w:tbl>
    <w:p w:rsidR="00073646" w:rsidRDefault="00073646" w:rsidP="00073646">
      <w:pPr>
        <w:pStyle w:val="Tablefin"/>
      </w:pPr>
    </w:p>
    <w:p w:rsidR="00073646" w:rsidRPr="0037743B" w:rsidRDefault="00073646" w:rsidP="00073646">
      <w:pPr>
        <w:pStyle w:val="TableNo"/>
        <w:rPr>
          <w:lang w:val="en-US"/>
        </w:rPr>
      </w:pPr>
      <w:r w:rsidRPr="0037743B">
        <w:rPr>
          <w:lang w:val="en-US"/>
        </w:rPr>
        <w:t>TABLE</w:t>
      </w:r>
      <w:r w:rsidR="00F34539" w:rsidRPr="0037743B">
        <w:rPr>
          <w:lang w:val="en-US"/>
        </w:rPr>
        <w:t xml:space="preserve"> </w:t>
      </w:r>
      <w:r w:rsidRPr="0037743B">
        <w:rPr>
          <w:lang w:val="en-US"/>
        </w:rPr>
        <w:t>4</w:t>
      </w:r>
    </w:p>
    <w:p w:rsidR="00073646" w:rsidRPr="00073646" w:rsidRDefault="00073646" w:rsidP="0037743B">
      <w:pPr>
        <w:pStyle w:val="Tabletitle"/>
        <w:rPr>
          <w:lang w:val="en-US"/>
        </w:rPr>
      </w:pPr>
      <w:r w:rsidRPr="00073646">
        <w:rPr>
          <w:lang w:val="en-US"/>
        </w:rPr>
        <w:t xml:space="preserve">Detailed derivation of the unwanted emissions limits for base-stations </w:t>
      </w:r>
      <w:r w:rsidR="0037743B">
        <w:rPr>
          <w:lang w:val="en-US"/>
        </w:rPr>
        <w:br/>
      </w:r>
      <w:r w:rsidRPr="00073646">
        <w:rPr>
          <w:lang w:val="en-US"/>
        </w:rPr>
        <w:t>required for different satellite systems</w:t>
      </w:r>
    </w:p>
    <w:tbl>
      <w:tblPr>
        <w:tblW w:w="9639" w:type="dxa"/>
        <w:jc w:val="center"/>
        <w:tblLayout w:type="fixed"/>
        <w:tblLook w:val="04A0" w:firstRow="1" w:lastRow="0" w:firstColumn="1" w:lastColumn="0" w:noHBand="0" w:noVBand="1"/>
      </w:tblPr>
      <w:tblGrid>
        <w:gridCol w:w="3856"/>
        <w:gridCol w:w="1606"/>
        <w:gridCol w:w="1125"/>
        <w:gridCol w:w="1445"/>
        <w:gridCol w:w="1607"/>
      </w:tblGrid>
      <w:tr w:rsidR="00073646" w:rsidRPr="0037743B" w:rsidTr="0037743B">
        <w:trPr>
          <w:trHeight w:val="510"/>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46" w:rsidRPr="0037743B" w:rsidRDefault="00073646" w:rsidP="0037743B">
            <w:pPr>
              <w:pStyle w:val="Tablehead"/>
              <w:keepNext w:val="0"/>
              <w:rPr>
                <w:lang w:val="en-US" w:eastAsia="fr-FR"/>
              </w:rPr>
            </w:pPr>
            <w:r w:rsidRPr="0037743B">
              <w:rPr>
                <w:lang w:val="en-US" w:eastAsia="fr-FR"/>
              </w:rPr>
              <w:t>Base-stations scenario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3646" w:rsidRPr="0037743B" w:rsidRDefault="00073646" w:rsidP="0037743B">
            <w:pPr>
              <w:pStyle w:val="Tablehead"/>
              <w:keepNext w:val="0"/>
              <w:rPr>
                <w:lang w:val="en-US" w:eastAsia="fr-FR"/>
              </w:rPr>
            </w:pPr>
            <w:r w:rsidRPr="0037743B">
              <w:rPr>
                <w:lang w:val="en-US" w:eastAsia="fr-FR"/>
              </w:rPr>
              <w:t>Unit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73646" w:rsidRPr="0037743B" w:rsidRDefault="00073646" w:rsidP="0037743B">
            <w:pPr>
              <w:pStyle w:val="Tablehead"/>
              <w:keepNext w:val="0"/>
              <w:rPr>
                <w:lang w:val="en-US" w:eastAsia="fr-FR"/>
              </w:rPr>
            </w:pPr>
            <w:r w:rsidRPr="0037743B">
              <w:rPr>
                <w:lang w:val="en-US" w:eastAsia="fr-FR"/>
              </w:rPr>
              <w:t>SMOS Single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73646" w:rsidRPr="0037743B" w:rsidRDefault="00073646" w:rsidP="0037743B">
            <w:pPr>
              <w:pStyle w:val="Tablehead"/>
              <w:keepNext w:val="0"/>
              <w:rPr>
                <w:lang w:val="en-US" w:eastAsia="fr-FR"/>
              </w:rPr>
            </w:pPr>
            <w:r w:rsidRPr="0037743B">
              <w:rPr>
                <w:lang w:val="en-US" w:eastAsia="fr-FR"/>
              </w:rPr>
              <w:t>SMOS Composite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73646" w:rsidRPr="0037743B" w:rsidRDefault="00073646" w:rsidP="0037743B">
            <w:pPr>
              <w:pStyle w:val="Tablehead"/>
              <w:keepNext w:val="0"/>
              <w:rPr>
                <w:lang w:val="en-US" w:eastAsia="fr-FR"/>
              </w:rPr>
            </w:pPr>
            <w:r w:rsidRPr="0037743B">
              <w:rPr>
                <w:lang w:val="en-US" w:eastAsia="fr-FR"/>
              </w:rPr>
              <w:t>HYDROS</w:t>
            </w:r>
          </w:p>
        </w:tc>
      </w:tr>
      <w:tr w:rsidR="00073646" w:rsidRPr="0037743B" w:rsidTr="0037743B">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37743B" w:rsidRDefault="00073646" w:rsidP="0037743B">
            <w:pPr>
              <w:pStyle w:val="Tabletext"/>
              <w:rPr>
                <w:lang w:val="en-US" w:eastAsia="fr-FR"/>
              </w:rPr>
            </w:pPr>
            <w:r w:rsidRPr="0037743B">
              <w:rPr>
                <w:lang w:val="en-US" w:eastAsia="fr-FR"/>
              </w:rPr>
              <w:t>EESS Receiving antenna gain</w:t>
            </w:r>
          </w:p>
        </w:tc>
        <w:tc>
          <w:tcPr>
            <w:tcW w:w="1417" w:type="dxa"/>
            <w:tcBorders>
              <w:top w:val="nil"/>
              <w:left w:val="nil"/>
              <w:bottom w:val="single" w:sz="4" w:space="0" w:color="auto"/>
              <w:right w:val="single" w:sz="4" w:space="0" w:color="auto"/>
            </w:tcBorders>
            <w:shd w:val="clear" w:color="auto" w:fill="auto"/>
            <w:vAlign w:val="center"/>
            <w:hideMark/>
          </w:tcPr>
          <w:p w:rsidR="00073646" w:rsidRPr="0037743B" w:rsidRDefault="00073646" w:rsidP="0037743B">
            <w:pPr>
              <w:pStyle w:val="Tabletext"/>
              <w:jc w:val="center"/>
              <w:rPr>
                <w:lang w:val="en-US" w:eastAsia="fr-FR"/>
              </w:rPr>
            </w:pPr>
            <w:r w:rsidRPr="0037743B">
              <w:rPr>
                <w:lang w:val="en-US" w:eastAsia="fr-FR"/>
              </w:rPr>
              <w:t>dBi</w:t>
            </w:r>
          </w:p>
        </w:tc>
        <w:tc>
          <w:tcPr>
            <w:tcW w:w="993" w:type="dxa"/>
            <w:tcBorders>
              <w:top w:val="nil"/>
              <w:left w:val="nil"/>
              <w:bottom w:val="single" w:sz="4" w:space="0" w:color="auto"/>
              <w:right w:val="single" w:sz="4" w:space="0" w:color="auto"/>
            </w:tcBorders>
            <w:shd w:val="clear" w:color="auto" w:fill="auto"/>
            <w:vAlign w:val="center"/>
            <w:hideMark/>
          </w:tcPr>
          <w:p w:rsidR="00073646" w:rsidRPr="0037743B" w:rsidRDefault="00073646" w:rsidP="0037743B">
            <w:pPr>
              <w:pStyle w:val="Tabletext"/>
              <w:jc w:val="center"/>
              <w:rPr>
                <w:lang w:val="en-US" w:eastAsia="fr-FR"/>
              </w:rPr>
            </w:pPr>
            <w:r w:rsidRPr="0037743B">
              <w:rPr>
                <w:lang w:val="en-US" w:eastAsia="fr-FR"/>
              </w:rPr>
              <w:t>9</w:t>
            </w:r>
          </w:p>
        </w:tc>
        <w:tc>
          <w:tcPr>
            <w:tcW w:w="1275" w:type="dxa"/>
            <w:tcBorders>
              <w:top w:val="nil"/>
              <w:left w:val="nil"/>
              <w:bottom w:val="single" w:sz="4" w:space="0" w:color="auto"/>
              <w:right w:val="single" w:sz="4" w:space="0" w:color="auto"/>
            </w:tcBorders>
            <w:shd w:val="clear" w:color="auto" w:fill="auto"/>
            <w:vAlign w:val="center"/>
            <w:hideMark/>
          </w:tcPr>
          <w:p w:rsidR="00073646" w:rsidRPr="0037743B" w:rsidRDefault="00073646" w:rsidP="0037743B">
            <w:pPr>
              <w:pStyle w:val="Tabletext"/>
              <w:jc w:val="center"/>
              <w:rPr>
                <w:lang w:val="en-US" w:eastAsia="fr-FR"/>
              </w:rPr>
            </w:pPr>
            <w:r w:rsidRPr="0037743B">
              <w:rPr>
                <w:lang w:val="en-US" w:eastAsia="fr-FR"/>
              </w:rPr>
              <w:t>24</w:t>
            </w:r>
          </w:p>
        </w:tc>
        <w:tc>
          <w:tcPr>
            <w:tcW w:w="1418" w:type="dxa"/>
            <w:tcBorders>
              <w:top w:val="nil"/>
              <w:left w:val="nil"/>
              <w:bottom w:val="single" w:sz="4" w:space="0" w:color="auto"/>
              <w:right w:val="single" w:sz="4" w:space="0" w:color="auto"/>
            </w:tcBorders>
            <w:shd w:val="clear" w:color="auto" w:fill="auto"/>
            <w:vAlign w:val="center"/>
            <w:hideMark/>
          </w:tcPr>
          <w:p w:rsidR="00073646" w:rsidRPr="0037743B" w:rsidRDefault="00073646" w:rsidP="0037743B">
            <w:pPr>
              <w:pStyle w:val="Tabletext"/>
              <w:jc w:val="center"/>
              <w:rPr>
                <w:lang w:val="en-US" w:eastAsia="fr-FR"/>
              </w:rPr>
            </w:pPr>
            <w:r w:rsidRPr="0037743B">
              <w:rPr>
                <w:lang w:val="en-US" w:eastAsia="fr-FR"/>
              </w:rPr>
              <w:t>35</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37743B">
            <w:pPr>
              <w:pStyle w:val="Tabletext"/>
              <w:jc w:val="left"/>
              <w:rPr>
                <w:lang w:val="en-US" w:eastAsia="ja-JP"/>
              </w:rPr>
            </w:pPr>
            <w:r w:rsidRPr="00073646">
              <w:rPr>
                <w:lang w:val="en-US" w:eastAsia="fr-FR"/>
              </w:rPr>
              <w:t xml:space="preserve">Total number of sites in the main </w:t>
            </w:r>
            <w:r w:rsidRPr="00073646">
              <w:rPr>
                <w:lang w:val="en-US" w:eastAsia="fr-FR"/>
              </w:rPr>
              <w:br/>
              <w:t>beam cover</w:t>
            </w:r>
          </w:p>
        </w:tc>
        <w:tc>
          <w:tcPr>
            <w:tcW w:w="1417" w:type="dxa"/>
            <w:tcBorders>
              <w:top w:val="nil"/>
              <w:left w:val="nil"/>
              <w:bottom w:val="single" w:sz="4" w:space="0" w:color="auto"/>
              <w:right w:val="single" w:sz="4" w:space="0" w:color="auto"/>
            </w:tcBorders>
            <w:shd w:val="clear" w:color="auto" w:fill="auto"/>
            <w:vAlign w:val="center"/>
            <w:hideMark/>
          </w:tcPr>
          <w:p w:rsidR="00073646" w:rsidRPr="00073646" w:rsidRDefault="00073646" w:rsidP="0037743B">
            <w:pPr>
              <w:pStyle w:val="Tabletext"/>
              <w:jc w:val="center"/>
              <w:rPr>
                <w:lang w:val="en-US" w:eastAsia="fr-FR"/>
              </w:rPr>
            </w:pP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50 000</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2 000</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330</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37743B">
            <w:pPr>
              <w:pStyle w:val="Tabletext"/>
              <w:rPr>
                <w:lang w:eastAsia="fr-FR"/>
              </w:rPr>
            </w:pPr>
            <w:r w:rsidRPr="00F813F6">
              <w:rPr>
                <w:lang w:eastAsia="fr-FR"/>
              </w:rPr>
              <w:t>2 sectors per site</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dB</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F813F6" w:rsidRDefault="00073646" w:rsidP="0037743B">
            <w:pPr>
              <w:pStyle w:val="Tabletext"/>
              <w:rPr>
                <w:lang w:eastAsia="fr-FR"/>
              </w:rPr>
            </w:pPr>
            <w:r w:rsidRPr="00F813F6">
              <w:rPr>
                <w:lang w:eastAsia="fr-FR"/>
              </w:rPr>
              <w:t>Base-station Activity Factor (50%)</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dB</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–3</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37743B">
            <w:pPr>
              <w:pStyle w:val="Tabletext"/>
              <w:rPr>
                <w:lang w:val="en-US" w:eastAsia="fr-FR"/>
              </w:rPr>
            </w:pPr>
            <w:r w:rsidRPr="00073646">
              <w:rPr>
                <w:lang w:val="en-US" w:eastAsia="fr-FR"/>
              </w:rPr>
              <w:t>Base-station antenna gain (including the average antenna gain discrimination in the direction of the EESS sensor)</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dBi</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0</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–5</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–5</w:t>
            </w:r>
          </w:p>
        </w:tc>
      </w:tr>
      <w:tr w:rsidR="00073646" w:rsidRPr="00F813F6" w:rsidTr="0037743B">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073646" w:rsidRPr="00073646" w:rsidRDefault="00073646" w:rsidP="0037743B">
            <w:pPr>
              <w:pStyle w:val="Tabletext"/>
              <w:rPr>
                <w:lang w:val="en-US" w:eastAsia="fr-FR"/>
              </w:rPr>
            </w:pPr>
            <w:r w:rsidRPr="00073646">
              <w:rPr>
                <w:lang w:val="en-US" w:eastAsia="fr-FR"/>
              </w:rPr>
              <w:t>Effect of human body absorption</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dB</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0</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0</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fr-FR"/>
              </w:rPr>
              <w:t>0</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37743B">
            <w:pPr>
              <w:pStyle w:val="Tabletext"/>
              <w:jc w:val="left"/>
              <w:rPr>
                <w:b/>
                <w:lang w:val="en-US" w:eastAsia="fr-FR"/>
              </w:rPr>
            </w:pPr>
            <w:r w:rsidRPr="00073646">
              <w:rPr>
                <w:b/>
                <w:lang w:val="en-US" w:eastAsia="zh-CN"/>
              </w:rPr>
              <w:t xml:space="preserve">Interference level for a </w:t>
            </w:r>
            <w:r w:rsidRPr="00073646">
              <w:rPr>
                <w:b/>
                <w:lang w:val="en-US" w:eastAsia="zh-CN"/>
              </w:rPr>
              <w:br/>
              <w:t>–60 dBW/27 MHz unwanted emissions</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b/>
                <w:lang w:eastAsia="fr-FR"/>
              </w:rPr>
            </w:pPr>
            <w:r w:rsidRPr="00F813F6">
              <w:rPr>
                <w:b/>
                <w:lang w:eastAsia="zh-CN"/>
              </w:rPr>
              <w:t>dBW/27 MHz</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b/>
                <w:lang w:eastAsia="fr-FR"/>
              </w:rPr>
            </w:pPr>
            <w:r w:rsidRPr="00F813F6">
              <w:rPr>
                <w:b/>
                <w:lang w:eastAsia="zh-CN"/>
              </w:rPr>
              <w:t>–161.6</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b/>
                <w:lang w:eastAsia="fr-FR"/>
              </w:rPr>
            </w:pPr>
            <w:r w:rsidRPr="00F813F6">
              <w:rPr>
                <w:b/>
                <w:lang w:eastAsia="zh-CN"/>
              </w:rPr>
              <w:t>–165.6</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b/>
                <w:lang w:eastAsia="fr-FR"/>
              </w:rPr>
            </w:pPr>
            <w:r w:rsidRPr="00F813F6">
              <w:rPr>
                <w:b/>
                <w:lang w:eastAsia="zh-CN"/>
              </w:rPr>
              <w:t>–161.8</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37743B">
            <w:pPr>
              <w:pStyle w:val="Tabletext"/>
              <w:rPr>
                <w:lang w:val="en-US" w:eastAsia="fr-FR"/>
              </w:rPr>
            </w:pPr>
            <w:r w:rsidRPr="00073646">
              <w:rPr>
                <w:lang w:val="en-US" w:eastAsia="zh-CN"/>
              </w:rPr>
              <w:t>Maximum interference level (2 Mobile bands)</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dBW/27 MHz</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–182</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–182</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–182</w:t>
            </w:r>
          </w:p>
        </w:tc>
      </w:tr>
      <w:tr w:rsidR="00073646" w:rsidRPr="00F813F6" w:rsidTr="0037743B">
        <w:trPr>
          <w:trHeight w:val="300"/>
          <w:jc w:val="center"/>
        </w:trPr>
        <w:tc>
          <w:tcPr>
            <w:tcW w:w="3402"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37743B">
            <w:pPr>
              <w:pStyle w:val="Tabletext"/>
              <w:rPr>
                <w:lang w:val="en-US" w:eastAsia="fr-FR"/>
              </w:rPr>
            </w:pPr>
            <w:r w:rsidRPr="00073646">
              <w:rPr>
                <w:lang w:val="en-US" w:eastAsia="zh-CN"/>
              </w:rPr>
              <w:t>Maximum unwanted emissions per base-station (2 adjacent mobile allocations)</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dBW/27 MHz</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–80.4</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–76.4</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–80.2</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37743B">
            <w:pPr>
              <w:pStyle w:val="Tabletext"/>
              <w:rPr>
                <w:lang w:val="en-US" w:eastAsia="fr-FR"/>
              </w:rPr>
            </w:pPr>
            <w:r w:rsidRPr="00073646">
              <w:rPr>
                <w:lang w:val="en-US" w:eastAsia="zh-CN"/>
              </w:rPr>
              <w:t>Maximum interference level (1 Mobile band)</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dBW/27 MHz</w:t>
            </w:r>
          </w:p>
        </w:tc>
        <w:tc>
          <w:tcPr>
            <w:tcW w:w="99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–177</w:t>
            </w:r>
          </w:p>
        </w:tc>
        <w:tc>
          <w:tcPr>
            <w:tcW w:w="1275"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–177</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–177</w:t>
            </w:r>
          </w:p>
        </w:tc>
      </w:tr>
      <w:tr w:rsidR="00073646" w:rsidRPr="00F813F6" w:rsidTr="0037743B">
        <w:trPr>
          <w:trHeight w:val="510"/>
          <w:jc w:val="center"/>
        </w:trPr>
        <w:tc>
          <w:tcPr>
            <w:tcW w:w="3402" w:type="dxa"/>
            <w:tcBorders>
              <w:top w:val="nil"/>
              <w:left w:val="single" w:sz="4" w:space="0" w:color="auto"/>
              <w:bottom w:val="single" w:sz="4" w:space="0" w:color="auto"/>
              <w:right w:val="single" w:sz="4" w:space="0" w:color="auto"/>
            </w:tcBorders>
            <w:shd w:val="clear" w:color="auto" w:fill="auto"/>
            <w:hideMark/>
          </w:tcPr>
          <w:p w:rsidR="00073646" w:rsidRPr="00073646" w:rsidRDefault="00073646" w:rsidP="0037743B">
            <w:pPr>
              <w:pStyle w:val="Tabletext"/>
              <w:rPr>
                <w:lang w:val="en-US" w:eastAsia="fr-FR"/>
              </w:rPr>
            </w:pPr>
            <w:r w:rsidRPr="00073646">
              <w:rPr>
                <w:lang w:val="en-US" w:eastAsia="zh-CN"/>
              </w:rPr>
              <w:t>Maximum unwanted emissions per base-station (1 adjacent mobile allocation)</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37743B">
            <w:pPr>
              <w:pStyle w:val="Tabletext"/>
              <w:jc w:val="center"/>
              <w:rPr>
                <w:lang w:eastAsia="fr-FR"/>
              </w:rPr>
            </w:pPr>
            <w:r w:rsidRPr="00F813F6">
              <w:rPr>
                <w:lang w:eastAsia="zh-CN"/>
              </w:rPr>
              <w:t>dBW/27 MHz</w:t>
            </w:r>
          </w:p>
        </w:tc>
        <w:tc>
          <w:tcPr>
            <w:tcW w:w="993"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37743B">
            <w:pPr>
              <w:pStyle w:val="Tabletext"/>
              <w:jc w:val="center"/>
              <w:rPr>
                <w:lang w:eastAsia="fr-FR"/>
              </w:rPr>
            </w:pPr>
            <w:r w:rsidRPr="00F813F6">
              <w:rPr>
                <w:lang w:eastAsia="zh-CN"/>
              </w:rPr>
              <w:t>–75.4</w:t>
            </w:r>
          </w:p>
        </w:tc>
        <w:tc>
          <w:tcPr>
            <w:tcW w:w="1275"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37743B">
            <w:pPr>
              <w:pStyle w:val="Tabletext"/>
              <w:jc w:val="center"/>
              <w:rPr>
                <w:lang w:eastAsia="fr-FR"/>
              </w:rPr>
            </w:pPr>
            <w:r w:rsidRPr="00F813F6">
              <w:rPr>
                <w:lang w:eastAsia="zh-CN"/>
              </w:rPr>
              <w:t>–71.4</w:t>
            </w:r>
          </w:p>
        </w:tc>
        <w:tc>
          <w:tcPr>
            <w:tcW w:w="1418"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37743B">
            <w:pPr>
              <w:pStyle w:val="Tabletext"/>
              <w:jc w:val="center"/>
              <w:rPr>
                <w:lang w:eastAsia="fr-FR"/>
              </w:rPr>
            </w:pPr>
            <w:r w:rsidRPr="00F813F6">
              <w:rPr>
                <w:lang w:eastAsia="zh-CN"/>
              </w:rPr>
              <w:t>–75.2</w:t>
            </w:r>
          </w:p>
        </w:tc>
      </w:tr>
    </w:tbl>
    <w:p w:rsidR="0037743B" w:rsidRDefault="0037743B" w:rsidP="0037743B">
      <w:pPr>
        <w:pStyle w:val="Tablefin"/>
      </w:pPr>
    </w:p>
    <w:p w:rsidR="00073646" w:rsidRPr="007638A7" w:rsidRDefault="00073646" w:rsidP="00073646">
      <w:pPr>
        <w:pStyle w:val="Heading3"/>
        <w:rPr>
          <w:lang w:val="en-US"/>
        </w:rPr>
      </w:pPr>
      <w:r w:rsidRPr="007638A7">
        <w:rPr>
          <w:lang w:val="en-US"/>
        </w:rPr>
        <w:lastRenderedPageBreak/>
        <w:t>3.1.3</w:t>
      </w:r>
      <w:r w:rsidRPr="007638A7">
        <w:rPr>
          <w:lang w:val="en-US"/>
        </w:rPr>
        <w:tab/>
        <w:t>Summary of the static analysis</w:t>
      </w:r>
    </w:p>
    <w:p w:rsidR="00073646" w:rsidRPr="0037743B" w:rsidRDefault="00073646" w:rsidP="00073646">
      <w:pPr>
        <w:pStyle w:val="TableNo"/>
        <w:rPr>
          <w:lang w:val="en-US"/>
        </w:rPr>
      </w:pPr>
      <w:r w:rsidRPr="0037743B">
        <w:rPr>
          <w:lang w:val="en-US"/>
        </w:rPr>
        <w:t>TABLE</w:t>
      </w:r>
      <w:r w:rsidR="00657169" w:rsidRPr="0037743B">
        <w:rPr>
          <w:lang w:val="en-US"/>
        </w:rPr>
        <w:t xml:space="preserve"> </w:t>
      </w:r>
      <w:r w:rsidRPr="0037743B">
        <w:rPr>
          <w:lang w:val="en-US"/>
        </w:rPr>
        <w:t>5</w:t>
      </w:r>
      <w:r w:rsidR="00657169" w:rsidRPr="0037743B">
        <w:rPr>
          <w:lang w:val="en-US"/>
        </w:rPr>
        <w:t>A</w:t>
      </w:r>
    </w:p>
    <w:p w:rsidR="00073646" w:rsidRPr="00073646" w:rsidRDefault="00073646" w:rsidP="00C3317D">
      <w:pPr>
        <w:pStyle w:val="Tabletitle"/>
        <w:rPr>
          <w:lang w:val="en-US"/>
        </w:rPr>
      </w:pPr>
      <w:r w:rsidRPr="00073646">
        <w:rPr>
          <w:lang w:val="en-US"/>
        </w:rPr>
        <w:t>Maximum unwanted emissions value to protect EESS (passive)</w:t>
      </w:r>
      <w:r w:rsidRPr="00073646">
        <w:rPr>
          <w:lang w:val="en-US"/>
        </w:rPr>
        <w:br/>
      </w:r>
      <w:r w:rsidRPr="00073646">
        <w:rPr>
          <w:b w:val="0"/>
          <w:lang w:val="en-US"/>
        </w:rPr>
        <w:t>(case both 1 375-1 400 MHz and 1 427-1 452 MHz frequency bands are considered</w:t>
      </w:r>
      <w:r w:rsidRPr="00073646">
        <w:rPr>
          <w:b w:val="0"/>
          <w:lang w:val="en-US"/>
        </w:rPr>
        <w:br/>
        <w:t>to be used simultaneously by mobile applications)</w:t>
      </w:r>
    </w:p>
    <w:tbl>
      <w:tblPr>
        <w:tblW w:w="9639" w:type="dxa"/>
        <w:jc w:val="center"/>
        <w:tblLayout w:type="fixed"/>
        <w:tblLook w:val="04A0" w:firstRow="1" w:lastRow="0" w:firstColumn="1" w:lastColumn="0" w:noHBand="0" w:noVBand="1"/>
      </w:tblPr>
      <w:tblGrid>
        <w:gridCol w:w="3059"/>
        <w:gridCol w:w="1531"/>
        <w:gridCol w:w="1530"/>
        <w:gridCol w:w="1989"/>
        <w:gridCol w:w="1530"/>
      </w:tblGrid>
      <w:tr w:rsidR="00073646" w:rsidRPr="008807E2" w:rsidTr="0037743B">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46" w:rsidRPr="00073646" w:rsidRDefault="00073646" w:rsidP="00560FC1">
            <w:pPr>
              <w:pStyle w:val="Tablehead"/>
              <w:rPr>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73646" w:rsidRPr="008807E2" w:rsidRDefault="00073646" w:rsidP="00560FC1">
            <w:pPr>
              <w:pStyle w:val="Tablehead"/>
            </w:pPr>
            <w:r w:rsidRPr="008807E2">
              <w:t>Unit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3646" w:rsidRPr="008807E2" w:rsidRDefault="00073646" w:rsidP="00560FC1">
            <w:pPr>
              <w:pStyle w:val="Tablehead"/>
            </w:pPr>
            <w:r w:rsidRPr="008807E2">
              <w:t>SMOS Single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73646" w:rsidRPr="008807E2" w:rsidRDefault="00073646" w:rsidP="00560FC1">
            <w:pPr>
              <w:pStyle w:val="Tablehead"/>
            </w:pPr>
            <w:r w:rsidRPr="008807E2">
              <w:t>SMOS</w:t>
            </w:r>
            <w:r w:rsidRPr="008807E2">
              <w:br/>
              <w:t>Composite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3646" w:rsidRPr="008807E2" w:rsidRDefault="00073646" w:rsidP="00560FC1">
            <w:pPr>
              <w:pStyle w:val="Tablehead"/>
            </w:pPr>
            <w:r w:rsidRPr="008807E2">
              <w:t>HYDROS</w:t>
            </w:r>
          </w:p>
        </w:tc>
      </w:tr>
      <w:tr w:rsidR="00073646" w:rsidRPr="00F813F6" w:rsidTr="0037743B">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73646" w:rsidRPr="007638A7" w:rsidRDefault="00073646" w:rsidP="007638A7">
            <w:pPr>
              <w:pStyle w:val="Tabletext"/>
              <w:jc w:val="center"/>
              <w:rPr>
                <w:b/>
                <w:bCs/>
                <w:lang w:val="en-US"/>
              </w:rPr>
            </w:pPr>
            <w:r w:rsidRPr="007638A7">
              <w:rPr>
                <w:b/>
                <w:bCs/>
                <w:lang w:val="en-US"/>
              </w:rPr>
              <w:t>Maximum unwanted emissions per base-station</w:t>
            </w:r>
            <w:r w:rsidRPr="007638A7">
              <w:rPr>
                <w:b/>
                <w:bCs/>
                <w:lang w:val="en-US"/>
              </w:rPr>
              <w:br/>
              <w:t>(see Table 4)</w:t>
            </w:r>
          </w:p>
        </w:tc>
        <w:tc>
          <w:tcPr>
            <w:tcW w:w="1418" w:type="dxa"/>
            <w:tcBorders>
              <w:top w:val="nil"/>
              <w:left w:val="nil"/>
              <w:bottom w:val="single" w:sz="4" w:space="0" w:color="auto"/>
              <w:right w:val="single" w:sz="4" w:space="0" w:color="auto"/>
            </w:tcBorders>
            <w:shd w:val="clear" w:color="auto" w:fill="auto"/>
            <w:vAlign w:val="center"/>
            <w:hideMark/>
          </w:tcPr>
          <w:p w:rsidR="00073646" w:rsidRPr="008807E2" w:rsidRDefault="00073646" w:rsidP="00560FC1">
            <w:pPr>
              <w:pStyle w:val="Tabletext"/>
              <w:jc w:val="center"/>
            </w:pPr>
            <w:r w:rsidRPr="008807E2">
              <w:t>dBW/27 MHz</w:t>
            </w:r>
          </w:p>
        </w:tc>
        <w:tc>
          <w:tcPr>
            <w:tcW w:w="1417" w:type="dxa"/>
            <w:tcBorders>
              <w:top w:val="nil"/>
              <w:left w:val="nil"/>
              <w:bottom w:val="single" w:sz="4" w:space="0" w:color="auto"/>
              <w:right w:val="single" w:sz="4" w:space="0" w:color="auto"/>
            </w:tcBorders>
            <w:shd w:val="clear" w:color="auto" w:fill="auto"/>
            <w:vAlign w:val="center"/>
            <w:hideMark/>
          </w:tcPr>
          <w:p w:rsidR="00073646" w:rsidRPr="008807E2" w:rsidRDefault="00073646" w:rsidP="00560FC1">
            <w:pPr>
              <w:pStyle w:val="Tabletext"/>
              <w:jc w:val="center"/>
            </w:pPr>
            <w:r w:rsidRPr="008807E2">
              <w:t>–80.4</w:t>
            </w:r>
          </w:p>
        </w:tc>
        <w:tc>
          <w:tcPr>
            <w:tcW w:w="1843" w:type="dxa"/>
            <w:tcBorders>
              <w:top w:val="nil"/>
              <w:left w:val="nil"/>
              <w:bottom w:val="single" w:sz="4" w:space="0" w:color="auto"/>
              <w:right w:val="single" w:sz="4" w:space="0" w:color="auto"/>
            </w:tcBorders>
            <w:shd w:val="clear" w:color="auto" w:fill="auto"/>
            <w:vAlign w:val="center"/>
            <w:hideMark/>
          </w:tcPr>
          <w:p w:rsidR="00073646" w:rsidRPr="008807E2" w:rsidRDefault="00073646" w:rsidP="00560FC1">
            <w:pPr>
              <w:pStyle w:val="Tabletext"/>
              <w:jc w:val="center"/>
            </w:pPr>
            <w:r w:rsidRPr="008807E2">
              <w:t>–76.4</w:t>
            </w:r>
          </w:p>
        </w:tc>
        <w:tc>
          <w:tcPr>
            <w:tcW w:w="1417" w:type="dxa"/>
            <w:tcBorders>
              <w:top w:val="nil"/>
              <w:left w:val="nil"/>
              <w:bottom w:val="single" w:sz="4" w:space="0" w:color="auto"/>
              <w:right w:val="single" w:sz="4" w:space="0" w:color="auto"/>
            </w:tcBorders>
            <w:shd w:val="clear" w:color="auto" w:fill="auto"/>
            <w:vAlign w:val="center"/>
            <w:hideMark/>
          </w:tcPr>
          <w:p w:rsidR="00073646" w:rsidRPr="008807E2" w:rsidRDefault="00073646" w:rsidP="00560FC1">
            <w:pPr>
              <w:pStyle w:val="Tabletext"/>
              <w:jc w:val="center"/>
            </w:pPr>
            <w:r w:rsidRPr="008807E2">
              <w:t>–80.2</w:t>
            </w:r>
          </w:p>
        </w:tc>
      </w:tr>
      <w:tr w:rsidR="00073646" w:rsidRPr="00F813F6" w:rsidTr="0037743B">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73646" w:rsidRPr="007638A7" w:rsidRDefault="00073646" w:rsidP="007638A7">
            <w:pPr>
              <w:pStyle w:val="Tabletext"/>
              <w:jc w:val="center"/>
              <w:rPr>
                <w:b/>
                <w:bCs/>
                <w:lang w:val="en-US"/>
              </w:rPr>
            </w:pPr>
            <w:r w:rsidRPr="007638A7">
              <w:rPr>
                <w:b/>
                <w:bCs/>
                <w:lang w:val="en-US"/>
              </w:rPr>
              <w:t>Maximum unwanted emissions per UE</w:t>
            </w:r>
            <w:r w:rsidRPr="007638A7">
              <w:rPr>
                <w:b/>
                <w:bCs/>
                <w:lang w:val="en-US"/>
              </w:rPr>
              <w:br/>
              <w:t>(see Table 3)</w:t>
            </w:r>
          </w:p>
        </w:tc>
        <w:tc>
          <w:tcPr>
            <w:tcW w:w="1418" w:type="dxa"/>
            <w:tcBorders>
              <w:top w:val="nil"/>
              <w:left w:val="nil"/>
              <w:bottom w:val="single" w:sz="4" w:space="0" w:color="auto"/>
              <w:right w:val="single" w:sz="4" w:space="0" w:color="auto"/>
            </w:tcBorders>
            <w:shd w:val="clear" w:color="auto" w:fill="auto"/>
            <w:vAlign w:val="center"/>
            <w:hideMark/>
          </w:tcPr>
          <w:p w:rsidR="00073646" w:rsidRPr="008807E2" w:rsidRDefault="00073646" w:rsidP="00560FC1">
            <w:pPr>
              <w:pStyle w:val="Tabletext"/>
              <w:jc w:val="center"/>
            </w:pPr>
            <w:r w:rsidRPr="008807E2">
              <w:t>dBW/27 MHz</w:t>
            </w:r>
          </w:p>
        </w:tc>
        <w:tc>
          <w:tcPr>
            <w:tcW w:w="1417" w:type="dxa"/>
            <w:tcBorders>
              <w:top w:val="nil"/>
              <w:left w:val="nil"/>
              <w:bottom w:val="single" w:sz="4" w:space="0" w:color="auto"/>
              <w:right w:val="single" w:sz="4" w:space="0" w:color="auto"/>
            </w:tcBorders>
            <w:shd w:val="clear" w:color="auto" w:fill="auto"/>
            <w:noWrap/>
            <w:vAlign w:val="center"/>
            <w:hideMark/>
          </w:tcPr>
          <w:p w:rsidR="00073646" w:rsidRPr="008807E2" w:rsidRDefault="00073646" w:rsidP="00560FC1">
            <w:pPr>
              <w:pStyle w:val="Tabletext"/>
              <w:jc w:val="center"/>
            </w:pPr>
            <w:r w:rsidRPr="008807E2">
              <w:t>–62.6</w:t>
            </w:r>
          </w:p>
        </w:tc>
        <w:tc>
          <w:tcPr>
            <w:tcW w:w="1843" w:type="dxa"/>
            <w:tcBorders>
              <w:top w:val="nil"/>
              <w:left w:val="nil"/>
              <w:bottom w:val="single" w:sz="4" w:space="0" w:color="auto"/>
              <w:right w:val="single" w:sz="4" w:space="0" w:color="auto"/>
            </w:tcBorders>
            <w:shd w:val="clear" w:color="auto" w:fill="auto"/>
            <w:noWrap/>
            <w:vAlign w:val="center"/>
            <w:hideMark/>
          </w:tcPr>
          <w:p w:rsidR="00073646" w:rsidRPr="008807E2" w:rsidRDefault="00073646" w:rsidP="00560FC1">
            <w:pPr>
              <w:pStyle w:val="Tabletext"/>
              <w:jc w:val="center"/>
            </w:pPr>
            <w:r w:rsidRPr="008807E2">
              <w:t>–63.6</w:t>
            </w:r>
          </w:p>
        </w:tc>
        <w:tc>
          <w:tcPr>
            <w:tcW w:w="1417" w:type="dxa"/>
            <w:tcBorders>
              <w:top w:val="nil"/>
              <w:left w:val="nil"/>
              <w:bottom w:val="single" w:sz="4" w:space="0" w:color="auto"/>
              <w:right w:val="single" w:sz="4" w:space="0" w:color="auto"/>
            </w:tcBorders>
            <w:shd w:val="clear" w:color="auto" w:fill="auto"/>
            <w:noWrap/>
            <w:vAlign w:val="center"/>
            <w:hideMark/>
          </w:tcPr>
          <w:p w:rsidR="00073646" w:rsidRPr="008807E2" w:rsidRDefault="00073646" w:rsidP="00560FC1">
            <w:pPr>
              <w:pStyle w:val="Tabletext"/>
              <w:jc w:val="center"/>
            </w:pPr>
            <w:r w:rsidRPr="008807E2">
              <w:t>–67.3</w:t>
            </w:r>
          </w:p>
        </w:tc>
      </w:tr>
    </w:tbl>
    <w:p w:rsidR="00073646" w:rsidRPr="00F813F6" w:rsidRDefault="00073646" w:rsidP="00073646">
      <w:pPr>
        <w:pStyle w:val="TableNo"/>
      </w:pPr>
      <w:r w:rsidRPr="00F813F6">
        <w:t>TABLE</w:t>
      </w:r>
      <w:r w:rsidR="00657169">
        <w:t xml:space="preserve"> </w:t>
      </w:r>
      <w:r w:rsidRPr="00F813F6">
        <w:t>5B</w:t>
      </w:r>
    </w:p>
    <w:p w:rsidR="00073646" w:rsidRPr="00073646" w:rsidRDefault="00073646" w:rsidP="0080190C">
      <w:pPr>
        <w:pStyle w:val="Tabletitle"/>
        <w:rPr>
          <w:lang w:val="en-US"/>
        </w:rPr>
      </w:pPr>
      <w:r w:rsidRPr="00073646">
        <w:rPr>
          <w:lang w:val="en-US"/>
        </w:rPr>
        <w:t>Maximum unwanted emissions value to protect EESS (passive)</w:t>
      </w:r>
      <w:r w:rsidRPr="00073646">
        <w:rPr>
          <w:lang w:val="en-US"/>
        </w:rPr>
        <w:br/>
      </w:r>
      <w:r w:rsidRPr="00073646">
        <w:rPr>
          <w:b w:val="0"/>
          <w:lang w:val="en-US"/>
        </w:rPr>
        <w:t>(</w:t>
      </w:r>
      <w:r w:rsidRPr="00073646">
        <w:rPr>
          <w:rFonts w:cs="Arial"/>
          <w:b w:val="0"/>
          <w:lang w:val="en-US"/>
        </w:rPr>
        <w:t>case only one of the 1 375-1 400 MHz and 1 427-1 452 MHz frequency bands</w:t>
      </w:r>
      <w:r w:rsidRPr="00073646">
        <w:rPr>
          <w:rFonts w:cs="Arial"/>
          <w:b w:val="0"/>
          <w:lang w:val="en-US"/>
        </w:rPr>
        <w:br/>
        <w:t>is considered to be used by mobile applications)</w:t>
      </w:r>
    </w:p>
    <w:tbl>
      <w:tblPr>
        <w:tblW w:w="9639" w:type="dxa"/>
        <w:jc w:val="center"/>
        <w:tblLayout w:type="fixed"/>
        <w:tblLook w:val="04A0" w:firstRow="1" w:lastRow="0" w:firstColumn="1" w:lastColumn="0" w:noHBand="0" w:noVBand="1"/>
      </w:tblPr>
      <w:tblGrid>
        <w:gridCol w:w="3059"/>
        <w:gridCol w:w="1531"/>
        <w:gridCol w:w="1530"/>
        <w:gridCol w:w="1989"/>
        <w:gridCol w:w="1530"/>
      </w:tblGrid>
      <w:tr w:rsidR="00073646" w:rsidRPr="00F813F6" w:rsidTr="004812D7">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646" w:rsidRPr="00073646" w:rsidRDefault="00073646" w:rsidP="00560FC1">
            <w:pPr>
              <w:pStyle w:val="Tablehead"/>
              <w:rPr>
                <w:lang w:val="en-US" w:eastAsia="fr-FR"/>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Unit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SMOS Single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SMOS</w:t>
            </w:r>
            <w:r w:rsidRPr="00F813F6">
              <w:rPr>
                <w:lang w:eastAsia="fr-FR"/>
              </w:rPr>
              <w:br/>
              <w:t>Composite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73646" w:rsidRPr="00F813F6" w:rsidRDefault="00073646" w:rsidP="00560FC1">
            <w:pPr>
              <w:pStyle w:val="Tablehead"/>
              <w:rPr>
                <w:lang w:eastAsia="fr-FR"/>
              </w:rPr>
            </w:pPr>
            <w:r w:rsidRPr="00F813F6">
              <w:rPr>
                <w:lang w:eastAsia="fr-FR"/>
              </w:rPr>
              <w:t>HYDROS</w:t>
            </w:r>
          </w:p>
        </w:tc>
      </w:tr>
      <w:tr w:rsidR="00073646" w:rsidRPr="00F813F6" w:rsidTr="004812D7">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73646" w:rsidRPr="0080190C" w:rsidRDefault="00073646" w:rsidP="0080190C">
            <w:pPr>
              <w:pStyle w:val="Tabletext"/>
              <w:jc w:val="center"/>
              <w:rPr>
                <w:b/>
                <w:bCs/>
                <w:lang w:val="en-US" w:eastAsia="fr-FR"/>
              </w:rPr>
            </w:pPr>
            <w:r w:rsidRPr="0080190C">
              <w:rPr>
                <w:b/>
                <w:bCs/>
                <w:lang w:val="en-US" w:eastAsia="fr-FR"/>
              </w:rPr>
              <w:t xml:space="preserve">Maximum unwanted emissions per base-station </w:t>
            </w:r>
            <w:r w:rsidRPr="0080190C">
              <w:rPr>
                <w:b/>
                <w:bCs/>
                <w:lang w:val="en-US" w:eastAsia="fr-FR"/>
              </w:rPr>
              <w:br/>
              <w:t>(see Table 4)</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rPr>
                <w:lang w:eastAsia="fr-FR"/>
              </w:rPr>
            </w:pPr>
            <w:r w:rsidRPr="00F813F6">
              <w:rPr>
                <w:lang w:eastAsia="fr-FR"/>
              </w:rPr>
              <w:t>dBW/27 MHz</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pPr>
            <w:r w:rsidRPr="00F813F6">
              <w:rPr>
                <w:lang w:eastAsia="zh-CN"/>
              </w:rPr>
              <w:t>–75.4</w:t>
            </w:r>
          </w:p>
        </w:tc>
        <w:tc>
          <w:tcPr>
            <w:tcW w:w="1843"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pPr>
            <w:r w:rsidRPr="00F813F6">
              <w:rPr>
                <w:lang w:eastAsia="zh-CN"/>
              </w:rPr>
              <w:t>–71.4</w:t>
            </w:r>
          </w:p>
        </w:tc>
        <w:tc>
          <w:tcPr>
            <w:tcW w:w="1417"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pPr>
            <w:r w:rsidRPr="00F813F6">
              <w:rPr>
                <w:lang w:eastAsia="zh-CN"/>
              </w:rPr>
              <w:t>–75.2</w:t>
            </w:r>
          </w:p>
        </w:tc>
      </w:tr>
      <w:tr w:rsidR="00073646" w:rsidRPr="00F813F6" w:rsidTr="004812D7">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073646" w:rsidRPr="0080190C" w:rsidRDefault="00073646" w:rsidP="0080190C">
            <w:pPr>
              <w:pStyle w:val="Tabletext"/>
              <w:jc w:val="center"/>
              <w:rPr>
                <w:b/>
                <w:bCs/>
                <w:lang w:val="en-US" w:eastAsia="fr-FR"/>
              </w:rPr>
            </w:pPr>
            <w:r w:rsidRPr="0080190C">
              <w:rPr>
                <w:b/>
                <w:bCs/>
                <w:lang w:val="en-US" w:eastAsia="fr-FR"/>
              </w:rPr>
              <w:t>Maximum unwanted emissions per UE</w:t>
            </w:r>
            <w:r w:rsidRPr="0080190C">
              <w:rPr>
                <w:b/>
                <w:bCs/>
                <w:lang w:val="en-US" w:eastAsia="ja-JP"/>
              </w:rPr>
              <w:t xml:space="preserve"> </w:t>
            </w:r>
            <w:r w:rsidRPr="0080190C">
              <w:rPr>
                <w:b/>
                <w:bCs/>
                <w:lang w:val="en-US" w:eastAsia="ja-JP"/>
              </w:rPr>
              <w:br/>
            </w:r>
            <w:r w:rsidRPr="0080190C">
              <w:rPr>
                <w:b/>
                <w:bCs/>
                <w:lang w:val="en-US" w:eastAsia="fr-FR"/>
              </w:rPr>
              <w:t>(see Table 3)</w:t>
            </w:r>
          </w:p>
        </w:tc>
        <w:tc>
          <w:tcPr>
            <w:tcW w:w="1418" w:type="dxa"/>
            <w:tcBorders>
              <w:top w:val="nil"/>
              <w:left w:val="nil"/>
              <w:bottom w:val="single" w:sz="4" w:space="0" w:color="auto"/>
              <w:right w:val="single" w:sz="4" w:space="0" w:color="auto"/>
            </w:tcBorders>
            <w:shd w:val="clear" w:color="auto" w:fill="auto"/>
            <w:vAlign w:val="center"/>
            <w:hideMark/>
          </w:tcPr>
          <w:p w:rsidR="00073646" w:rsidRPr="00F813F6" w:rsidRDefault="00073646" w:rsidP="00560FC1">
            <w:pPr>
              <w:pStyle w:val="Tabletext"/>
              <w:jc w:val="center"/>
              <w:rPr>
                <w:lang w:eastAsia="fr-FR"/>
              </w:rPr>
            </w:pPr>
            <w:r w:rsidRPr="00F813F6">
              <w:rPr>
                <w:lang w:eastAsia="fr-FR"/>
              </w:rPr>
              <w:t>dBW/27 MHz</w:t>
            </w:r>
          </w:p>
        </w:tc>
        <w:tc>
          <w:tcPr>
            <w:tcW w:w="1417"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560FC1">
            <w:pPr>
              <w:pStyle w:val="Tabletext"/>
              <w:jc w:val="center"/>
            </w:pPr>
            <w:r w:rsidRPr="00F813F6">
              <w:rPr>
                <w:lang w:eastAsia="zh-CN"/>
              </w:rPr>
              <w:t>–63.6</w:t>
            </w:r>
          </w:p>
        </w:tc>
        <w:tc>
          <w:tcPr>
            <w:tcW w:w="1843"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560FC1">
            <w:pPr>
              <w:pStyle w:val="Tabletext"/>
              <w:jc w:val="center"/>
            </w:pPr>
            <w:r w:rsidRPr="00F813F6">
              <w:rPr>
                <w:lang w:eastAsia="zh-CN"/>
              </w:rPr>
              <w:t>–64.6</w:t>
            </w:r>
          </w:p>
        </w:tc>
        <w:tc>
          <w:tcPr>
            <w:tcW w:w="1417" w:type="dxa"/>
            <w:tcBorders>
              <w:top w:val="nil"/>
              <w:left w:val="nil"/>
              <w:bottom w:val="single" w:sz="4" w:space="0" w:color="auto"/>
              <w:right w:val="single" w:sz="4" w:space="0" w:color="auto"/>
            </w:tcBorders>
            <w:shd w:val="clear" w:color="auto" w:fill="auto"/>
            <w:noWrap/>
            <w:vAlign w:val="center"/>
            <w:hideMark/>
          </w:tcPr>
          <w:p w:rsidR="00073646" w:rsidRPr="00F813F6" w:rsidRDefault="00073646" w:rsidP="00560FC1">
            <w:pPr>
              <w:pStyle w:val="Tabletext"/>
              <w:jc w:val="center"/>
            </w:pPr>
            <w:r w:rsidRPr="00F813F6">
              <w:rPr>
                <w:lang w:eastAsia="zh-CN"/>
              </w:rPr>
              <w:t>–68.3</w:t>
            </w:r>
          </w:p>
        </w:tc>
      </w:tr>
    </w:tbl>
    <w:p w:rsidR="00073646" w:rsidRPr="00F813F6" w:rsidRDefault="00073646" w:rsidP="00073646">
      <w:pPr>
        <w:pStyle w:val="Heading2"/>
      </w:pPr>
      <w:r w:rsidRPr="00F813F6">
        <w:t>3.2</w:t>
      </w:r>
      <w:r w:rsidRPr="00F813F6">
        <w:tab/>
        <w:t>Dynamic analysis</w:t>
      </w:r>
    </w:p>
    <w:p w:rsidR="00073646" w:rsidRPr="00F813F6" w:rsidRDefault="00073646" w:rsidP="00073646">
      <w:pPr>
        <w:pStyle w:val="Heading3"/>
      </w:pPr>
      <w:r w:rsidRPr="00F813F6">
        <w:t>3.2.1</w:t>
      </w:r>
      <w:r w:rsidRPr="00F813F6">
        <w:tab/>
        <w:t>EESS sensors dynamic parameters</w:t>
      </w:r>
    </w:p>
    <w:p w:rsidR="00073646" w:rsidRPr="00073646" w:rsidRDefault="00073646" w:rsidP="0080190C">
      <w:pPr>
        <w:rPr>
          <w:lang w:val="en-US"/>
        </w:rPr>
      </w:pPr>
      <w:r w:rsidRPr="00073646">
        <w:rPr>
          <w:lang w:val="en-US"/>
        </w:rPr>
        <w:t xml:space="preserve">The dynamic analysis below only considers the sensor type A1 (i.e. SMOS) for both single and composite scenario as described in </w:t>
      </w:r>
      <w:r w:rsidR="0080190C">
        <w:rPr>
          <w:lang w:val="en-US"/>
        </w:rPr>
        <w:t>§</w:t>
      </w:r>
      <w:r w:rsidR="00180ECB">
        <w:rPr>
          <w:lang w:val="en-US"/>
        </w:rPr>
        <w:t xml:space="preserve"> </w:t>
      </w:r>
      <w:r w:rsidRPr="00073646">
        <w:rPr>
          <w:lang w:val="en-US"/>
        </w:rPr>
        <w:t>2 above.</w:t>
      </w:r>
    </w:p>
    <w:p w:rsidR="00073646" w:rsidRPr="00073646" w:rsidRDefault="00073646" w:rsidP="00073646">
      <w:pPr>
        <w:rPr>
          <w:lang w:val="en-US"/>
        </w:rPr>
      </w:pPr>
      <w:r w:rsidRPr="00073646">
        <w:rPr>
          <w:lang w:val="en-US"/>
        </w:rPr>
        <w:t>Since the conditions defined by Recommendation ITU-R RS.2017 encompasses a 10 000 000 km² reference area for the application of the EESS protection criteria, this reference area has been considered as follows for this study:</w:t>
      </w:r>
    </w:p>
    <w:p w:rsidR="00073646" w:rsidRPr="00073646" w:rsidRDefault="00073646" w:rsidP="00073646">
      <w:pPr>
        <w:pStyle w:val="enumlev1"/>
        <w:rPr>
          <w:lang w:val="en-US"/>
        </w:rPr>
      </w:pPr>
      <w:r w:rsidRPr="00073646">
        <w:rPr>
          <w:lang w:val="en-US"/>
        </w:rPr>
        <w:t>–</w:t>
      </w:r>
      <w:r w:rsidRPr="00073646">
        <w:rPr>
          <w:lang w:val="en-US"/>
        </w:rPr>
        <w:tab/>
        <w:t>Coordinates of the</w:t>
      </w:r>
      <w:r w:rsidR="007C691A">
        <w:rPr>
          <w:lang w:val="en-US"/>
        </w:rPr>
        <w:t xml:space="preserve"> centre of the area: 46 N – 3 E;</w:t>
      </w:r>
    </w:p>
    <w:p w:rsidR="00073646" w:rsidRPr="00073646" w:rsidRDefault="00073646" w:rsidP="00073646">
      <w:pPr>
        <w:pStyle w:val="enumlev1"/>
        <w:rPr>
          <w:lang w:val="en-US"/>
        </w:rPr>
      </w:pPr>
      <w:r w:rsidRPr="00073646">
        <w:rPr>
          <w:lang w:val="en-US"/>
        </w:rPr>
        <w:t>–</w:t>
      </w:r>
      <w:r w:rsidRPr="00073646">
        <w:rPr>
          <w:lang w:val="en-US"/>
        </w:rPr>
        <w:tab/>
        <w:t>Radius = 1 785 km.</w:t>
      </w:r>
    </w:p>
    <w:p w:rsidR="00073646" w:rsidRPr="00073646" w:rsidRDefault="00073646" w:rsidP="00073646">
      <w:pPr>
        <w:rPr>
          <w:lang w:val="en-US"/>
        </w:rPr>
      </w:pPr>
      <w:r w:rsidRPr="00073646">
        <w:rPr>
          <w:lang w:val="en-US"/>
        </w:rPr>
        <w:t>The satellite orbit and sensor pointing have been simulated with a one second time step and a period of six days. Over the 10 000 000 km² reference area, these simulations lead to around 10 000 interference calculation samples.</w:t>
      </w:r>
    </w:p>
    <w:p w:rsidR="00073646" w:rsidRPr="00073646" w:rsidRDefault="00073646" w:rsidP="00073646">
      <w:pPr>
        <w:pStyle w:val="Heading3"/>
        <w:rPr>
          <w:lang w:val="en-US"/>
        </w:rPr>
      </w:pPr>
      <w:r w:rsidRPr="00073646">
        <w:rPr>
          <w:lang w:val="en-US"/>
        </w:rPr>
        <w:t>3.2.2</w:t>
      </w:r>
      <w:r w:rsidRPr="00073646">
        <w:rPr>
          <w:lang w:val="en-US"/>
        </w:rPr>
        <w:tab/>
        <w:t>Mobile systems deployment and parameters</w:t>
      </w:r>
    </w:p>
    <w:p w:rsidR="00073646" w:rsidRPr="00073646" w:rsidRDefault="00073646" w:rsidP="0080190C">
      <w:pPr>
        <w:rPr>
          <w:rFonts w:cs="Arial"/>
          <w:lang w:val="en-US"/>
        </w:rPr>
      </w:pPr>
      <w:r w:rsidRPr="00073646">
        <w:rPr>
          <w:lang w:val="en-US"/>
        </w:rPr>
        <w:t xml:space="preserve">A deployment of 3 000 base-stations has been considered, </w:t>
      </w:r>
      <w:r w:rsidRPr="00073646">
        <w:rPr>
          <w:rFonts w:cs="Arial"/>
          <w:lang w:val="en-US"/>
        </w:rPr>
        <w:t>deployed over a square area of 300 000 km² centred on Paris as shown in Fig</w:t>
      </w:r>
      <w:r w:rsidR="0080190C">
        <w:rPr>
          <w:rFonts w:cs="Arial"/>
          <w:lang w:val="en-US"/>
        </w:rPr>
        <w:t>.</w:t>
      </w:r>
      <w:r w:rsidRPr="00073646">
        <w:rPr>
          <w:rFonts w:cs="Arial"/>
          <w:lang w:val="en-US"/>
        </w:rPr>
        <w:t xml:space="preserve"> 1. This represents a density of 1 base-station per 100 km². </w:t>
      </w:r>
    </w:p>
    <w:p w:rsidR="00073646" w:rsidRPr="00073646" w:rsidRDefault="00073646" w:rsidP="007C691A">
      <w:pPr>
        <w:rPr>
          <w:lang w:val="en-US"/>
        </w:rPr>
      </w:pPr>
      <w:r w:rsidRPr="00073646">
        <w:rPr>
          <w:lang w:val="en-US"/>
        </w:rPr>
        <w:lastRenderedPageBreak/>
        <w:t>It should be noted that this deployment is made according to the population densities and that, to</w:t>
      </w:r>
      <w:r w:rsidR="007C691A">
        <w:rPr>
          <w:lang w:val="en-US"/>
        </w:rPr>
        <w:t xml:space="preserve"> </w:t>
      </w:r>
      <w:r w:rsidRPr="00073646">
        <w:rPr>
          <w:lang w:val="en-US"/>
        </w:rPr>
        <w:t>this respect, the number of stations within a square of 10 000 km² including Paris area is about</w:t>
      </w:r>
      <w:r w:rsidR="007C691A">
        <w:rPr>
          <w:lang w:val="en-US"/>
        </w:rPr>
        <w:t xml:space="preserve"> </w:t>
      </w:r>
      <w:r w:rsidRPr="00073646">
        <w:rPr>
          <w:lang w:val="en-US"/>
        </w:rPr>
        <w:t>1 800. This represents a density of 18 base-stations per 100 km².</w:t>
      </w:r>
    </w:p>
    <w:p w:rsidR="00073646" w:rsidRPr="00073646" w:rsidRDefault="00073646" w:rsidP="00073646">
      <w:pPr>
        <w:pStyle w:val="FigureNo"/>
        <w:rPr>
          <w:lang w:val="en-US"/>
        </w:rPr>
      </w:pPr>
      <w:r w:rsidRPr="00073646">
        <w:rPr>
          <w:lang w:val="en-US"/>
        </w:rPr>
        <w:t>FIGURE 1</w:t>
      </w:r>
    </w:p>
    <w:p w:rsidR="00073646" w:rsidRPr="009855E2" w:rsidRDefault="00073646" w:rsidP="00073646">
      <w:pPr>
        <w:pStyle w:val="Figuretitle"/>
      </w:pPr>
      <w:r w:rsidRPr="009855E2">
        <w:t>Deployment of mobile base-stations</w:t>
      </w:r>
    </w:p>
    <w:p w:rsidR="00073646" w:rsidRPr="00F813F6" w:rsidRDefault="00073646" w:rsidP="00073646">
      <w:pPr>
        <w:pStyle w:val="Figure"/>
      </w:pPr>
      <w:r w:rsidRPr="00F813F6">
        <w:rPr>
          <w:noProof/>
          <w:lang w:val="en-US" w:eastAsia="zh-CN"/>
        </w:rPr>
        <w:drawing>
          <wp:inline distT="0" distB="0" distL="0" distR="0" wp14:anchorId="1689B4DA" wp14:editId="3BEBBD5A">
            <wp:extent cx="4241800" cy="2799134"/>
            <wp:effectExtent l="0" t="0" r="6350" b="127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1800" cy="2799134"/>
                    </a:xfrm>
                    <a:prstGeom prst="rect">
                      <a:avLst/>
                    </a:prstGeom>
                    <a:noFill/>
                    <a:ln>
                      <a:noFill/>
                    </a:ln>
                  </pic:spPr>
                </pic:pic>
              </a:graphicData>
            </a:graphic>
          </wp:inline>
        </w:drawing>
      </w:r>
    </w:p>
    <w:p w:rsidR="00560FC1" w:rsidRDefault="00560FC1" w:rsidP="00560FC1">
      <w:pPr>
        <w:rPr>
          <w:lang w:val="en-US"/>
        </w:rPr>
      </w:pPr>
      <w:r>
        <w:rPr>
          <w:lang w:val="en-US"/>
        </w:rPr>
        <w:t>It is expected that each base station will include three sectors of 120</w:t>
      </w:r>
      <w:r w:rsidRPr="00560FC1">
        <w:rPr>
          <w:lang w:val="en-US"/>
        </w:rPr>
        <w:t xml:space="preserve">°. </w:t>
      </w:r>
      <w:r>
        <w:rPr>
          <w:lang w:val="en-US"/>
        </w:rPr>
        <w:t>However, it has also been assumed that, on average, emissions from one sector will always be blocked. In addition, it was considered that one of the remaining two sectors par base</w:t>
      </w:r>
      <w:r>
        <w:rPr>
          <w:lang w:val="en-US"/>
        </w:rPr>
        <w:noBreakHyphen/>
        <w:t>station will be further attenuated by 10 dB.</w:t>
      </w:r>
    </w:p>
    <w:p w:rsidR="00560FC1" w:rsidRDefault="00560FC1" w:rsidP="00560FC1">
      <w:pPr>
        <w:rPr>
          <w:rStyle w:val="ndesc"/>
          <w:lang w:val="en-US"/>
        </w:rPr>
      </w:pPr>
      <w:r>
        <w:rPr>
          <w:lang w:val="en-US"/>
        </w:rPr>
        <w:t>The azimuth of each base</w:t>
      </w:r>
      <w:r>
        <w:rPr>
          <w:lang w:val="en-US"/>
        </w:rPr>
        <w:noBreakHyphen/>
        <w:t>station h</w:t>
      </w:r>
      <w:r w:rsidR="00FD44A3">
        <w:rPr>
          <w:lang w:val="en-US"/>
        </w:rPr>
        <w:t>as been selected randomly (i.e.</w:t>
      </w:r>
      <w:r>
        <w:rPr>
          <w:lang w:val="en-US"/>
        </w:rPr>
        <w:t xml:space="preserve"> the azimuth</w:t>
      </w:r>
      <w:r w:rsidR="00D11F99">
        <w:rPr>
          <w:lang w:val="en-US"/>
        </w:rPr>
        <w:t xml:space="preserve"> A1 of the first sector is randomly selected and the azimuth A2 of the second sector is derived as A2 = A1 + 120</w:t>
      </w:r>
      <w:r w:rsidR="00D11F99" w:rsidRPr="00073646">
        <w:rPr>
          <w:rStyle w:val="ndesc"/>
          <w:lang w:val="en-US"/>
        </w:rPr>
        <w:t>°</w:t>
      </w:r>
      <w:r w:rsidR="00D11F99" w:rsidRPr="00546FC3">
        <w:rPr>
          <w:lang w:val="en-US"/>
        </w:rPr>
        <w:t>)</w:t>
      </w:r>
      <w:r w:rsidR="00D11F99">
        <w:rPr>
          <w:rStyle w:val="ndesc"/>
          <w:lang w:val="en-US"/>
        </w:rPr>
        <w:t>.</w:t>
      </w:r>
    </w:p>
    <w:p w:rsidR="00D11F99" w:rsidRDefault="00D11F99" w:rsidP="00D11F99">
      <w:pPr>
        <w:rPr>
          <w:lang w:val="en-US"/>
        </w:rPr>
      </w:pPr>
      <w:r>
        <w:rPr>
          <w:lang w:val="en-US"/>
        </w:rPr>
        <w:t>Considering UE, it has been assumed that, on average, 1 UE will always be transmitting at an average output power of 15 dBm (over all RB) within each base-station sector. At the end, 6 000 UE simultaneously transmitting have been considered.</w:t>
      </w:r>
    </w:p>
    <w:p w:rsidR="00D11F99" w:rsidRPr="00560FC1" w:rsidRDefault="00D11F99" w:rsidP="00D11F99">
      <w:pPr>
        <w:rPr>
          <w:lang w:val="en-US"/>
        </w:rPr>
      </w:pPr>
      <w:r>
        <w:rPr>
          <w:lang w:val="en-US"/>
        </w:rPr>
        <w:t>Parameters of both base-stations and UE given in §</w:t>
      </w:r>
      <w:r w:rsidR="004C216A">
        <w:rPr>
          <w:lang w:val="en-US"/>
        </w:rPr>
        <w:t xml:space="preserve"> </w:t>
      </w:r>
      <w:r>
        <w:rPr>
          <w:lang w:val="en-US"/>
        </w:rPr>
        <w:t>2 above have been used in the calculations for the two scenarios pertaining to the SMOS sensor (single antenna 9 dBi and composite antenna 24 dBi).</w:t>
      </w:r>
    </w:p>
    <w:p w:rsidR="00073646" w:rsidRPr="00073646" w:rsidRDefault="00073646" w:rsidP="00073646">
      <w:pPr>
        <w:pStyle w:val="Heading3"/>
        <w:rPr>
          <w:lang w:val="en-US"/>
        </w:rPr>
      </w:pPr>
      <w:r w:rsidRPr="00073646">
        <w:rPr>
          <w:lang w:val="en-US"/>
        </w:rPr>
        <w:t>3.2.3</w:t>
      </w:r>
      <w:r w:rsidRPr="00073646">
        <w:rPr>
          <w:lang w:val="en-US"/>
        </w:rPr>
        <w:tab/>
        <w:t>Dynamic simulations for base-stations</w:t>
      </w:r>
    </w:p>
    <w:p w:rsidR="00073646" w:rsidRPr="00073646" w:rsidRDefault="00073646" w:rsidP="00073646">
      <w:pPr>
        <w:rPr>
          <w:lang w:val="en-US"/>
        </w:rPr>
      </w:pPr>
      <w:r w:rsidRPr="00073646">
        <w:rPr>
          <w:lang w:val="en-US"/>
        </w:rPr>
        <w:t>Figure 2 below provides the resulting interference distributions for the base-stations case, obviously depicting a large exceedance of the interference criteria, about 19 dB (for the radiometer 24 dBi composite antenna) and 6 dB (for the radiometer 9 dBi antenna elements).</w:t>
      </w:r>
    </w:p>
    <w:p w:rsidR="00073646" w:rsidRPr="00073646" w:rsidRDefault="00073646" w:rsidP="00073646">
      <w:pPr>
        <w:pStyle w:val="FigureNo"/>
        <w:rPr>
          <w:lang w:val="en-US"/>
        </w:rPr>
      </w:pPr>
      <w:r w:rsidRPr="00073646">
        <w:rPr>
          <w:lang w:val="en-US"/>
        </w:rPr>
        <w:lastRenderedPageBreak/>
        <w:t>FIGURE 2</w:t>
      </w:r>
    </w:p>
    <w:p w:rsidR="00073646" w:rsidRPr="00073646" w:rsidRDefault="00073646" w:rsidP="00073646">
      <w:pPr>
        <w:pStyle w:val="Figuretitle"/>
        <w:rPr>
          <w:lang w:val="en-US"/>
        </w:rPr>
      </w:pPr>
      <w:r w:rsidRPr="00073646">
        <w:rPr>
          <w:lang w:val="en-US"/>
        </w:rPr>
        <w:t>Interference distribution for the base-stations case</w:t>
      </w:r>
    </w:p>
    <w:p w:rsidR="00073646" w:rsidRPr="009855E2" w:rsidRDefault="00073646" w:rsidP="00073646">
      <w:pPr>
        <w:pStyle w:val="Figure"/>
      </w:pPr>
      <w:r w:rsidRPr="009855E2">
        <w:rPr>
          <w:noProof/>
          <w:lang w:val="en-US" w:eastAsia="zh-CN"/>
        </w:rPr>
        <w:drawing>
          <wp:inline distT="0" distB="0" distL="0" distR="0" wp14:anchorId="5DCBFB56" wp14:editId="757603AE">
            <wp:extent cx="3975653" cy="2954524"/>
            <wp:effectExtent l="0" t="0" r="635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9460" cy="2957353"/>
                    </a:xfrm>
                    <a:prstGeom prst="rect">
                      <a:avLst/>
                    </a:prstGeom>
                    <a:noFill/>
                    <a:ln>
                      <a:noFill/>
                    </a:ln>
                  </pic:spPr>
                </pic:pic>
              </a:graphicData>
            </a:graphic>
          </wp:inline>
        </w:drawing>
      </w:r>
    </w:p>
    <w:p w:rsidR="00073646" w:rsidRPr="00073646" w:rsidRDefault="00073646" w:rsidP="00073646">
      <w:pPr>
        <w:rPr>
          <w:lang w:val="en-US"/>
        </w:rPr>
      </w:pPr>
      <w:r w:rsidRPr="00073646">
        <w:rPr>
          <w:lang w:val="en-US"/>
        </w:rPr>
        <w:t>These calculations confirm the previous conclusion that, for base-stations, the current unwanted emissions level of –60</w:t>
      </w:r>
      <w:r w:rsidRPr="00073646">
        <w:rPr>
          <w:szCs w:val="24"/>
          <w:lang w:val="en-US"/>
        </w:rPr>
        <w:t> </w:t>
      </w:r>
      <w:r w:rsidRPr="00073646">
        <w:rPr>
          <w:lang w:val="en-US"/>
        </w:rPr>
        <w:t>dBW/27</w:t>
      </w:r>
      <w:r w:rsidRPr="00073646">
        <w:rPr>
          <w:szCs w:val="24"/>
          <w:lang w:val="en-US"/>
        </w:rPr>
        <w:t> </w:t>
      </w:r>
      <w:r w:rsidRPr="00073646">
        <w:rPr>
          <w:lang w:val="en-US"/>
        </w:rPr>
        <w:t>MHz is not able to ensure protection of passive sensors.</w:t>
      </w:r>
    </w:p>
    <w:p w:rsidR="00073646" w:rsidRPr="00073646" w:rsidRDefault="00073646" w:rsidP="00073646">
      <w:pPr>
        <w:rPr>
          <w:lang w:val="en-US"/>
        </w:rPr>
      </w:pPr>
      <w:r w:rsidRPr="00073646">
        <w:rPr>
          <w:lang w:val="en-US"/>
        </w:rPr>
        <w:t>It is not expected that any mitigation technique could be applied in this case, meaning that to ensure protection of passive sensors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frequency band, an unwanted emissions level of –79</w:t>
      </w:r>
      <w:r w:rsidRPr="00073646">
        <w:rPr>
          <w:szCs w:val="24"/>
          <w:lang w:val="en-US"/>
        </w:rPr>
        <w:t> </w:t>
      </w:r>
      <w:r w:rsidRPr="00073646">
        <w:rPr>
          <w:lang w:val="en-US"/>
        </w:rPr>
        <w:t>dBW/27</w:t>
      </w:r>
      <w:r w:rsidRPr="00073646">
        <w:rPr>
          <w:szCs w:val="24"/>
          <w:lang w:val="en-US"/>
        </w:rPr>
        <w:t> </w:t>
      </w:r>
      <w:r w:rsidRPr="00073646">
        <w:rPr>
          <w:lang w:val="en-US"/>
        </w:rPr>
        <w:t>MHz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frequency band will be required for each sector of the base-stations</w:t>
      </w:r>
      <w:r w:rsidRPr="00073646">
        <w:rPr>
          <w:lang w:val="en-US" w:eastAsia="ja-JP"/>
        </w:rPr>
        <w:t xml:space="preserve"> according to this study</w:t>
      </w:r>
      <w:r w:rsidRPr="00073646">
        <w:rPr>
          <w:lang w:val="en-US"/>
        </w:rPr>
        <w:t>.</w:t>
      </w:r>
    </w:p>
    <w:p w:rsidR="00073646" w:rsidRPr="00073646" w:rsidRDefault="00073646" w:rsidP="00073646">
      <w:pPr>
        <w:pStyle w:val="Heading3"/>
        <w:rPr>
          <w:lang w:val="en-US"/>
        </w:rPr>
      </w:pPr>
      <w:r w:rsidRPr="00073646">
        <w:rPr>
          <w:lang w:val="en-US"/>
        </w:rPr>
        <w:t>3.2.4</w:t>
      </w:r>
      <w:r w:rsidRPr="00073646">
        <w:rPr>
          <w:lang w:val="en-US"/>
        </w:rPr>
        <w:tab/>
        <w:t>Dynamic simulations for user equipment</w:t>
      </w:r>
    </w:p>
    <w:p w:rsidR="00073646" w:rsidRPr="00073646" w:rsidRDefault="00073646" w:rsidP="00073646">
      <w:pPr>
        <w:rPr>
          <w:lang w:val="en-US"/>
        </w:rPr>
      </w:pPr>
      <w:r w:rsidRPr="00073646">
        <w:rPr>
          <w:lang w:val="en-US"/>
        </w:rPr>
        <w:t xml:space="preserve">Figure 3 below provides the resulting interference distributions for the </w:t>
      </w:r>
      <w:r w:rsidRPr="00073646">
        <w:rPr>
          <w:lang w:val="en-US" w:eastAsia="ja-JP"/>
        </w:rPr>
        <w:t>UE</w:t>
      </w:r>
      <w:r w:rsidRPr="00073646">
        <w:rPr>
          <w:lang w:val="en-US"/>
        </w:rPr>
        <w:t xml:space="preserve"> case. The raw calculations obviously depict a large exceedance of the interference criteria, about 20</w:t>
      </w:r>
      <w:r w:rsidRPr="00073646">
        <w:rPr>
          <w:szCs w:val="24"/>
          <w:lang w:val="en-US"/>
        </w:rPr>
        <w:t> </w:t>
      </w:r>
      <w:r w:rsidRPr="00073646">
        <w:rPr>
          <w:lang w:val="en-US"/>
        </w:rPr>
        <w:t>dB (for the radiometer 24</w:t>
      </w:r>
      <w:r w:rsidRPr="00073646">
        <w:rPr>
          <w:szCs w:val="24"/>
          <w:lang w:val="en-US"/>
        </w:rPr>
        <w:t> </w:t>
      </w:r>
      <w:r w:rsidRPr="00073646">
        <w:rPr>
          <w:lang w:val="en-US"/>
        </w:rPr>
        <w:t>dBi composite antenna) and 7</w:t>
      </w:r>
      <w:r w:rsidRPr="00073646">
        <w:rPr>
          <w:szCs w:val="24"/>
          <w:lang w:val="en-US"/>
        </w:rPr>
        <w:t> </w:t>
      </w:r>
      <w:r w:rsidRPr="00073646">
        <w:rPr>
          <w:lang w:val="en-US"/>
        </w:rPr>
        <w:t>dB (for the radiometer 9</w:t>
      </w:r>
      <w:r w:rsidRPr="00073646">
        <w:rPr>
          <w:szCs w:val="24"/>
          <w:lang w:val="en-US"/>
        </w:rPr>
        <w:t> </w:t>
      </w:r>
      <w:r w:rsidRPr="00073646">
        <w:rPr>
          <w:lang w:val="en-US"/>
        </w:rPr>
        <w:t>dBi antenna elements).</w:t>
      </w:r>
    </w:p>
    <w:p w:rsidR="00073646" w:rsidRPr="00073646" w:rsidRDefault="00073646" w:rsidP="00073646">
      <w:pPr>
        <w:pStyle w:val="FigureNo"/>
        <w:rPr>
          <w:lang w:val="en-US"/>
        </w:rPr>
      </w:pPr>
      <w:r w:rsidRPr="00073646">
        <w:rPr>
          <w:lang w:val="en-US"/>
        </w:rPr>
        <w:lastRenderedPageBreak/>
        <w:t>FIGURE 3</w:t>
      </w:r>
    </w:p>
    <w:p w:rsidR="00073646" w:rsidRPr="00073646" w:rsidRDefault="00073646" w:rsidP="00073646">
      <w:pPr>
        <w:pStyle w:val="Figuretitle"/>
        <w:rPr>
          <w:lang w:val="en-US"/>
        </w:rPr>
      </w:pPr>
      <w:r w:rsidRPr="00073646">
        <w:rPr>
          <w:lang w:val="en-US"/>
        </w:rPr>
        <w:t>Interference distributions for the UE case</w:t>
      </w:r>
    </w:p>
    <w:p w:rsidR="00073646" w:rsidRPr="00F813F6" w:rsidRDefault="00073646" w:rsidP="00073646">
      <w:pPr>
        <w:pStyle w:val="Figure"/>
      </w:pPr>
      <w:r w:rsidRPr="00F813F6">
        <w:rPr>
          <w:noProof/>
          <w:lang w:val="en-US" w:eastAsia="zh-CN"/>
        </w:rPr>
        <w:drawing>
          <wp:inline distT="0" distB="0" distL="0" distR="0" wp14:anchorId="4B782A90" wp14:editId="5C05B5FF">
            <wp:extent cx="4050000" cy="3009600"/>
            <wp:effectExtent l="0" t="0" r="8255" b="635"/>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0000" cy="3009600"/>
                    </a:xfrm>
                    <a:prstGeom prst="rect">
                      <a:avLst/>
                    </a:prstGeom>
                    <a:noFill/>
                    <a:ln>
                      <a:noFill/>
                    </a:ln>
                  </pic:spPr>
                </pic:pic>
              </a:graphicData>
            </a:graphic>
          </wp:inline>
        </w:drawing>
      </w:r>
    </w:p>
    <w:p w:rsidR="00073646" w:rsidRPr="00073646" w:rsidRDefault="00073646" w:rsidP="00073646">
      <w:pPr>
        <w:rPr>
          <w:lang w:val="en-US"/>
        </w:rPr>
      </w:pPr>
      <w:r w:rsidRPr="00073646">
        <w:rPr>
          <w:lang w:val="en-US"/>
        </w:rPr>
        <w:t xml:space="preserve">Unlike for the base-station case, a number of mitigation techniques </w:t>
      </w:r>
      <w:r w:rsidR="000B0435">
        <w:rPr>
          <w:lang w:val="en-US"/>
        </w:rPr>
        <w:t>can be expected to improve this</w:t>
      </w:r>
      <w:r w:rsidR="00134B2E">
        <w:rPr>
          <w:lang w:val="en-US"/>
        </w:rPr>
        <w:t xml:space="preserve"> </w:t>
      </w:r>
      <w:r w:rsidRPr="00073646">
        <w:rPr>
          <w:lang w:val="en-US"/>
        </w:rPr>
        <w:t>situation.</w:t>
      </w:r>
    </w:p>
    <w:p w:rsidR="00073646" w:rsidRPr="00073646" w:rsidRDefault="00073646" w:rsidP="00073646">
      <w:pPr>
        <w:rPr>
          <w:lang w:val="en-US"/>
        </w:rPr>
      </w:pPr>
      <w:r w:rsidRPr="00073646">
        <w:rPr>
          <w:lang w:val="en-US"/>
        </w:rPr>
        <w:t>These raw calculations represents a situation where all UE would be operated outdoor and in visibilit</w:t>
      </w:r>
      <w:r w:rsidR="00B459C1">
        <w:rPr>
          <w:lang w:val="en-US"/>
        </w:rPr>
        <w:t>y of the EESS (passive) sensor.</w:t>
      </w:r>
    </w:p>
    <w:p w:rsidR="00073646" w:rsidRPr="00073646" w:rsidRDefault="00073646" w:rsidP="00DD6201">
      <w:pPr>
        <w:rPr>
          <w:lang w:val="en-US"/>
        </w:rPr>
      </w:pPr>
      <w:r w:rsidRPr="00073646">
        <w:rPr>
          <w:lang w:val="en-US"/>
        </w:rPr>
        <w:t xml:space="preserve">Assuming the following assumptions as given in </w:t>
      </w:r>
      <w:r w:rsidR="00DD6201">
        <w:rPr>
          <w:lang w:val="en-US"/>
        </w:rPr>
        <w:t>§</w:t>
      </w:r>
      <w:r w:rsidR="00134B2E">
        <w:rPr>
          <w:lang w:val="en-US"/>
        </w:rPr>
        <w:t xml:space="preserve"> </w:t>
      </w:r>
      <w:r w:rsidRPr="00073646">
        <w:rPr>
          <w:lang w:val="en-US"/>
        </w:rPr>
        <w:t>2 above would lead to a mitigation factor of about 8 dB:</w:t>
      </w:r>
    </w:p>
    <w:p w:rsidR="00073646" w:rsidRPr="00073646" w:rsidRDefault="00073646" w:rsidP="00073646">
      <w:pPr>
        <w:pStyle w:val="enumlev1"/>
        <w:rPr>
          <w:lang w:val="en-US"/>
        </w:rPr>
      </w:pPr>
      <w:r w:rsidRPr="00073646">
        <w:rPr>
          <w:lang w:val="en-US"/>
        </w:rPr>
        <w:t>–</w:t>
      </w:r>
      <w:r w:rsidRPr="00073646">
        <w:rPr>
          <w:lang w:val="en-US"/>
        </w:rPr>
        <w:tab/>
        <w:t>10% outdoor UE in visibility</w:t>
      </w:r>
      <w:r w:rsidR="00B459C1">
        <w:rPr>
          <w:lang w:val="en-US"/>
        </w:rPr>
        <w:t>;</w:t>
      </w:r>
    </w:p>
    <w:p w:rsidR="00073646" w:rsidRPr="00073646" w:rsidRDefault="00073646" w:rsidP="00073646">
      <w:pPr>
        <w:pStyle w:val="enumlev1"/>
        <w:rPr>
          <w:lang w:val="en-US"/>
        </w:rPr>
      </w:pPr>
      <w:r w:rsidRPr="00073646">
        <w:rPr>
          <w:lang w:val="en-US"/>
        </w:rPr>
        <w:t>–</w:t>
      </w:r>
      <w:r w:rsidRPr="00073646">
        <w:rPr>
          <w:lang w:val="en-US"/>
        </w:rPr>
        <w:tab/>
        <w:t>20% outdoor UE with blocking (10 dB)</w:t>
      </w:r>
      <w:r w:rsidR="00B459C1">
        <w:rPr>
          <w:lang w:val="en-US"/>
        </w:rPr>
        <w:t>;</w:t>
      </w:r>
    </w:p>
    <w:p w:rsidR="00073646" w:rsidRPr="00073646" w:rsidRDefault="00073646" w:rsidP="00073646">
      <w:pPr>
        <w:pStyle w:val="enumlev1"/>
        <w:rPr>
          <w:lang w:val="en-US"/>
        </w:rPr>
      </w:pPr>
      <w:r w:rsidRPr="00073646">
        <w:rPr>
          <w:lang w:val="en-US"/>
        </w:rPr>
        <w:t>–</w:t>
      </w:r>
      <w:r w:rsidRPr="00073646">
        <w:rPr>
          <w:lang w:val="en-US"/>
        </w:rPr>
        <w:tab/>
        <w:t>70% indoor UE (12 dB attenuation).</w:t>
      </w:r>
    </w:p>
    <w:p w:rsidR="00073646" w:rsidRPr="00073646" w:rsidRDefault="00073646" w:rsidP="00DD6201">
      <w:pPr>
        <w:rPr>
          <w:i/>
          <w:lang w:val="en-US" w:eastAsia="ja-JP"/>
        </w:rPr>
      </w:pPr>
      <w:r w:rsidRPr="00073646">
        <w:rPr>
          <w:lang w:val="en-US"/>
        </w:rPr>
        <w:t>Consideration of a “human body absorption” factor could also provide additional mitigation and a factor of 4 dB has been proposed (see</w:t>
      </w:r>
      <w:r w:rsidR="00DD6201">
        <w:rPr>
          <w:lang w:val="en-US"/>
        </w:rPr>
        <w:t xml:space="preserve"> §</w:t>
      </w:r>
      <w:r w:rsidR="000C6E44">
        <w:rPr>
          <w:lang w:val="en-US"/>
        </w:rPr>
        <w:t xml:space="preserve"> </w:t>
      </w:r>
      <w:r w:rsidRPr="00073646">
        <w:rPr>
          <w:lang w:val="en-US"/>
        </w:rPr>
        <w:t>2 above).</w:t>
      </w:r>
    </w:p>
    <w:p w:rsidR="00073646" w:rsidRPr="00073646" w:rsidRDefault="00073646" w:rsidP="00073646">
      <w:pPr>
        <w:rPr>
          <w:lang w:val="en-US"/>
        </w:rPr>
      </w:pPr>
      <w:r w:rsidRPr="00073646">
        <w:rPr>
          <w:lang w:val="en-US"/>
        </w:rPr>
        <w:t>Overall, however, these calculations show that, for UE also, the current unwanted emissions level of –60</w:t>
      </w:r>
      <w:r w:rsidRPr="00073646">
        <w:rPr>
          <w:szCs w:val="24"/>
          <w:lang w:val="en-US"/>
        </w:rPr>
        <w:t> </w:t>
      </w:r>
      <w:r w:rsidRPr="00073646">
        <w:rPr>
          <w:lang w:val="en-US"/>
        </w:rPr>
        <w:t>dBW/27</w:t>
      </w:r>
      <w:r w:rsidRPr="00073646">
        <w:rPr>
          <w:szCs w:val="24"/>
          <w:lang w:val="en-US"/>
        </w:rPr>
        <w:t> </w:t>
      </w:r>
      <w:r w:rsidRPr="00073646">
        <w:rPr>
          <w:lang w:val="en-US"/>
        </w:rPr>
        <w:t>MHz is not able to ensure protection of passive sensors.</w:t>
      </w:r>
    </w:p>
    <w:p w:rsidR="00073646" w:rsidRPr="00073646" w:rsidRDefault="00073646" w:rsidP="00073646">
      <w:pPr>
        <w:rPr>
          <w:lang w:val="en-US"/>
        </w:rPr>
      </w:pPr>
      <w:r w:rsidRPr="00073646">
        <w:rPr>
          <w:lang w:val="en-US"/>
        </w:rPr>
        <w:t>Applying the abovementioned mitigation factors would mean that to ensure protection of passive sensors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MHz frequency band, an unwanted emissions level of –68</w:t>
      </w:r>
      <w:r w:rsidRPr="00073646">
        <w:rPr>
          <w:szCs w:val="24"/>
          <w:lang w:val="en-US"/>
        </w:rPr>
        <w:t> </w:t>
      </w:r>
      <w:r w:rsidRPr="00073646">
        <w:rPr>
          <w:lang w:val="en-US"/>
        </w:rPr>
        <w:t>dBW/27</w:t>
      </w:r>
      <w:r w:rsidRPr="00073646">
        <w:rPr>
          <w:szCs w:val="24"/>
          <w:lang w:val="en-US"/>
        </w:rPr>
        <w:t> </w:t>
      </w:r>
      <w:r w:rsidRPr="00073646">
        <w:rPr>
          <w:lang w:val="en-US"/>
        </w:rPr>
        <w:t>MHz in the 1</w:t>
      </w:r>
      <w:r w:rsidRPr="00073646">
        <w:rPr>
          <w:szCs w:val="24"/>
          <w:lang w:val="en-US"/>
        </w:rPr>
        <w:t> </w:t>
      </w:r>
      <w:r w:rsidRPr="00073646">
        <w:rPr>
          <w:lang w:val="en-US"/>
        </w:rPr>
        <w:t>400-1</w:t>
      </w:r>
      <w:r w:rsidRPr="00073646">
        <w:rPr>
          <w:szCs w:val="24"/>
          <w:lang w:val="en-US"/>
        </w:rPr>
        <w:t> </w:t>
      </w:r>
      <w:r w:rsidRPr="00073646">
        <w:rPr>
          <w:lang w:val="en-US"/>
        </w:rPr>
        <w:t>427</w:t>
      </w:r>
      <w:r w:rsidRPr="00073646">
        <w:rPr>
          <w:szCs w:val="24"/>
          <w:lang w:val="en-US"/>
        </w:rPr>
        <w:t> </w:t>
      </w:r>
      <w:r w:rsidRPr="00073646">
        <w:rPr>
          <w:lang w:val="en-US"/>
        </w:rPr>
        <w:t xml:space="preserve">MHz frequency band will be required for each UE. This level is to be considered for </w:t>
      </w:r>
      <w:r w:rsidRPr="00073646">
        <w:rPr>
          <w:rFonts w:cs="Arial"/>
          <w:szCs w:val="22"/>
          <w:lang w:val="en-US" w:eastAsia="ja-JP"/>
        </w:rPr>
        <w:t>an average output power of 15 dBm</w:t>
      </w:r>
      <w:r w:rsidRPr="00073646">
        <w:rPr>
          <w:lang w:val="en-US"/>
        </w:rPr>
        <w:t xml:space="preserve"> </w:t>
      </w:r>
      <w:r w:rsidRPr="00073646">
        <w:rPr>
          <w:rFonts w:cs="Arial"/>
          <w:szCs w:val="22"/>
          <w:lang w:val="en-US" w:eastAsia="ja-JP"/>
        </w:rPr>
        <w:t>(over all RB)</w:t>
      </w:r>
      <w:r w:rsidRPr="00073646">
        <w:rPr>
          <w:lang w:val="en-US"/>
        </w:rPr>
        <w:t>.</w:t>
      </w:r>
    </w:p>
    <w:p w:rsidR="00073646" w:rsidRPr="00073646" w:rsidRDefault="00073646" w:rsidP="00073646">
      <w:pPr>
        <w:pStyle w:val="Heading1"/>
        <w:rPr>
          <w:lang w:val="en-US"/>
        </w:rPr>
      </w:pPr>
      <w:r w:rsidRPr="00073646">
        <w:rPr>
          <w:lang w:val="en-US"/>
        </w:rPr>
        <w:lastRenderedPageBreak/>
        <w:t>4</w:t>
      </w:r>
      <w:r w:rsidRPr="00073646">
        <w:rPr>
          <w:lang w:val="en-US"/>
        </w:rPr>
        <w:tab/>
        <w:t>Analysis of compatibility between EESS (passive) systems and IMT systems using measured unwanted emission levels of IMT equipment</w:t>
      </w:r>
    </w:p>
    <w:p w:rsidR="00073646" w:rsidRPr="00073646" w:rsidRDefault="00073646" w:rsidP="00FD44A3">
      <w:pPr>
        <w:keepNext/>
        <w:keepLines/>
        <w:rPr>
          <w:lang w:val="en-US" w:eastAsia="ja-JP"/>
        </w:rPr>
      </w:pPr>
      <w:r w:rsidRPr="00073646">
        <w:rPr>
          <w:lang w:val="en-US"/>
        </w:rPr>
        <w:t>In this section, it is analysed if current</w:t>
      </w:r>
      <w:r w:rsidRPr="00073646">
        <w:rPr>
          <w:lang w:val="en-US" w:eastAsia="ja-JP"/>
        </w:rPr>
        <w:t>ly</w:t>
      </w:r>
      <w:r w:rsidRPr="00073646">
        <w:rPr>
          <w:lang w:val="en-US"/>
        </w:rPr>
        <w:t xml:space="preserve"> available IMT equipment</w:t>
      </w:r>
      <w:r w:rsidRPr="00F813F6">
        <w:rPr>
          <w:rStyle w:val="FootnoteReference"/>
        </w:rPr>
        <w:footnoteReference w:id="3"/>
      </w:r>
      <w:r w:rsidRPr="00073646">
        <w:rPr>
          <w:lang w:val="en-US"/>
        </w:rPr>
        <w:t xml:space="preserve"> could meet the maximum allowable emission level</w:t>
      </w:r>
      <w:r w:rsidRPr="00073646">
        <w:rPr>
          <w:lang w:val="en-US" w:eastAsia="ja-JP"/>
        </w:rPr>
        <w:t>s</w:t>
      </w:r>
      <w:r w:rsidRPr="00073646">
        <w:rPr>
          <w:lang w:val="en-US"/>
        </w:rPr>
        <w:t xml:space="preserve"> to protect the EESS (passive) systems calculated in </w:t>
      </w:r>
      <w:r w:rsidR="000B0435">
        <w:rPr>
          <w:lang w:val="en-US"/>
        </w:rPr>
        <w:t>§</w:t>
      </w:r>
      <w:r w:rsidR="000C6E44">
        <w:rPr>
          <w:lang w:val="en-US"/>
        </w:rPr>
        <w:t xml:space="preserve"> </w:t>
      </w:r>
      <w:r w:rsidRPr="00073646">
        <w:rPr>
          <w:lang w:val="en-US"/>
        </w:rPr>
        <w:t>3.</w:t>
      </w:r>
      <w:r w:rsidRPr="00073646">
        <w:rPr>
          <w:lang w:val="en-US" w:eastAsia="ja-JP"/>
        </w:rPr>
        <w:t xml:space="preserve"> It is essential to evaluate compatibility between the EESS (passive) systems and IMT systems based on realistic assumptions. For example, although the technical characteristics of IMT equipment are specified in telecommunication standards (e.g. 3GPP), the values specified in these</w:t>
      </w:r>
      <w:r w:rsidR="000B0435">
        <w:rPr>
          <w:lang w:val="en-US" w:eastAsia="ja-JP"/>
        </w:rPr>
        <w:t xml:space="preserve"> </w:t>
      </w:r>
      <w:r w:rsidRPr="00073646">
        <w:rPr>
          <w:lang w:val="en-US" w:eastAsia="ja-JP"/>
        </w:rPr>
        <w:t>standards include margin for i</w:t>
      </w:r>
      <w:r w:rsidR="00B459C1">
        <w:rPr>
          <w:lang w:val="en-US" w:eastAsia="ja-JP"/>
        </w:rPr>
        <w:t>mplementation of the equipment.</w:t>
      </w:r>
    </w:p>
    <w:p w:rsidR="00073646" w:rsidRPr="00073646" w:rsidRDefault="00073646" w:rsidP="00073646">
      <w:pPr>
        <w:rPr>
          <w:lang w:val="en-US" w:eastAsia="ja-JP"/>
        </w:rPr>
      </w:pPr>
      <w:r w:rsidRPr="00073646">
        <w:rPr>
          <w:lang w:val="en-US" w:eastAsia="ja-JP"/>
        </w:rPr>
        <w:t xml:space="preserve">Nevertheless the current standards as well as specification for IMT systems appear to specify unwanted emission levels that are as much as 30 dB less stringent than the one recommended in the Radio Regulations </w:t>
      </w:r>
      <w:r w:rsidR="00546FC3">
        <w:rPr>
          <w:lang w:val="en-US" w:eastAsia="ja-JP"/>
        </w:rPr>
        <w:t xml:space="preserve">(RR) </w:t>
      </w:r>
      <w:r w:rsidRPr="00073646">
        <w:rPr>
          <w:lang w:val="en-US" w:eastAsia="ja-JP"/>
        </w:rPr>
        <w:t>edition 2012 (–60</w:t>
      </w:r>
      <w:r w:rsidRPr="00073646">
        <w:rPr>
          <w:szCs w:val="24"/>
          <w:lang w:val="en-US"/>
        </w:rPr>
        <w:t> </w:t>
      </w:r>
      <w:r w:rsidRPr="00073646">
        <w:rPr>
          <w:lang w:val="en-US" w:eastAsia="ja-JP"/>
        </w:rPr>
        <w:t>dBW/27</w:t>
      </w:r>
      <w:r w:rsidRPr="00073646">
        <w:rPr>
          <w:szCs w:val="24"/>
          <w:lang w:val="en-US"/>
        </w:rPr>
        <w:t> </w:t>
      </w:r>
      <w:r w:rsidRPr="00073646">
        <w:rPr>
          <w:lang w:val="en-US" w:eastAsia="ja-JP"/>
        </w:rPr>
        <w:t>MHz).</w:t>
      </w:r>
    </w:p>
    <w:p w:rsidR="00073646" w:rsidRPr="00073646" w:rsidRDefault="00073646" w:rsidP="00073646">
      <w:pPr>
        <w:rPr>
          <w:lang w:val="en-US" w:eastAsia="ja-JP"/>
        </w:rPr>
      </w:pPr>
      <w:r w:rsidRPr="00073646">
        <w:rPr>
          <w:lang w:val="en-US" w:eastAsia="ja-JP"/>
        </w:rPr>
        <w:t xml:space="preserve">Achievable performance in IMT equipment, such as unwanted emission levels, is probably better than those specified in the standards. Furthermore, as each station in IMT systems is operated under dynamic transmission power control to minimize intra-system interference, the station does not always </w:t>
      </w:r>
      <w:r w:rsidR="00B459C1">
        <w:rPr>
          <w:lang w:val="en-US" w:eastAsia="ja-JP"/>
        </w:rPr>
        <w:t>use maximum transmission power.</w:t>
      </w:r>
    </w:p>
    <w:p w:rsidR="00073646" w:rsidRPr="00073646" w:rsidRDefault="00073646" w:rsidP="00073646">
      <w:pPr>
        <w:rPr>
          <w:lang w:val="en-US"/>
        </w:rPr>
      </w:pPr>
      <w:r w:rsidRPr="00073646">
        <w:rPr>
          <w:lang w:val="en-US" w:eastAsia="ja-JP"/>
        </w:rPr>
        <w:t xml:space="preserve">Therefore, the assessment of the feasibility for IMT stations to meet the unwanted emissions levels resulting from the compatibility studies should be made taking into account practical design consideration of IMT systems </w:t>
      </w:r>
      <w:r w:rsidRPr="00546FC3">
        <w:rPr>
          <w:lang w:val="en-US" w:eastAsia="ja-JP"/>
        </w:rPr>
        <w:t>and consistently with study assumptions</w:t>
      </w:r>
      <w:r w:rsidRPr="00073646">
        <w:rPr>
          <w:lang w:val="en-US" w:eastAsia="ja-JP"/>
        </w:rPr>
        <w:t>.</w:t>
      </w:r>
    </w:p>
    <w:p w:rsidR="00073646" w:rsidRPr="00073646" w:rsidRDefault="00073646" w:rsidP="00073646">
      <w:pPr>
        <w:rPr>
          <w:lang w:val="en-US" w:eastAsia="ja-JP"/>
        </w:rPr>
      </w:pPr>
      <w:r w:rsidRPr="00073646">
        <w:rPr>
          <w:lang w:val="en-US" w:eastAsia="ja-JP"/>
        </w:rPr>
        <w:t>In order to assess the compatibility under such realistic conditions, measured unwanted emission levels assuming different operating conditions for IMT UE and base-stations are summarized as shown i</w:t>
      </w:r>
      <w:r w:rsidR="00B459C1">
        <w:rPr>
          <w:lang w:val="en-US" w:eastAsia="ja-JP"/>
        </w:rPr>
        <w:t>n Tables 6 and 7.</w:t>
      </w:r>
    </w:p>
    <w:p w:rsidR="00073646" w:rsidRPr="00073646" w:rsidRDefault="00073646" w:rsidP="00073646">
      <w:pPr>
        <w:pStyle w:val="TableNo"/>
        <w:rPr>
          <w:lang w:val="en-US" w:eastAsia="ja-JP"/>
        </w:rPr>
      </w:pPr>
      <w:r w:rsidRPr="00073646">
        <w:rPr>
          <w:lang w:val="en-US" w:eastAsia="ja-JP"/>
        </w:rPr>
        <w:t>TABLE</w:t>
      </w:r>
      <w:r w:rsidR="00C3317D">
        <w:rPr>
          <w:lang w:val="en-US" w:eastAsia="ja-JP"/>
        </w:rPr>
        <w:t xml:space="preserve"> </w:t>
      </w:r>
      <w:r w:rsidRPr="00073646">
        <w:rPr>
          <w:lang w:val="en-US" w:eastAsia="ja-JP"/>
        </w:rPr>
        <w:t>6</w:t>
      </w:r>
    </w:p>
    <w:p w:rsidR="00073646" w:rsidRPr="00073646" w:rsidRDefault="00073646" w:rsidP="00073646">
      <w:pPr>
        <w:pStyle w:val="Tabletitle"/>
        <w:rPr>
          <w:rFonts w:cs="Arial"/>
          <w:szCs w:val="22"/>
          <w:lang w:val="en-US" w:eastAsia="ja-JP"/>
        </w:rPr>
      </w:pPr>
      <w:r w:rsidRPr="00073646">
        <w:rPr>
          <w:lang w:val="en-US" w:eastAsia="ja-JP"/>
        </w:rPr>
        <w:t>Measured unwanted emission level</w:t>
      </w:r>
      <w:r w:rsidRPr="00073646">
        <w:rPr>
          <w:lang w:val="en-US"/>
        </w:rPr>
        <w:t xml:space="preserve">s </w:t>
      </w:r>
      <w:r w:rsidRPr="00073646">
        <w:rPr>
          <w:lang w:val="en-US" w:eastAsia="ja-JP"/>
        </w:rPr>
        <w:t>of</w:t>
      </w:r>
      <w:r w:rsidRPr="00073646">
        <w:rPr>
          <w:lang w:val="en-US"/>
        </w:rPr>
        <w:t xml:space="preserve"> </w:t>
      </w:r>
      <w:r w:rsidRPr="00073646">
        <w:rPr>
          <w:lang w:val="en-US" w:eastAsia="ja-JP"/>
        </w:rPr>
        <w:t>an IMT UE</w:t>
      </w:r>
      <w:r w:rsidRPr="00073646">
        <w:rPr>
          <w:rFonts w:cs="Arial"/>
          <w:szCs w:val="22"/>
          <w:lang w:val="en-US" w:eastAsia="ja-JP"/>
        </w:rPr>
        <w:t xml:space="preserve"> (in dBW per 27 MHz)</w:t>
      </w:r>
    </w:p>
    <w:tbl>
      <w:tblPr>
        <w:tblStyle w:val="TableGrid"/>
        <w:tblW w:w="9639" w:type="dxa"/>
        <w:jc w:val="center"/>
        <w:tblLayout w:type="fixed"/>
        <w:tblLook w:val="04A0" w:firstRow="1" w:lastRow="0" w:firstColumn="1" w:lastColumn="0" w:noHBand="0" w:noVBand="1"/>
      </w:tblPr>
      <w:tblGrid>
        <w:gridCol w:w="1723"/>
        <w:gridCol w:w="1092"/>
        <w:gridCol w:w="1281"/>
        <w:gridCol w:w="1387"/>
        <w:gridCol w:w="1387"/>
        <w:gridCol w:w="1382"/>
        <w:gridCol w:w="1387"/>
      </w:tblGrid>
      <w:tr w:rsidR="00073646" w:rsidRPr="00C95E2E" w:rsidTr="00EF2439">
        <w:trPr>
          <w:jc w:val="center"/>
        </w:trPr>
        <w:tc>
          <w:tcPr>
            <w:tcW w:w="2879" w:type="dxa"/>
            <w:gridSpan w:val="2"/>
            <w:vMerge w:val="restart"/>
            <w:vAlign w:val="center"/>
          </w:tcPr>
          <w:p w:rsidR="00073646" w:rsidRPr="00073646" w:rsidRDefault="00073646" w:rsidP="00560FC1">
            <w:pPr>
              <w:pStyle w:val="Tablehead"/>
              <w:rPr>
                <w:rFonts w:eastAsiaTheme="minorEastAsia"/>
                <w:lang w:val="en-US" w:eastAsia="ja-JP"/>
              </w:rPr>
            </w:pPr>
          </w:p>
        </w:tc>
        <w:tc>
          <w:tcPr>
            <w:tcW w:w="6976" w:type="dxa"/>
            <w:gridSpan w:val="5"/>
          </w:tcPr>
          <w:p w:rsidR="00073646" w:rsidRPr="00073646" w:rsidRDefault="00073646" w:rsidP="00560FC1">
            <w:pPr>
              <w:pStyle w:val="Tablehead"/>
              <w:rPr>
                <w:rFonts w:eastAsiaTheme="minorEastAsia"/>
                <w:lang w:val="en-US" w:eastAsia="ja-JP"/>
              </w:rPr>
            </w:pPr>
            <w:r w:rsidRPr="00073646">
              <w:rPr>
                <w:lang w:val="en-US" w:eastAsia="ja-JP"/>
              </w:rPr>
              <w:t>Guard band (Frequency separation from the measured 27 MHz bandwidth)</w:t>
            </w:r>
          </w:p>
        </w:tc>
      </w:tr>
      <w:tr w:rsidR="00073646" w:rsidRPr="00F813F6" w:rsidTr="00EF2439">
        <w:trPr>
          <w:jc w:val="center"/>
        </w:trPr>
        <w:tc>
          <w:tcPr>
            <w:tcW w:w="2879" w:type="dxa"/>
            <w:gridSpan w:val="2"/>
            <w:vMerge/>
            <w:vAlign w:val="center"/>
          </w:tcPr>
          <w:p w:rsidR="00073646" w:rsidRPr="00073646" w:rsidRDefault="00073646" w:rsidP="00560FC1">
            <w:pPr>
              <w:pStyle w:val="Tablehead"/>
              <w:rPr>
                <w:rFonts w:eastAsiaTheme="minorEastAsia"/>
                <w:lang w:val="en-US" w:eastAsia="ja-JP"/>
              </w:rPr>
            </w:pPr>
          </w:p>
        </w:tc>
        <w:tc>
          <w:tcPr>
            <w:tcW w:w="1309" w:type="dxa"/>
          </w:tcPr>
          <w:p w:rsidR="00073646" w:rsidRPr="00F813F6" w:rsidRDefault="00073646" w:rsidP="00560FC1">
            <w:pPr>
              <w:pStyle w:val="Tablehead"/>
              <w:rPr>
                <w:lang w:eastAsia="ja-JP"/>
              </w:rPr>
            </w:pPr>
            <w:r w:rsidRPr="00F813F6">
              <w:rPr>
                <w:lang w:eastAsia="ja-JP"/>
              </w:rPr>
              <w:t>0 MHz</w:t>
            </w:r>
          </w:p>
        </w:tc>
        <w:tc>
          <w:tcPr>
            <w:tcW w:w="1418" w:type="dxa"/>
            <w:vAlign w:val="center"/>
          </w:tcPr>
          <w:p w:rsidR="00073646" w:rsidRPr="00F813F6" w:rsidRDefault="00073646" w:rsidP="00560FC1">
            <w:pPr>
              <w:pStyle w:val="Tablehead"/>
              <w:rPr>
                <w:rFonts w:eastAsiaTheme="minorEastAsia"/>
                <w:lang w:eastAsia="ja-JP"/>
              </w:rPr>
            </w:pPr>
            <w:r w:rsidRPr="00F813F6">
              <w:rPr>
                <w:lang w:eastAsia="ja-JP"/>
              </w:rPr>
              <w:t>0.9 MHz</w:t>
            </w:r>
          </w:p>
        </w:tc>
        <w:tc>
          <w:tcPr>
            <w:tcW w:w="1418" w:type="dxa"/>
            <w:vAlign w:val="center"/>
          </w:tcPr>
          <w:p w:rsidR="00073646" w:rsidRPr="00F813F6" w:rsidRDefault="00073646" w:rsidP="00560FC1">
            <w:pPr>
              <w:pStyle w:val="Tablehead"/>
              <w:rPr>
                <w:rFonts w:eastAsiaTheme="minorEastAsia"/>
                <w:lang w:eastAsia="ja-JP"/>
              </w:rPr>
            </w:pPr>
            <w:r w:rsidRPr="00F813F6">
              <w:rPr>
                <w:lang w:eastAsia="ja-JP"/>
              </w:rPr>
              <w:t>5 MHz</w:t>
            </w:r>
          </w:p>
        </w:tc>
        <w:tc>
          <w:tcPr>
            <w:tcW w:w="1413" w:type="dxa"/>
            <w:vAlign w:val="center"/>
          </w:tcPr>
          <w:p w:rsidR="00073646" w:rsidRPr="00F813F6" w:rsidRDefault="00073646" w:rsidP="00560FC1">
            <w:pPr>
              <w:pStyle w:val="Tablehead"/>
              <w:rPr>
                <w:rFonts w:eastAsiaTheme="minorEastAsia"/>
                <w:lang w:eastAsia="ja-JP"/>
              </w:rPr>
            </w:pPr>
            <w:r w:rsidRPr="00F813F6">
              <w:rPr>
                <w:lang w:eastAsia="ja-JP"/>
              </w:rPr>
              <w:t>10 MHz</w:t>
            </w:r>
          </w:p>
        </w:tc>
        <w:tc>
          <w:tcPr>
            <w:tcW w:w="1418" w:type="dxa"/>
            <w:vAlign w:val="center"/>
          </w:tcPr>
          <w:p w:rsidR="00073646" w:rsidRPr="00F813F6" w:rsidRDefault="00073646" w:rsidP="00560FC1">
            <w:pPr>
              <w:pStyle w:val="Tablehead"/>
              <w:rPr>
                <w:rFonts w:eastAsiaTheme="minorEastAsia"/>
                <w:lang w:eastAsia="ja-JP"/>
              </w:rPr>
            </w:pPr>
            <w:r w:rsidRPr="00F813F6">
              <w:rPr>
                <w:lang w:eastAsia="ja-JP"/>
              </w:rPr>
              <w:t>20 MHz</w:t>
            </w:r>
          </w:p>
        </w:tc>
      </w:tr>
      <w:tr w:rsidR="00073646" w:rsidRPr="00F813F6" w:rsidTr="00EF2439">
        <w:trPr>
          <w:trHeight w:val="166"/>
          <w:jc w:val="center"/>
        </w:trPr>
        <w:tc>
          <w:tcPr>
            <w:tcW w:w="1764" w:type="dxa"/>
            <w:vMerge w:val="restart"/>
            <w:vAlign w:val="center"/>
          </w:tcPr>
          <w:p w:rsidR="00073646" w:rsidRPr="00073646" w:rsidRDefault="00073646" w:rsidP="00560FC1">
            <w:pPr>
              <w:pStyle w:val="Tabletext"/>
              <w:jc w:val="center"/>
              <w:rPr>
                <w:rFonts w:eastAsiaTheme="minorEastAsia"/>
                <w:lang w:val="en-US"/>
              </w:rPr>
            </w:pPr>
            <w:r w:rsidRPr="00073646">
              <w:rPr>
                <w:lang w:val="en-US"/>
              </w:rPr>
              <w:t>Transmitting output power of an IMT UE</w:t>
            </w:r>
          </w:p>
        </w:tc>
        <w:tc>
          <w:tcPr>
            <w:tcW w:w="1115" w:type="dxa"/>
            <w:vAlign w:val="center"/>
          </w:tcPr>
          <w:p w:rsidR="00073646" w:rsidRPr="0026165B" w:rsidRDefault="00073646" w:rsidP="00560FC1">
            <w:pPr>
              <w:pStyle w:val="Tabletext"/>
              <w:jc w:val="center"/>
              <w:rPr>
                <w:rFonts w:eastAsiaTheme="minorEastAsia"/>
              </w:rPr>
            </w:pPr>
            <w:r w:rsidRPr="0026165B">
              <w:t>23 dBm</w:t>
            </w:r>
          </w:p>
        </w:tc>
        <w:tc>
          <w:tcPr>
            <w:tcW w:w="1309" w:type="dxa"/>
            <w:vAlign w:val="center"/>
          </w:tcPr>
          <w:p w:rsidR="00073646" w:rsidRPr="0026165B" w:rsidRDefault="00073646" w:rsidP="00560FC1">
            <w:pPr>
              <w:pStyle w:val="Tabletext"/>
              <w:jc w:val="center"/>
            </w:pPr>
            <w:r w:rsidRPr="0026165B">
              <w:t>–49.</w:t>
            </w:r>
            <w:r w:rsidRPr="0026165B">
              <w:rPr>
                <w:rFonts w:hint="eastAsia"/>
              </w:rPr>
              <w:t>6</w:t>
            </w:r>
          </w:p>
        </w:tc>
        <w:tc>
          <w:tcPr>
            <w:tcW w:w="1418" w:type="dxa"/>
            <w:vAlign w:val="center"/>
          </w:tcPr>
          <w:p w:rsidR="00073646" w:rsidRPr="0026165B" w:rsidRDefault="00073646" w:rsidP="00560FC1">
            <w:pPr>
              <w:pStyle w:val="Tabletext"/>
              <w:jc w:val="center"/>
              <w:rPr>
                <w:rFonts w:eastAsiaTheme="minorEastAsia"/>
              </w:rPr>
            </w:pPr>
            <w:r w:rsidRPr="0026165B">
              <w:t>–49.5</w:t>
            </w:r>
            <w:r w:rsidRPr="0026165B">
              <w:rPr>
                <w:rStyle w:val="FootnoteReference"/>
                <w:sz w:val="16"/>
                <w:szCs w:val="16"/>
              </w:rPr>
              <w:footnoteReference w:id="4"/>
            </w:r>
          </w:p>
        </w:tc>
        <w:tc>
          <w:tcPr>
            <w:tcW w:w="1418" w:type="dxa"/>
            <w:vAlign w:val="center"/>
          </w:tcPr>
          <w:p w:rsidR="00073646" w:rsidRPr="0026165B" w:rsidRDefault="00073646" w:rsidP="00560FC1">
            <w:pPr>
              <w:pStyle w:val="Tabletext"/>
              <w:jc w:val="center"/>
              <w:rPr>
                <w:rFonts w:eastAsiaTheme="minorEastAsia"/>
              </w:rPr>
            </w:pPr>
            <w:r w:rsidRPr="0026165B">
              <w:t>–52.5</w:t>
            </w:r>
            <w:r w:rsidRPr="0026165B">
              <w:rPr>
                <w:rStyle w:val="FootnoteReference"/>
                <w:sz w:val="16"/>
                <w:szCs w:val="16"/>
              </w:rPr>
              <w:footnoteReference w:id="5"/>
            </w:r>
          </w:p>
        </w:tc>
        <w:tc>
          <w:tcPr>
            <w:tcW w:w="1413" w:type="dxa"/>
            <w:vAlign w:val="center"/>
          </w:tcPr>
          <w:p w:rsidR="00073646" w:rsidRPr="0026165B" w:rsidRDefault="00073646" w:rsidP="00560FC1">
            <w:pPr>
              <w:pStyle w:val="Tabletext"/>
              <w:jc w:val="center"/>
              <w:rPr>
                <w:rFonts w:eastAsiaTheme="minorEastAsia"/>
              </w:rPr>
            </w:pPr>
            <w:r w:rsidRPr="0026165B">
              <w:t>–57.6</w:t>
            </w:r>
          </w:p>
        </w:tc>
        <w:tc>
          <w:tcPr>
            <w:tcW w:w="1418" w:type="dxa"/>
            <w:vAlign w:val="center"/>
          </w:tcPr>
          <w:p w:rsidR="00073646" w:rsidRPr="0026165B" w:rsidRDefault="00073646" w:rsidP="00560FC1">
            <w:pPr>
              <w:pStyle w:val="Tabletext"/>
              <w:jc w:val="center"/>
              <w:rPr>
                <w:rFonts w:eastAsiaTheme="minorEastAsia"/>
              </w:rPr>
            </w:pPr>
            <w:r w:rsidRPr="0026165B">
              <w:t>–76.2</w:t>
            </w:r>
          </w:p>
        </w:tc>
      </w:tr>
      <w:tr w:rsidR="00073646" w:rsidRPr="00F813F6" w:rsidTr="00EF2439">
        <w:trPr>
          <w:jc w:val="center"/>
        </w:trPr>
        <w:tc>
          <w:tcPr>
            <w:tcW w:w="1764" w:type="dxa"/>
            <w:vMerge/>
            <w:vAlign w:val="center"/>
          </w:tcPr>
          <w:p w:rsidR="00073646" w:rsidRPr="0026165B" w:rsidRDefault="00073646" w:rsidP="00560FC1">
            <w:pPr>
              <w:pStyle w:val="Tabletext"/>
              <w:jc w:val="center"/>
              <w:rPr>
                <w:rFonts w:eastAsiaTheme="minorEastAsia"/>
              </w:rPr>
            </w:pPr>
          </w:p>
        </w:tc>
        <w:tc>
          <w:tcPr>
            <w:tcW w:w="1115" w:type="dxa"/>
            <w:vAlign w:val="center"/>
          </w:tcPr>
          <w:p w:rsidR="00073646" w:rsidRPr="0026165B" w:rsidRDefault="00073646" w:rsidP="00560FC1">
            <w:pPr>
              <w:pStyle w:val="Tabletext"/>
              <w:jc w:val="center"/>
            </w:pPr>
            <w:r w:rsidRPr="0026165B">
              <w:t>15</w:t>
            </w:r>
            <w:r w:rsidRPr="0026165B">
              <w:rPr>
                <w:rFonts w:hint="eastAsia"/>
              </w:rPr>
              <w:t xml:space="preserve"> dBm</w:t>
            </w:r>
          </w:p>
        </w:tc>
        <w:tc>
          <w:tcPr>
            <w:tcW w:w="1309" w:type="dxa"/>
            <w:vAlign w:val="center"/>
          </w:tcPr>
          <w:p w:rsidR="00073646" w:rsidRPr="0026165B" w:rsidRDefault="00073646" w:rsidP="00560FC1">
            <w:pPr>
              <w:pStyle w:val="Tabletext"/>
              <w:jc w:val="center"/>
            </w:pPr>
            <w:r w:rsidRPr="0026165B">
              <w:t>–54.9</w:t>
            </w:r>
          </w:p>
        </w:tc>
        <w:tc>
          <w:tcPr>
            <w:tcW w:w="1418" w:type="dxa"/>
            <w:vAlign w:val="center"/>
          </w:tcPr>
          <w:p w:rsidR="00073646" w:rsidRPr="0026165B" w:rsidRDefault="00073646" w:rsidP="00560FC1">
            <w:pPr>
              <w:pStyle w:val="Tabletext"/>
              <w:jc w:val="center"/>
            </w:pPr>
            <w:r w:rsidRPr="0026165B">
              <w:t>–55.8</w:t>
            </w:r>
          </w:p>
        </w:tc>
        <w:tc>
          <w:tcPr>
            <w:tcW w:w="1418" w:type="dxa"/>
            <w:vAlign w:val="center"/>
          </w:tcPr>
          <w:p w:rsidR="00073646" w:rsidRPr="0026165B" w:rsidRDefault="00073646" w:rsidP="00560FC1">
            <w:pPr>
              <w:pStyle w:val="Tabletext"/>
              <w:jc w:val="center"/>
            </w:pPr>
            <w:r w:rsidRPr="0026165B">
              <w:t>–59.6</w:t>
            </w:r>
          </w:p>
        </w:tc>
        <w:tc>
          <w:tcPr>
            <w:tcW w:w="1413" w:type="dxa"/>
            <w:vAlign w:val="center"/>
          </w:tcPr>
          <w:p w:rsidR="00073646" w:rsidRPr="0026165B" w:rsidRDefault="00073646" w:rsidP="00560FC1">
            <w:pPr>
              <w:pStyle w:val="Tabletext"/>
              <w:jc w:val="center"/>
            </w:pPr>
            <w:r w:rsidRPr="0026165B">
              <w:t>–65.8</w:t>
            </w:r>
          </w:p>
        </w:tc>
        <w:tc>
          <w:tcPr>
            <w:tcW w:w="1418" w:type="dxa"/>
            <w:vAlign w:val="center"/>
          </w:tcPr>
          <w:p w:rsidR="00073646" w:rsidRPr="0026165B" w:rsidRDefault="00073646" w:rsidP="00560FC1">
            <w:pPr>
              <w:pStyle w:val="Tabletext"/>
              <w:jc w:val="center"/>
            </w:pPr>
            <w:r w:rsidRPr="0026165B">
              <w:t>–87.6</w:t>
            </w:r>
          </w:p>
        </w:tc>
      </w:tr>
      <w:tr w:rsidR="00073646" w:rsidRPr="00F813F6" w:rsidTr="00EF2439">
        <w:trPr>
          <w:jc w:val="center"/>
        </w:trPr>
        <w:tc>
          <w:tcPr>
            <w:tcW w:w="1764" w:type="dxa"/>
            <w:vMerge/>
            <w:vAlign w:val="center"/>
          </w:tcPr>
          <w:p w:rsidR="00073646" w:rsidRPr="0026165B" w:rsidRDefault="00073646" w:rsidP="00560FC1">
            <w:pPr>
              <w:pStyle w:val="Tabletext"/>
              <w:jc w:val="center"/>
              <w:rPr>
                <w:rFonts w:eastAsiaTheme="minorEastAsia"/>
              </w:rPr>
            </w:pPr>
          </w:p>
        </w:tc>
        <w:tc>
          <w:tcPr>
            <w:tcW w:w="1115" w:type="dxa"/>
            <w:vAlign w:val="center"/>
          </w:tcPr>
          <w:p w:rsidR="00073646" w:rsidRPr="0026165B" w:rsidRDefault="00073646" w:rsidP="00560FC1">
            <w:pPr>
              <w:pStyle w:val="Tabletext"/>
              <w:jc w:val="center"/>
              <w:rPr>
                <w:rFonts w:eastAsiaTheme="minorEastAsia"/>
              </w:rPr>
            </w:pPr>
            <w:r w:rsidRPr="0026165B">
              <w:t>0 dBm</w:t>
            </w:r>
          </w:p>
        </w:tc>
        <w:tc>
          <w:tcPr>
            <w:tcW w:w="1309" w:type="dxa"/>
            <w:vAlign w:val="center"/>
          </w:tcPr>
          <w:p w:rsidR="00073646" w:rsidRPr="0026165B" w:rsidRDefault="00073646" w:rsidP="00560FC1">
            <w:pPr>
              <w:pStyle w:val="Tabletext"/>
              <w:jc w:val="center"/>
            </w:pPr>
            <w:r w:rsidRPr="0026165B">
              <w:t>–6</w:t>
            </w:r>
            <w:r w:rsidRPr="0026165B">
              <w:rPr>
                <w:rFonts w:hint="eastAsia"/>
              </w:rPr>
              <w:t>4.8</w:t>
            </w:r>
          </w:p>
        </w:tc>
        <w:tc>
          <w:tcPr>
            <w:tcW w:w="1418" w:type="dxa"/>
            <w:vAlign w:val="center"/>
          </w:tcPr>
          <w:p w:rsidR="00073646" w:rsidRPr="0026165B" w:rsidRDefault="00073646" w:rsidP="00560FC1">
            <w:pPr>
              <w:pStyle w:val="Tabletext"/>
              <w:jc w:val="center"/>
              <w:rPr>
                <w:rFonts w:eastAsiaTheme="minorEastAsia"/>
              </w:rPr>
            </w:pPr>
            <w:r w:rsidRPr="0026165B">
              <w:t>–67.3</w:t>
            </w:r>
          </w:p>
        </w:tc>
        <w:tc>
          <w:tcPr>
            <w:tcW w:w="1418" w:type="dxa"/>
            <w:vAlign w:val="center"/>
          </w:tcPr>
          <w:p w:rsidR="00073646" w:rsidRPr="0026165B" w:rsidRDefault="00073646" w:rsidP="00560FC1">
            <w:pPr>
              <w:pStyle w:val="Tabletext"/>
              <w:jc w:val="center"/>
              <w:rPr>
                <w:rFonts w:eastAsiaTheme="minorEastAsia"/>
              </w:rPr>
            </w:pPr>
            <w:r w:rsidRPr="0026165B">
              <w:t>–71.6</w:t>
            </w:r>
          </w:p>
        </w:tc>
        <w:tc>
          <w:tcPr>
            <w:tcW w:w="1413" w:type="dxa"/>
            <w:vAlign w:val="center"/>
          </w:tcPr>
          <w:p w:rsidR="00073646" w:rsidRPr="0026165B" w:rsidRDefault="00073646" w:rsidP="00560FC1">
            <w:pPr>
              <w:pStyle w:val="Tabletext"/>
              <w:jc w:val="center"/>
              <w:rPr>
                <w:rFonts w:eastAsiaTheme="minorEastAsia"/>
              </w:rPr>
            </w:pPr>
            <w:r w:rsidRPr="0026165B">
              <w:t>–81.5</w:t>
            </w:r>
          </w:p>
        </w:tc>
        <w:tc>
          <w:tcPr>
            <w:tcW w:w="1418" w:type="dxa"/>
            <w:vAlign w:val="center"/>
          </w:tcPr>
          <w:p w:rsidR="00073646" w:rsidRPr="0026165B" w:rsidRDefault="00073646" w:rsidP="00560FC1">
            <w:pPr>
              <w:pStyle w:val="Tabletext"/>
              <w:jc w:val="center"/>
              <w:rPr>
                <w:rFonts w:eastAsiaTheme="minorEastAsia"/>
              </w:rPr>
            </w:pPr>
            <w:r w:rsidRPr="0026165B">
              <w:t>–98.1</w:t>
            </w:r>
          </w:p>
        </w:tc>
      </w:tr>
      <w:tr w:rsidR="00073646" w:rsidRPr="00F813F6" w:rsidTr="00EF2439">
        <w:trPr>
          <w:jc w:val="center"/>
        </w:trPr>
        <w:tc>
          <w:tcPr>
            <w:tcW w:w="1764" w:type="dxa"/>
            <w:vMerge/>
            <w:vAlign w:val="center"/>
          </w:tcPr>
          <w:p w:rsidR="00073646" w:rsidRPr="0026165B" w:rsidRDefault="00073646" w:rsidP="00560FC1">
            <w:pPr>
              <w:pStyle w:val="Tabletext"/>
              <w:jc w:val="center"/>
              <w:rPr>
                <w:rFonts w:eastAsiaTheme="minorEastAsia"/>
              </w:rPr>
            </w:pPr>
          </w:p>
        </w:tc>
        <w:tc>
          <w:tcPr>
            <w:tcW w:w="1115" w:type="dxa"/>
            <w:vAlign w:val="center"/>
          </w:tcPr>
          <w:p w:rsidR="00073646" w:rsidRPr="0026165B" w:rsidRDefault="00073646" w:rsidP="00560FC1">
            <w:pPr>
              <w:pStyle w:val="Tabletext"/>
              <w:jc w:val="center"/>
              <w:rPr>
                <w:rFonts w:eastAsiaTheme="minorEastAsia"/>
              </w:rPr>
            </w:pPr>
            <w:r w:rsidRPr="0026165B">
              <w:t>–9 dBm</w:t>
            </w:r>
          </w:p>
        </w:tc>
        <w:tc>
          <w:tcPr>
            <w:tcW w:w="1309" w:type="dxa"/>
            <w:vAlign w:val="center"/>
          </w:tcPr>
          <w:p w:rsidR="00073646" w:rsidRPr="0026165B" w:rsidRDefault="00073646" w:rsidP="00560FC1">
            <w:pPr>
              <w:pStyle w:val="Tabletext"/>
              <w:jc w:val="center"/>
            </w:pPr>
            <w:r w:rsidRPr="0026165B">
              <w:t>–</w:t>
            </w:r>
            <w:r w:rsidRPr="0026165B">
              <w:rPr>
                <w:rFonts w:hint="eastAsia"/>
              </w:rPr>
              <w:t>77.9</w:t>
            </w:r>
          </w:p>
        </w:tc>
        <w:tc>
          <w:tcPr>
            <w:tcW w:w="1418" w:type="dxa"/>
            <w:vAlign w:val="center"/>
          </w:tcPr>
          <w:p w:rsidR="00073646" w:rsidRPr="0026165B" w:rsidRDefault="00073646" w:rsidP="00560FC1">
            <w:pPr>
              <w:pStyle w:val="Tabletext"/>
              <w:jc w:val="center"/>
              <w:rPr>
                <w:rFonts w:eastAsiaTheme="minorEastAsia"/>
              </w:rPr>
            </w:pPr>
            <w:r w:rsidRPr="0026165B">
              <w:t>–80.1</w:t>
            </w:r>
          </w:p>
        </w:tc>
        <w:tc>
          <w:tcPr>
            <w:tcW w:w="1418" w:type="dxa"/>
            <w:vAlign w:val="center"/>
          </w:tcPr>
          <w:p w:rsidR="00073646" w:rsidRPr="0026165B" w:rsidRDefault="00073646" w:rsidP="00560FC1">
            <w:pPr>
              <w:pStyle w:val="Tabletext"/>
              <w:jc w:val="center"/>
              <w:rPr>
                <w:rFonts w:eastAsiaTheme="minorEastAsia"/>
              </w:rPr>
            </w:pPr>
            <w:r w:rsidRPr="0026165B">
              <w:t>–84.3</w:t>
            </w:r>
          </w:p>
        </w:tc>
        <w:tc>
          <w:tcPr>
            <w:tcW w:w="1413" w:type="dxa"/>
            <w:vAlign w:val="center"/>
          </w:tcPr>
          <w:p w:rsidR="00073646" w:rsidRPr="0026165B" w:rsidRDefault="00073646" w:rsidP="00560FC1">
            <w:pPr>
              <w:pStyle w:val="Tabletext"/>
              <w:jc w:val="center"/>
              <w:rPr>
                <w:rFonts w:eastAsiaTheme="minorEastAsia"/>
              </w:rPr>
            </w:pPr>
            <w:r w:rsidRPr="0026165B">
              <w:t>–93.9</w:t>
            </w:r>
          </w:p>
        </w:tc>
        <w:tc>
          <w:tcPr>
            <w:tcW w:w="1418" w:type="dxa"/>
            <w:vAlign w:val="center"/>
          </w:tcPr>
          <w:p w:rsidR="00073646" w:rsidRPr="0026165B" w:rsidRDefault="00073646" w:rsidP="00560FC1">
            <w:pPr>
              <w:pStyle w:val="Tabletext"/>
              <w:jc w:val="center"/>
              <w:rPr>
                <w:rFonts w:eastAsiaTheme="minorEastAsia"/>
              </w:rPr>
            </w:pPr>
            <w:r w:rsidRPr="0026165B">
              <w:t>–100.5</w:t>
            </w:r>
          </w:p>
        </w:tc>
      </w:tr>
    </w:tbl>
    <w:p w:rsidR="00073646" w:rsidRPr="00C95E2E" w:rsidRDefault="00073646" w:rsidP="006B0831">
      <w:pPr>
        <w:pStyle w:val="Note"/>
        <w:rPr>
          <w:lang w:val="en-US" w:eastAsia="ja-JP"/>
        </w:rPr>
      </w:pPr>
      <w:r w:rsidRPr="00C95E2E">
        <w:rPr>
          <w:lang w:val="en-US" w:eastAsia="ja-JP"/>
        </w:rPr>
        <w:t>NOTE − Measurement conditions are as follows:</w:t>
      </w:r>
    </w:p>
    <w:p w:rsidR="00073646" w:rsidRPr="00073646" w:rsidRDefault="00073646" w:rsidP="00073646">
      <w:pPr>
        <w:pStyle w:val="enumlev1"/>
        <w:keepNext/>
        <w:keepLines/>
        <w:rPr>
          <w:lang w:val="en-US" w:eastAsia="ja-JP"/>
        </w:rPr>
      </w:pPr>
      <w:r w:rsidRPr="00073646">
        <w:rPr>
          <w:lang w:val="en-US"/>
        </w:rPr>
        <w:t>–</w:t>
      </w:r>
      <w:r w:rsidRPr="00073646">
        <w:rPr>
          <w:lang w:val="en-US"/>
        </w:rPr>
        <w:tab/>
      </w:r>
      <w:r w:rsidRPr="00073646">
        <w:rPr>
          <w:lang w:val="en-US" w:eastAsia="ja-JP"/>
        </w:rPr>
        <w:t>Two commercial LTE UE of different vendors were used for the measurement. The UE had the capability to transmit LTE signals in the 1 447.9</w:t>
      </w:r>
      <w:r w:rsidRPr="00073646">
        <w:rPr>
          <w:lang w:val="en-US" w:eastAsia="ja-JP"/>
        </w:rPr>
        <w:noBreakHyphen/>
        <w:t>1 462.9 MHz frequency band (measured in the 1 420.9-1 447.9 MHz).</w:t>
      </w:r>
    </w:p>
    <w:p w:rsidR="00073646" w:rsidRPr="00073646" w:rsidRDefault="00073646" w:rsidP="00073646">
      <w:pPr>
        <w:pStyle w:val="enumlev1"/>
        <w:rPr>
          <w:lang w:val="en-US" w:eastAsia="ja-JP"/>
        </w:rPr>
      </w:pPr>
      <w:r w:rsidRPr="00073646">
        <w:rPr>
          <w:lang w:val="en-US"/>
        </w:rPr>
        <w:t>–</w:t>
      </w:r>
      <w:r w:rsidRPr="00073646">
        <w:rPr>
          <w:lang w:val="en-US"/>
        </w:rPr>
        <w:tab/>
      </w:r>
      <w:r w:rsidRPr="00073646">
        <w:rPr>
          <w:lang w:val="en-US" w:eastAsia="ja-JP"/>
        </w:rPr>
        <w:t>Transmitting bandwidth of LTE signal was 15 MHz using full RB assignment. Unwanted emission levels would be reduced in the case of smaller transmitting bandwidth of the LTE signal and/or fewer resources blocks.</w:t>
      </w:r>
    </w:p>
    <w:p w:rsidR="00073646" w:rsidRPr="00073646" w:rsidRDefault="00073646" w:rsidP="00073646">
      <w:pPr>
        <w:pStyle w:val="enumlev1"/>
        <w:rPr>
          <w:lang w:val="en-US" w:eastAsia="ja-JP"/>
        </w:rPr>
      </w:pPr>
      <w:r w:rsidRPr="00073646">
        <w:rPr>
          <w:lang w:val="en-US"/>
        </w:rPr>
        <w:lastRenderedPageBreak/>
        <w:t>–</w:t>
      </w:r>
      <w:r w:rsidRPr="00073646">
        <w:rPr>
          <w:lang w:val="en-US"/>
        </w:rPr>
        <w:tab/>
      </w:r>
      <w:r w:rsidRPr="00073646">
        <w:rPr>
          <w:lang w:val="en-US" w:eastAsia="ja-JP"/>
        </w:rPr>
        <w:t>The averaged values obtained through the measurements were used.</w:t>
      </w:r>
    </w:p>
    <w:p w:rsidR="00073646" w:rsidRPr="00073646" w:rsidRDefault="00073646" w:rsidP="00073646">
      <w:pPr>
        <w:pStyle w:val="enumlev1"/>
        <w:rPr>
          <w:lang w:val="en-US" w:eastAsia="ja-JP"/>
        </w:rPr>
      </w:pPr>
      <w:r w:rsidRPr="00073646">
        <w:rPr>
          <w:lang w:val="en-US"/>
        </w:rPr>
        <w:t>–</w:t>
      </w:r>
      <w:r w:rsidRPr="00073646">
        <w:rPr>
          <w:lang w:val="en-US"/>
        </w:rPr>
        <w:tab/>
      </w:r>
      <w:r w:rsidRPr="00073646">
        <w:rPr>
          <w:lang w:val="en-US" w:eastAsia="ja-JP"/>
        </w:rPr>
        <w:t xml:space="preserve">The transmitting output power of 23 dBm corresponded to the maximum output power, 15 dBm to the average output power value for transmitting </w:t>
      </w:r>
      <w:r w:rsidRPr="00073646">
        <w:rPr>
          <w:rFonts w:cs="Arial"/>
          <w:szCs w:val="22"/>
          <w:lang w:val="en-US" w:eastAsia="ja-JP"/>
        </w:rPr>
        <w:t xml:space="preserve">UE, </w:t>
      </w:r>
      <w:r w:rsidRPr="00073646">
        <w:rPr>
          <w:lang w:val="en-US" w:eastAsia="ja-JP"/>
        </w:rPr>
        <w:t>0 dBm to the average output power value for terminals in an active mode in a rural area, and –9 dBm to the average output power value for terminals in an active mode in a suburban/urban area.</w:t>
      </w:r>
    </w:p>
    <w:p w:rsidR="00073646" w:rsidRPr="00073646" w:rsidRDefault="00073646" w:rsidP="00160F12">
      <w:pPr>
        <w:rPr>
          <w:lang w:val="en-US" w:eastAsia="ja-JP"/>
        </w:rPr>
      </w:pPr>
      <w:r w:rsidRPr="00073646">
        <w:rPr>
          <w:lang w:val="en-US" w:eastAsia="ja-JP"/>
        </w:rPr>
        <w:t xml:space="preserve">For UE, the measured unwanted emission levels do not exceed the </w:t>
      </w:r>
      <w:r w:rsidRPr="00073646">
        <w:rPr>
          <w:lang w:val="en-US"/>
        </w:rPr>
        <w:t>level</w:t>
      </w:r>
      <w:r w:rsidRPr="00073646">
        <w:rPr>
          <w:lang w:val="en-US" w:eastAsia="ja-JP"/>
        </w:rPr>
        <w:t>s</w:t>
      </w:r>
      <w:r w:rsidRPr="00073646">
        <w:rPr>
          <w:lang w:val="en-US"/>
        </w:rPr>
        <w:t xml:space="preserve"> calculated in </w:t>
      </w:r>
      <w:r w:rsidR="001A0A3A">
        <w:rPr>
          <w:lang w:val="en-US"/>
        </w:rPr>
        <w:t>§</w:t>
      </w:r>
      <w:r w:rsidR="00E40BDC">
        <w:rPr>
          <w:lang w:val="en-US"/>
        </w:rPr>
        <w:t xml:space="preserve"> </w:t>
      </w:r>
      <w:r w:rsidRPr="00073646">
        <w:rPr>
          <w:lang w:val="en-US"/>
        </w:rPr>
        <w:t>3</w:t>
      </w:r>
      <w:r w:rsidRPr="00073646">
        <w:rPr>
          <w:lang w:val="en-US" w:eastAsia="ja-JP"/>
        </w:rPr>
        <w:t xml:space="preserve"> </w:t>
      </w:r>
      <w:r w:rsidRPr="00073646">
        <w:rPr>
          <w:lang w:val="en-US"/>
        </w:rPr>
        <w:t>to protect the EESS (passive) systems</w:t>
      </w:r>
      <w:r w:rsidRPr="00073646">
        <w:rPr>
          <w:lang w:val="en-US" w:eastAsia="ja-JP"/>
        </w:rPr>
        <w:t xml:space="preserve"> when using the transmission power values such as 0 and</w:t>
      </w:r>
      <w:r w:rsidR="00160F12">
        <w:rPr>
          <w:lang w:val="en-US" w:eastAsia="ja-JP"/>
        </w:rPr>
        <w:t xml:space="preserve"> </w:t>
      </w:r>
      <w:r w:rsidRPr="00073646">
        <w:rPr>
          <w:lang w:val="en-US" w:eastAsia="ja-JP"/>
        </w:rPr>
        <w:t>–9</w:t>
      </w:r>
      <w:r w:rsidRPr="00073646">
        <w:rPr>
          <w:szCs w:val="24"/>
          <w:lang w:val="en-US"/>
        </w:rPr>
        <w:t> </w:t>
      </w:r>
      <w:r w:rsidRPr="00073646">
        <w:rPr>
          <w:lang w:val="en-US" w:eastAsia="ja-JP"/>
        </w:rPr>
        <w:t>dBm. On the other hand, these measurements show that the unwanted emissions of LTE UE operating at the average power (15 dBm) and the maximum power (23</w:t>
      </w:r>
      <w:r w:rsidRPr="00073646">
        <w:rPr>
          <w:szCs w:val="24"/>
          <w:lang w:val="en-US"/>
        </w:rPr>
        <w:t> </w:t>
      </w:r>
      <w:r w:rsidRPr="00073646">
        <w:rPr>
          <w:lang w:val="en-US" w:eastAsia="ja-JP"/>
        </w:rPr>
        <w:t>dBm) do exceed these levels.</w:t>
      </w:r>
    </w:p>
    <w:p w:rsidR="00073646" w:rsidRPr="00073646" w:rsidRDefault="00073646" w:rsidP="00073646">
      <w:pPr>
        <w:rPr>
          <w:lang w:val="en-US" w:eastAsia="ja-JP"/>
        </w:rPr>
      </w:pPr>
      <w:r w:rsidRPr="00073646">
        <w:rPr>
          <w:lang w:val="en-US" w:eastAsia="ja-JP"/>
        </w:rPr>
        <w:t>Also, these measurements show that increasing the guard band size would improve the IMT UE unwanted emission level in the 1</w:t>
      </w:r>
      <w:r w:rsidRPr="00073646">
        <w:rPr>
          <w:szCs w:val="24"/>
          <w:lang w:val="en-US"/>
        </w:rPr>
        <w:t> </w:t>
      </w:r>
      <w:r w:rsidRPr="00073646">
        <w:rPr>
          <w:lang w:val="en-US" w:eastAsia="ja-JP"/>
        </w:rPr>
        <w:t>400-1</w:t>
      </w:r>
      <w:r w:rsidRPr="00073646">
        <w:rPr>
          <w:szCs w:val="24"/>
          <w:lang w:val="en-US"/>
        </w:rPr>
        <w:t> </w:t>
      </w:r>
      <w:r w:rsidRPr="00073646">
        <w:rPr>
          <w:lang w:val="en-US" w:eastAsia="ja-JP"/>
        </w:rPr>
        <w:t>427</w:t>
      </w:r>
      <w:r w:rsidRPr="00073646">
        <w:rPr>
          <w:szCs w:val="24"/>
          <w:lang w:val="en-US"/>
        </w:rPr>
        <w:t> </w:t>
      </w:r>
      <w:r w:rsidR="00154F1E">
        <w:rPr>
          <w:lang w:val="en-US" w:eastAsia="ja-JP"/>
        </w:rPr>
        <w:t>MHz frequency band.</w:t>
      </w:r>
    </w:p>
    <w:p w:rsidR="00073646" w:rsidRPr="00073646" w:rsidRDefault="00073646" w:rsidP="00073646">
      <w:pPr>
        <w:pStyle w:val="TableNo"/>
        <w:rPr>
          <w:lang w:val="en-US"/>
        </w:rPr>
      </w:pPr>
      <w:r w:rsidRPr="00073646">
        <w:rPr>
          <w:lang w:val="en-US"/>
        </w:rPr>
        <w:t>TABLE 7</w:t>
      </w:r>
    </w:p>
    <w:p w:rsidR="00073646" w:rsidRPr="00073646" w:rsidRDefault="00073646" w:rsidP="00073646">
      <w:pPr>
        <w:pStyle w:val="Tabletitle"/>
        <w:rPr>
          <w:lang w:val="en-US"/>
        </w:rPr>
      </w:pPr>
      <w:r w:rsidRPr="00073646">
        <w:rPr>
          <w:lang w:val="en-US"/>
        </w:rPr>
        <w:t>Measured unwanted emission levels of an IMT base-station (in dBW per 27 MHz)</w:t>
      </w:r>
    </w:p>
    <w:tbl>
      <w:tblPr>
        <w:tblStyle w:val="TableGrid"/>
        <w:tblW w:w="9639" w:type="dxa"/>
        <w:jc w:val="center"/>
        <w:tblLayout w:type="fixed"/>
        <w:tblLook w:val="04A0" w:firstRow="1" w:lastRow="0" w:firstColumn="1" w:lastColumn="0" w:noHBand="0" w:noVBand="1"/>
      </w:tblPr>
      <w:tblGrid>
        <w:gridCol w:w="1724"/>
        <w:gridCol w:w="1092"/>
        <w:gridCol w:w="1282"/>
        <w:gridCol w:w="1386"/>
        <w:gridCol w:w="1386"/>
        <w:gridCol w:w="1383"/>
        <w:gridCol w:w="1386"/>
      </w:tblGrid>
      <w:tr w:rsidR="00073646" w:rsidRPr="00C95E2E" w:rsidTr="00EF2439">
        <w:trPr>
          <w:jc w:val="center"/>
        </w:trPr>
        <w:tc>
          <w:tcPr>
            <w:tcW w:w="2880" w:type="dxa"/>
            <w:gridSpan w:val="2"/>
            <w:vMerge w:val="restart"/>
            <w:vAlign w:val="center"/>
          </w:tcPr>
          <w:p w:rsidR="00073646" w:rsidRPr="00073646" w:rsidRDefault="00073646" w:rsidP="00560FC1">
            <w:pPr>
              <w:pStyle w:val="Tablehead"/>
              <w:rPr>
                <w:rFonts w:eastAsiaTheme="minorEastAsia"/>
                <w:lang w:val="en-US" w:eastAsia="ja-JP"/>
              </w:rPr>
            </w:pPr>
          </w:p>
        </w:tc>
        <w:tc>
          <w:tcPr>
            <w:tcW w:w="6975" w:type="dxa"/>
            <w:gridSpan w:val="5"/>
          </w:tcPr>
          <w:p w:rsidR="00073646" w:rsidRPr="00073646" w:rsidRDefault="00073646" w:rsidP="00560FC1">
            <w:pPr>
              <w:pStyle w:val="Tablehead"/>
              <w:rPr>
                <w:rFonts w:eastAsiaTheme="minorEastAsia"/>
                <w:lang w:val="en-US" w:eastAsia="ja-JP"/>
              </w:rPr>
            </w:pPr>
            <w:r w:rsidRPr="00073646">
              <w:rPr>
                <w:lang w:val="en-US" w:eastAsia="ja-JP"/>
              </w:rPr>
              <w:t>Guard band (Frequency separation from the measured 27 MHz bandwidth)</w:t>
            </w:r>
          </w:p>
        </w:tc>
      </w:tr>
      <w:tr w:rsidR="00073646" w:rsidRPr="00F813F6" w:rsidTr="00EF2439">
        <w:trPr>
          <w:jc w:val="center"/>
        </w:trPr>
        <w:tc>
          <w:tcPr>
            <w:tcW w:w="2880" w:type="dxa"/>
            <w:gridSpan w:val="2"/>
            <w:vMerge/>
            <w:vAlign w:val="center"/>
          </w:tcPr>
          <w:p w:rsidR="00073646" w:rsidRPr="00073646" w:rsidRDefault="00073646" w:rsidP="00560FC1">
            <w:pPr>
              <w:pStyle w:val="Tablehead"/>
              <w:rPr>
                <w:rFonts w:eastAsiaTheme="minorEastAsia"/>
                <w:lang w:val="en-US" w:eastAsia="ja-JP"/>
              </w:rPr>
            </w:pPr>
          </w:p>
        </w:tc>
        <w:tc>
          <w:tcPr>
            <w:tcW w:w="1310" w:type="dxa"/>
          </w:tcPr>
          <w:p w:rsidR="00073646" w:rsidRPr="00F813F6" w:rsidRDefault="00073646" w:rsidP="00560FC1">
            <w:pPr>
              <w:pStyle w:val="Tablehead"/>
              <w:rPr>
                <w:lang w:eastAsia="ja-JP"/>
              </w:rPr>
            </w:pPr>
            <w:r w:rsidRPr="00F813F6">
              <w:rPr>
                <w:lang w:eastAsia="ja-JP"/>
              </w:rPr>
              <w:t>0 MHz</w:t>
            </w:r>
          </w:p>
        </w:tc>
        <w:tc>
          <w:tcPr>
            <w:tcW w:w="1417" w:type="dxa"/>
            <w:vAlign w:val="center"/>
          </w:tcPr>
          <w:p w:rsidR="00073646" w:rsidRPr="00F813F6" w:rsidRDefault="00073646" w:rsidP="00560FC1">
            <w:pPr>
              <w:pStyle w:val="Tablehead"/>
              <w:rPr>
                <w:rFonts w:eastAsiaTheme="minorEastAsia"/>
                <w:lang w:eastAsia="ja-JP"/>
              </w:rPr>
            </w:pPr>
            <w:r w:rsidRPr="00F813F6">
              <w:rPr>
                <w:lang w:eastAsia="ja-JP"/>
              </w:rPr>
              <w:t>0.9 MHz</w:t>
            </w:r>
          </w:p>
        </w:tc>
        <w:tc>
          <w:tcPr>
            <w:tcW w:w="1417" w:type="dxa"/>
            <w:vAlign w:val="center"/>
          </w:tcPr>
          <w:p w:rsidR="00073646" w:rsidRPr="00F813F6" w:rsidRDefault="00073646" w:rsidP="00560FC1">
            <w:pPr>
              <w:pStyle w:val="Tablehead"/>
              <w:rPr>
                <w:rFonts w:eastAsiaTheme="minorEastAsia"/>
                <w:lang w:eastAsia="ja-JP"/>
              </w:rPr>
            </w:pPr>
            <w:r w:rsidRPr="00F813F6">
              <w:rPr>
                <w:lang w:eastAsia="ja-JP"/>
              </w:rPr>
              <w:t>5 MHz</w:t>
            </w:r>
          </w:p>
        </w:tc>
        <w:tc>
          <w:tcPr>
            <w:tcW w:w="1414" w:type="dxa"/>
            <w:vAlign w:val="center"/>
          </w:tcPr>
          <w:p w:rsidR="00073646" w:rsidRPr="00F813F6" w:rsidRDefault="00073646" w:rsidP="00560FC1">
            <w:pPr>
              <w:pStyle w:val="Tablehead"/>
              <w:rPr>
                <w:rFonts w:eastAsiaTheme="minorEastAsia"/>
                <w:lang w:eastAsia="ja-JP"/>
              </w:rPr>
            </w:pPr>
            <w:r w:rsidRPr="00F813F6">
              <w:rPr>
                <w:lang w:eastAsia="ja-JP"/>
              </w:rPr>
              <w:t>10 MHz</w:t>
            </w:r>
          </w:p>
        </w:tc>
        <w:tc>
          <w:tcPr>
            <w:tcW w:w="1417" w:type="dxa"/>
            <w:vAlign w:val="center"/>
          </w:tcPr>
          <w:p w:rsidR="00073646" w:rsidRPr="00F813F6" w:rsidRDefault="00073646" w:rsidP="00560FC1">
            <w:pPr>
              <w:pStyle w:val="Tablehead"/>
              <w:rPr>
                <w:rFonts w:eastAsiaTheme="minorEastAsia"/>
                <w:lang w:eastAsia="ja-JP"/>
              </w:rPr>
            </w:pPr>
            <w:r w:rsidRPr="00F813F6">
              <w:rPr>
                <w:lang w:eastAsia="ja-JP"/>
              </w:rPr>
              <w:t>20 MHz</w:t>
            </w:r>
          </w:p>
        </w:tc>
      </w:tr>
      <w:tr w:rsidR="00073646" w:rsidRPr="00F813F6" w:rsidTr="00EF2439">
        <w:trPr>
          <w:trHeight w:val="166"/>
          <w:jc w:val="center"/>
        </w:trPr>
        <w:tc>
          <w:tcPr>
            <w:tcW w:w="1765" w:type="dxa"/>
            <w:vAlign w:val="center"/>
          </w:tcPr>
          <w:p w:rsidR="00073646" w:rsidRPr="00073646" w:rsidRDefault="00073646" w:rsidP="00560FC1">
            <w:pPr>
              <w:pStyle w:val="Tabletext"/>
              <w:jc w:val="center"/>
              <w:rPr>
                <w:rFonts w:eastAsiaTheme="minorEastAsia"/>
                <w:lang w:val="en-US" w:eastAsia="ja-JP"/>
              </w:rPr>
            </w:pPr>
            <w:r w:rsidRPr="00073646">
              <w:rPr>
                <w:lang w:val="en-US" w:eastAsia="ja-JP"/>
              </w:rPr>
              <w:t>Transmitting output power</w:t>
            </w:r>
            <w:r w:rsidRPr="00073646">
              <w:rPr>
                <w:rFonts w:eastAsiaTheme="minorEastAsia"/>
                <w:lang w:val="en-US" w:eastAsia="ja-JP"/>
              </w:rPr>
              <w:t xml:space="preserve"> of an IMT base-station</w:t>
            </w:r>
          </w:p>
        </w:tc>
        <w:tc>
          <w:tcPr>
            <w:tcW w:w="1115" w:type="dxa"/>
            <w:vAlign w:val="center"/>
          </w:tcPr>
          <w:p w:rsidR="00073646" w:rsidRPr="00F813F6" w:rsidRDefault="00073646" w:rsidP="00560FC1">
            <w:pPr>
              <w:pStyle w:val="Tabletext"/>
              <w:jc w:val="center"/>
              <w:rPr>
                <w:rFonts w:eastAsiaTheme="minorEastAsia"/>
                <w:lang w:eastAsia="ja-JP"/>
              </w:rPr>
            </w:pPr>
            <w:r w:rsidRPr="00F813F6">
              <w:rPr>
                <w:lang w:eastAsia="ja-JP"/>
              </w:rPr>
              <w:t>23 dBm</w:t>
            </w:r>
          </w:p>
        </w:tc>
        <w:tc>
          <w:tcPr>
            <w:tcW w:w="1310" w:type="dxa"/>
            <w:vAlign w:val="center"/>
          </w:tcPr>
          <w:p w:rsidR="00073646" w:rsidRPr="00F813F6" w:rsidRDefault="00073646" w:rsidP="00560FC1">
            <w:pPr>
              <w:pStyle w:val="Tabletext"/>
              <w:jc w:val="center"/>
              <w:rPr>
                <w:color w:val="000000"/>
                <w:lang w:eastAsia="ja-JP"/>
              </w:rPr>
            </w:pPr>
            <w:r w:rsidRPr="00F813F6">
              <w:t>–</w:t>
            </w:r>
            <w:r w:rsidRPr="00F813F6">
              <w:rPr>
                <w:lang w:eastAsia="ja-JP"/>
              </w:rPr>
              <w:t>31.6</w:t>
            </w:r>
          </w:p>
        </w:tc>
        <w:tc>
          <w:tcPr>
            <w:tcW w:w="1417" w:type="dxa"/>
            <w:vAlign w:val="center"/>
          </w:tcPr>
          <w:p w:rsidR="00073646" w:rsidRPr="00F813F6" w:rsidRDefault="00073646" w:rsidP="00560FC1">
            <w:pPr>
              <w:pStyle w:val="Tabletext"/>
              <w:jc w:val="center"/>
              <w:rPr>
                <w:rFonts w:eastAsiaTheme="minorEastAsia"/>
                <w:lang w:eastAsia="ja-JP"/>
              </w:rPr>
            </w:pPr>
            <w:r w:rsidRPr="00F813F6">
              <w:rPr>
                <w:color w:val="000000"/>
              </w:rPr>
              <w:t>–</w:t>
            </w:r>
            <w:r w:rsidRPr="00F813F6">
              <w:rPr>
                <w:color w:val="000000"/>
                <w:lang w:eastAsia="ja-JP"/>
              </w:rPr>
              <w:t>44.4</w:t>
            </w:r>
          </w:p>
        </w:tc>
        <w:tc>
          <w:tcPr>
            <w:tcW w:w="1417" w:type="dxa"/>
            <w:vAlign w:val="center"/>
          </w:tcPr>
          <w:p w:rsidR="00073646" w:rsidRPr="00F813F6" w:rsidRDefault="00073646" w:rsidP="00560FC1">
            <w:pPr>
              <w:pStyle w:val="Tabletext"/>
              <w:jc w:val="center"/>
              <w:rPr>
                <w:rFonts w:eastAsiaTheme="minorEastAsia"/>
                <w:lang w:eastAsia="ja-JP"/>
              </w:rPr>
            </w:pPr>
            <w:r w:rsidRPr="00F813F6">
              <w:rPr>
                <w:color w:val="000000"/>
              </w:rPr>
              <w:t>–5</w:t>
            </w:r>
            <w:r w:rsidRPr="00F813F6">
              <w:rPr>
                <w:color w:val="000000"/>
                <w:lang w:eastAsia="ja-JP"/>
              </w:rPr>
              <w:t>3.3</w:t>
            </w:r>
          </w:p>
        </w:tc>
        <w:tc>
          <w:tcPr>
            <w:tcW w:w="1414" w:type="dxa"/>
            <w:vAlign w:val="center"/>
          </w:tcPr>
          <w:p w:rsidR="00073646" w:rsidRPr="00F813F6" w:rsidRDefault="00073646" w:rsidP="00560FC1">
            <w:pPr>
              <w:pStyle w:val="Tabletext"/>
              <w:jc w:val="center"/>
              <w:rPr>
                <w:rFonts w:eastAsiaTheme="minorEastAsia"/>
                <w:lang w:eastAsia="ja-JP"/>
              </w:rPr>
            </w:pPr>
            <w:r w:rsidRPr="00F813F6">
              <w:rPr>
                <w:color w:val="000000"/>
              </w:rPr>
              <w:t>–</w:t>
            </w:r>
            <w:r w:rsidRPr="00F813F6">
              <w:rPr>
                <w:color w:val="000000"/>
                <w:lang w:eastAsia="ja-JP"/>
              </w:rPr>
              <w:t>83.3</w:t>
            </w:r>
          </w:p>
        </w:tc>
        <w:tc>
          <w:tcPr>
            <w:tcW w:w="1417" w:type="dxa"/>
            <w:vAlign w:val="center"/>
          </w:tcPr>
          <w:p w:rsidR="00073646" w:rsidRPr="00F813F6" w:rsidRDefault="00073646" w:rsidP="00560FC1">
            <w:pPr>
              <w:pStyle w:val="Tabletext"/>
              <w:jc w:val="center"/>
              <w:rPr>
                <w:rFonts w:eastAsiaTheme="minorEastAsia"/>
                <w:lang w:eastAsia="ja-JP"/>
              </w:rPr>
            </w:pPr>
            <w:r w:rsidRPr="00F813F6">
              <w:rPr>
                <w:color w:val="000000"/>
              </w:rPr>
              <w:t>–</w:t>
            </w:r>
            <w:r w:rsidRPr="00F813F6">
              <w:rPr>
                <w:color w:val="000000"/>
                <w:lang w:eastAsia="ja-JP"/>
              </w:rPr>
              <w:t>113.8</w:t>
            </w:r>
          </w:p>
        </w:tc>
      </w:tr>
    </w:tbl>
    <w:p w:rsidR="00073646" w:rsidRPr="00073646" w:rsidRDefault="00073646" w:rsidP="00073646">
      <w:pPr>
        <w:pStyle w:val="Note"/>
        <w:rPr>
          <w:lang w:val="en-US" w:eastAsia="ja-JP"/>
        </w:rPr>
      </w:pPr>
      <w:r w:rsidRPr="00073646">
        <w:rPr>
          <w:lang w:val="en-US" w:eastAsia="ja-JP"/>
        </w:rPr>
        <w:t>NOTE − Measurement conditions are as follows:</w:t>
      </w:r>
    </w:p>
    <w:p w:rsidR="00073646" w:rsidRPr="00073646" w:rsidRDefault="00073646" w:rsidP="00073646">
      <w:pPr>
        <w:pStyle w:val="enumlev1"/>
        <w:rPr>
          <w:lang w:val="en-US" w:eastAsia="ja-JP"/>
        </w:rPr>
      </w:pPr>
      <w:r w:rsidRPr="00073646">
        <w:rPr>
          <w:lang w:val="en-US"/>
        </w:rPr>
        <w:t>–</w:t>
      </w:r>
      <w:r w:rsidRPr="00073646">
        <w:rPr>
          <w:lang w:val="en-US"/>
        </w:rPr>
        <w:tab/>
      </w:r>
      <w:r w:rsidRPr="00073646">
        <w:rPr>
          <w:lang w:val="en-US" w:eastAsia="ja-JP"/>
        </w:rPr>
        <w:t>One commercial LTE base-station was used for the measurement. The station had the capability to transmit LTE signals in the 1 495.9-1 510.9 MHz frequency band.</w:t>
      </w:r>
    </w:p>
    <w:p w:rsidR="00073646" w:rsidRPr="00073646" w:rsidRDefault="00073646" w:rsidP="00073646">
      <w:pPr>
        <w:pStyle w:val="enumlev1"/>
        <w:rPr>
          <w:lang w:val="en-US" w:eastAsia="ja-JP"/>
        </w:rPr>
      </w:pPr>
      <w:r w:rsidRPr="00073646">
        <w:rPr>
          <w:lang w:val="en-US"/>
        </w:rPr>
        <w:t>–</w:t>
      </w:r>
      <w:r w:rsidRPr="00073646">
        <w:rPr>
          <w:lang w:val="en-US"/>
        </w:rPr>
        <w:tab/>
      </w:r>
      <w:r w:rsidRPr="00073646">
        <w:rPr>
          <w:lang w:val="en-US" w:eastAsia="ja-JP"/>
        </w:rPr>
        <w:t>Transmitting bandwidth of LTE signal was 15 MHz using full RB assignment.</w:t>
      </w:r>
    </w:p>
    <w:p w:rsidR="00073646" w:rsidRPr="00073646" w:rsidRDefault="00073646" w:rsidP="006B0831">
      <w:pPr>
        <w:rPr>
          <w:lang w:val="en-US" w:eastAsia="ja-JP"/>
        </w:rPr>
      </w:pPr>
      <w:r w:rsidRPr="00073646">
        <w:rPr>
          <w:lang w:val="en-US" w:eastAsia="ja-JP"/>
        </w:rPr>
        <w:t xml:space="preserve">For IMT base-stations, the measured unwanted emission levels exceed the levels calculated in </w:t>
      </w:r>
      <w:r w:rsidR="006B0831">
        <w:rPr>
          <w:lang w:val="en-US" w:eastAsia="ja-JP"/>
        </w:rPr>
        <w:t>§</w:t>
      </w:r>
      <w:r w:rsidR="005F674B">
        <w:rPr>
          <w:lang w:val="en-US" w:eastAsia="ja-JP"/>
        </w:rPr>
        <w:t xml:space="preserve"> </w:t>
      </w:r>
      <w:r w:rsidRPr="00073646">
        <w:rPr>
          <w:lang w:val="en-US" w:eastAsia="ja-JP"/>
        </w:rPr>
        <w:t>3 to protect the EESS (passive) systems when the guard band size is 5 MHz or less. In the case of the guard band size of 10</w:t>
      </w:r>
      <w:r w:rsidRPr="00073646">
        <w:rPr>
          <w:szCs w:val="24"/>
          <w:lang w:val="en-US"/>
        </w:rPr>
        <w:t> </w:t>
      </w:r>
      <w:r w:rsidRPr="00073646">
        <w:rPr>
          <w:lang w:val="en-US" w:eastAsia="ja-JP"/>
        </w:rPr>
        <w:t>MHz or larger, the measured unwanted emission levels are drastically reduced as shown in Table 7.</w:t>
      </w:r>
    </w:p>
    <w:p w:rsidR="00073646" w:rsidRPr="00073646" w:rsidRDefault="00073646" w:rsidP="00073646">
      <w:pPr>
        <w:rPr>
          <w:lang w:val="en-US" w:eastAsia="ja-JP"/>
        </w:rPr>
      </w:pPr>
      <w:r w:rsidRPr="00073646">
        <w:rPr>
          <w:lang w:val="en-US" w:eastAsia="ja-JP"/>
        </w:rPr>
        <w:t>Differences between IMT user terminals and base-stations in relation to achievable unwanted emission level</w:t>
      </w:r>
      <w:r w:rsidR="00154F1E">
        <w:rPr>
          <w:lang w:val="en-US" w:eastAsia="ja-JP"/>
        </w:rPr>
        <w:t>s may be considered as follows;</w:t>
      </w:r>
    </w:p>
    <w:p w:rsidR="00073646" w:rsidRPr="00073646" w:rsidRDefault="00073646" w:rsidP="00073646">
      <w:pPr>
        <w:pStyle w:val="enumlev1"/>
        <w:rPr>
          <w:lang w:val="en-US" w:eastAsia="ja-JP"/>
        </w:rPr>
      </w:pPr>
      <w:r w:rsidRPr="00073646">
        <w:rPr>
          <w:lang w:val="en-US" w:eastAsia="ja-JP"/>
        </w:rPr>
        <w:t>–</w:t>
      </w:r>
      <w:r w:rsidRPr="00073646">
        <w:rPr>
          <w:lang w:val="en-US" w:eastAsia="ja-JP"/>
        </w:rPr>
        <w:tab/>
        <w:t>reduced unwanted emission level of IMT mobile stations could be usually obtained in accordance with effect of transmission power control in IMT systems;</w:t>
      </w:r>
    </w:p>
    <w:p w:rsidR="00073646" w:rsidRPr="00073646" w:rsidRDefault="00073646" w:rsidP="00073646">
      <w:pPr>
        <w:pStyle w:val="enumlev1"/>
        <w:rPr>
          <w:lang w:val="en-US" w:eastAsia="ja-JP"/>
        </w:rPr>
      </w:pPr>
      <w:r w:rsidRPr="00073646">
        <w:rPr>
          <w:lang w:val="en-US" w:eastAsia="ja-JP"/>
        </w:rPr>
        <w:t>–</w:t>
      </w:r>
      <w:r w:rsidRPr="00073646">
        <w:rPr>
          <w:lang w:val="en-US" w:eastAsia="ja-JP"/>
        </w:rPr>
        <w:tab/>
        <w:t>additional filtering to reduce unwanted emission in the adjacent frequency band could be implemented to IMT base-stations assuming a certain size of guard band.</w:t>
      </w:r>
    </w:p>
    <w:p w:rsidR="00073646" w:rsidRPr="00073646" w:rsidRDefault="00073646" w:rsidP="00073646">
      <w:pPr>
        <w:rPr>
          <w:lang w:val="en-US" w:eastAsia="ja-JP"/>
        </w:rPr>
      </w:pPr>
      <w:r w:rsidRPr="00073646">
        <w:rPr>
          <w:lang w:val="en-US" w:eastAsia="ja-JP"/>
        </w:rPr>
        <w:t>Taking into account the above considerations, it is concluded that when considering lower output power of 0 or –9 dBm, unwanted emission level in IMT user terminals could meet the required unwanted emission level to protect the EESS (passive) systems which is not the case when using the average (15 dBm) or the maximum (23 dBm) power. Meanwhile, the unwanted emission level in IMT base-stations would need to be improved when employing a small size of guard band.</w:t>
      </w:r>
    </w:p>
    <w:p w:rsidR="00073646" w:rsidRPr="00073646" w:rsidRDefault="00073646" w:rsidP="00073646">
      <w:pPr>
        <w:pStyle w:val="Heading1"/>
        <w:rPr>
          <w:lang w:val="en-US"/>
        </w:rPr>
      </w:pPr>
      <w:r w:rsidRPr="00073646">
        <w:rPr>
          <w:lang w:val="en-US"/>
        </w:rPr>
        <w:lastRenderedPageBreak/>
        <w:t>5</w:t>
      </w:r>
      <w:r w:rsidRPr="00073646">
        <w:rPr>
          <w:lang w:val="en-US"/>
        </w:rPr>
        <w:tab/>
        <w:t xml:space="preserve">Analysis </w:t>
      </w:r>
      <w:r w:rsidR="00154F1E">
        <w:rPr>
          <w:lang w:val="en-US"/>
        </w:rPr>
        <w:t>of existing technical standards</w:t>
      </w:r>
    </w:p>
    <w:p w:rsidR="00073646" w:rsidRPr="00073646" w:rsidRDefault="00073646" w:rsidP="00160F12">
      <w:pPr>
        <w:rPr>
          <w:lang w:val="en-US"/>
        </w:rPr>
      </w:pPr>
      <w:r w:rsidRPr="00073646">
        <w:rPr>
          <w:lang w:val="en-US"/>
        </w:rPr>
        <w:t>Based on the current unwanted emission mask specified in 3 GPP for UE (LTE) in the frequency band 1 427-1 452 MHz, it is possible to calculate the corresponding total unwanted emission power in the 1 400-1 427 MHz frequency ban</w:t>
      </w:r>
      <w:r w:rsidR="00160F12">
        <w:rPr>
          <w:lang w:val="en-US"/>
        </w:rPr>
        <w:t>d, as follows in Tables 8 and 9.</w:t>
      </w:r>
    </w:p>
    <w:p w:rsidR="00073646" w:rsidRPr="00073646" w:rsidRDefault="00073646" w:rsidP="00160F12">
      <w:pPr>
        <w:pStyle w:val="TableNo"/>
        <w:rPr>
          <w:lang w:val="en-US"/>
        </w:rPr>
      </w:pPr>
      <w:r w:rsidRPr="00073646">
        <w:rPr>
          <w:lang w:val="en-US"/>
        </w:rPr>
        <w:t>T</w:t>
      </w:r>
      <w:r w:rsidR="00160F12">
        <w:rPr>
          <w:lang w:val="en-US"/>
        </w:rPr>
        <w:t>ABLE</w:t>
      </w:r>
      <w:r w:rsidRPr="00073646">
        <w:rPr>
          <w:lang w:val="en-US"/>
        </w:rPr>
        <w:t xml:space="preserve"> </w:t>
      </w:r>
      <w:r w:rsidR="00C3317D">
        <w:rPr>
          <w:lang w:val="en-US"/>
        </w:rPr>
        <w:t xml:space="preserve"> </w:t>
      </w:r>
      <w:r w:rsidRPr="00073646">
        <w:rPr>
          <w:lang w:val="en-US"/>
        </w:rPr>
        <w:t>8</w:t>
      </w:r>
    </w:p>
    <w:p w:rsidR="00073646" w:rsidRPr="00073646" w:rsidRDefault="00073646" w:rsidP="00073646">
      <w:pPr>
        <w:pStyle w:val="Tabletitle"/>
        <w:rPr>
          <w:lang w:val="en-US"/>
        </w:rPr>
      </w:pPr>
      <w:r w:rsidRPr="00073646">
        <w:rPr>
          <w:lang w:val="en-US" w:eastAsia="fr-FR"/>
        </w:rPr>
        <w:t>Case of LTE system with 5 MHz BW</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7"/>
        <w:gridCol w:w="835"/>
        <w:gridCol w:w="835"/>
        <w:gridCol w:w="835"/>
        <w:gridCol w:w="1253"/>
        <w:gridCol w:w="2268"/>
      </w:tblGrid>
      <w:tr w:rsidR="00073646" w:rsidRPr="00C95E2E" w:rsidTr="00560FC1">
        <w:trPr>
          <w:trHeight w:val="967"/>
        </w:trPr>
        <w:tc>
          <w:tcPr>
            <w:tcW w:w="1517" w:type="dxa"/>
            <w:tcBorders>
              <w:top w:val="single" w:sz="4" w:space="0" w:color="auto"/>
            </w:tcBorders>
          </w:tcPr>
          <w:p w:rsidR="00073646" w:rsidRPr="00073646" w:rsidRDefault="00073646" w:rsidP="00560FC1">
            <w:pPr>
              <w:pStyle w:val="Tablehead"/>
              <w:rPr>
                <w:lang w:val="en-US"/>
              </w:rPr>
            </w:pPr>
            <w:r w:rsidRPr="00073646">
              <w:rPr>
                <w:lang w:val="en-US"/>
              </w:rPr>
              <w:t>unwanted emission level (dBm/1 MHz)</w:t>
            </w:r>
          </w:p>
        </w:tc>
        <w:tc>
          <w:tcPr>
            <w:tcW w:w="835" w:type="dxa"/>
            <w:tcBorders>
              <w:top w:val="single" w:sz="4" w:space="0" w:color="auto"/>
            </w:tcBorders>
          </w:tcPr>
          <w:p w:rsidR="00073646" w:rsidRPr="002C2784" w:rsidRDefault="00073646" w:rsidP="00560FC1">
            <w:pPr>
              <w:pStyle w:val="Tablehead"/>
            </w:pPr>
            <w:r w:rsidRPr="002C2784">
              <w:t>in dBW/</w:t>
            </w:r>
            <w:r w:rsidRPr="002C2784">
              <w:br/>
              <w:t>1 MHz</w:t>
            </w:r>
          </w:p>
        </w:tc>
        <w:tc>
          <w:tcPr>
            <w:tcW w:w="835" w:type="dxa"/>
            <w:tcBorders>
              <w:top w:val="single" w:sz="4" w:space="0" w:color="auto"/>
            </w:tcBorders>
          </w:tcPr>
          <w:p w:rsidR="00073646" w:rsidRPr="002C2784" w:rsidRDefault="00073646" w:rsidP="00560FC1">
            <w:pPr>
              <w:pStyle w:val="Tablehead"/>
            </w:pPr>
            <w:r w:rsidRPr="002C2784">
              <w:t>from (MHz)</w:t>
            </w:r>
          </w:p>
        </w:tc>
        <w:tc>
          <w:tcPr>
            <w:tcW w:w="835" w:type="dxa"/>
            <w:tcBorders>
              <w:top w:val="single" w:sz="4" w:space="0" w:color="auto"/>
            </w:tcBorders>
          </w:tcPr>
          <w:p w:rsidR="00073646" w:rsidRPr="002C2784" w:rsidRDefault="00073646" w:rsidP="00560FC1">
            <w:pPr>
              <w:pStyle w:val="Tablehead"/>
            </w:pPr>
            <w:r w:rsidRPr="002C2784">
              <w:t xml:space="preserve">to (MHz) </w:t>
            </w:r>
          </w:p>
        </w:tc>
        <w:tc>
          <w:tcPr>
            <w:tcW w:w="1253" w:type="dxa"/>
            <w:tcBorders>
              <w:top w:val="single" w:sz="4" w:space="0" w:color="auto"/>
            </w:tcBorders>
          </w:tcPr>
          <w:p w:rsidR="00073646" w:rsidRPr="002C2784" w:rsidRDefault="00073646" w:rsidP="00560FC1">
            <w:pPr>
              <w:pStyle w:val="Tablehead"/>
            </w:pPr>
            <w:r w:rsidRPr="002C2784">
              <w:t>bandwidth (MHz)</w:t>
            </w:r>
          </w:p>
        </w:tc>
        <w:tc>
          <w:tcPr>
            <w:tcW w:w="2268" w:type="dxa"/>
            <w:tcBorders>
              <w:top w:val="single" w:sz="4" w:space="0" w:color="auto"/>
            </w:tcBorders>
          </w:tcPr>
          <w:p w:rsidR="00073646" w:rsidRPr="00073646" w:rsidRDefault="00073646" w:rsidP="00560FC1">
            <w:pPr>
              <w:pStyle w:val="Tablehead"/>
              <w:rPr>
                <w:lang w:val="en-US"/>
              </w:rPr>
            </w:pPr>
            <w:r w:rsidRPr="00073646">
              <w:rPr>
                <w:lang w:val="en-US"/>
              </w:rPr>
              <w:t>unwanted emission power in this band (dBW)</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–1.5</w:t>
            </w:r>
          </w:p>
        </w:tc>
        <w:tc>
          <w:tcPr>
            <w:tcW w:w="835" w:type="dxa"/>
          </w:tcPr>
          <w:p w:rsidR="00073646" w:rsidRPr="00F813F6" w:rsidRDefault="00073646" w:rsidP="00560FC1">
            <w:pPr>
              <w:pStyle w:val="Tabletext"/>
              <w:jc w:val="center"/>
              <w:rPr>
                <w:lang w:eastAsia="fr-FR"/>
              </w:rPr>
            </w:pPr>
            <w:r w:rsidRPr="00F813F6">
              <w:rPr>
                <w:lang w:eastAsia="fr-FR"/>
              </w:rPr>
              <w:t>–31.5</w:t>
            </w:r>
          </w:p>
        </w:tc>
        <w:tc>
          <w:tcPr>
            <w:tcW w:w="835" w:type="dxa"/>
          </w:tcPr>
          <w:p w:rsidR="00073646" w:rsidRPr="00F813F6" w:rsidRDefault="00073646" w:rsidP="00560FC1">
            <w:pPr>
              <w:pStyle w:val="Tabletext"/>
              <w:jc w:val="center"/>
              <w:rPr>
                <w:lang w:eastAsia="fr-FR"/>
              </w:rPr>
            </w:pPr>
            <w:r w:rsidRPr="00F813F6">
              <w:rPr>
                <w:lang w:eastAsia="fr-FR"/>
              </w:rPr>
              <w:t>1 427</w:t>
            </w:r>
          </w:p>
        </w:tc>
        <w:tc>
          <w:tcPr>
            <w:tcW w:w="835" w:type="dxa"/>
          </w:tcPr>
          <w:p w:rsidR="00073646" w:rsidRPr="00F813F6" w:rsidRDefault="00073646" w:rsidP="00560FC1">
            <w:pPr>
              <w:pStyle w:val="Tabletext"/>
              <w:jc w:val="center"/>
              <w:rPr>
                <w:lang w:eastAsia="fr-FR"/>
              </w:rPr>
            </w:pPr>
            <w:r w:rsidRPr="00F813F6">
              <w:rPr>
                <w:lang w:eastAsia="fr-FR"/>
              </w:rPr>
              <w:t>1 426.9</w:t>
            </w:r>
          </w:p>
        </w:tc>
        <w:tc>
          <w:tcPr>
            <w:tcW w:w="1253" w:type="dxa"/>
          </w:tcPr>
          <w:p w:rsidR="00073646" w:rsidRPr="00F813F6" w:rsidRDefault="00073646" w:rsidP="00560FC1">
            <w:pPr>
              <w:pStyle w:val="Tabletext"/>
              <w:jc w:val="center"/>
              <w:rPr>
                <w:lang w:eastAsia="fr-FR"/>
              </w:rPr>
            </w:pPr>
            <w:r w:rsidRPr="00F813F6">
              <w:rPr>
                <w:lang w:eastAsia="fr-FR"/>
              </w:rPr>
              <w:t>0.1</w:t>
            </w:r>
          </w:p>
        </w:tc>
        <w:tc>
          <w:tcPr>
            <w:tcW w:w="2268" w:type="dxa"/>
          </w:tcPr>
          <w:p w:rsidR="00073646" w:rsidRPr="00F813F6" w:rsidRDefault="00073646" w:rsidP="00560FC1">
            <w:pPr>
              <w:pStyle w:val="Tabletext"/>
              <w:jc w:val="center"/>
              <w:rPr>
                <w:lang w:eastAsia="fr-FR"/>
              </w:rPr>
            </w:pPr>
            <w:r w:rsidRPr="00F813F6">
              <w:rPr>
                <w:lang w:eastAsia="fr-FR"/>
              </w:rPr>
              <w:t>–41.5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–8.5</w:t>
            </w:r>
          </w:p>
        </w:tc>
        <w:tc>
          <w:tcPr>
            <w:tcW w:w="835" w:type="dxa"/>
          </w:tcPr>
          <w:p w:rsidR="00073646" w:rsidRPr="00F813F6" w:rsidRDefault="00073646" w:rsidP="00560FC1">
            <w:pPr>
              <w:pStyle w:val="Tabletext"/>
              <w:jc w:val="center"/>
              <w:rPr>
                <w:lang w:eastAsia="fr-FR"/>
              </w:rPr>
            </w:pPr>
            <w:r w:rsidRPr="00F813F6">
              <w:rPr>
                <w:lang w:eastAsia="fr-FR"/>
              </w:rPr>
              <w:t>–38.5</w:t>
            </w:r>
          </w:p>
        </w:tc>
        <w:tc>
          <w:tcPr>
            <w:tcW w:w="835" w:type="dxa"/>
          </w:tcPr>
          <w:p w:rsidR="00073646" w:rsidRPr="00F813F6" w:rsidRDefault="00073646" w:rsidP="00560FC1">
            <w:pPr>
              <w:pStyle w:val="Tabletext"/>
              <w:jc w:val="center"/>
              <w:rPr>
                <w:lang w:eastAsia="fr-FR"/>
              </w:rPr>
            </w:pPr>
            <w:r w:rsidRPr="00F813F6">
              <w:rPr>
                <w:lang w:eastAsia="fr-FR"/>
              </w:rPr>
              <w:t>1 426.9</w:t>
            </w:r>
          </w:p>
        </w:tc>
        <w:tc>
          <w:tcPr>
            <w:tcW w:w="835" w:type="dxa"/>
          </w:tcPr>
          <w:p w:rsidR="00073646" w:rsidRPr="00F813F6" w:rsidRDefault="00073646" w:rsidP="00560FC1">
            <w:pPr>
              <w:pStyle w:val="Tabletext"/>
              <w:jc w:val="center"/>
              <w:rPr>
                <w:lang w:eastAsia="fr-FR"/>
              </w:rPr>
            </w:pPr>
            <w:r w:rsidRPr="00F813F6">
              <w:rPr>
                <w:lang w:eastAsia="fr-FR"/>
              </w:rPr>
              <w:t>1 422.9</w:t>
            </w:r>
          </w:p>
        </w:tc>
        <w:tc>
          <w:tcPr>
            <w:tcW w:w="1253" w:type="dxa"/>
          </w:tcPr>
          <w:p w:rsidR="00073646" w:rsidRPr="00F813F6" w:rsidRDefault="00073646" w:rsidP="00560FC1">
            <w:pPr>
              <w:pStyle w:val="Tabletext"/>
              <w:jc w:val="center"/>
              <w:rPr>
                <w:lang w:eastAsia="fr-FR"/>
              </w:rPr>
            </w:pPr>
            <w:r w:rsidRPr="00F813F6">
              <w:rPr>
                <w:lang w:eastAsia="fr-FR"/>
              </w:rPr>
              <w:t>4</w:t>
            </w:r>
          </w:p>
        </w:tc>
        <w:tc>
          <w:tcPr>
            <w:tcW w:w="2268" w:type="dxa"/>
          </w:tcPr>
          <w:p w:rsidR="00073646" w:rsidRPr="00F813F6" w:rsidRDefault="00073646" w:rsidP="00560FC1">
            <w:pPr>
              <w:pStyle w:val="Tabletext"/>
              <w:jc w:val="center"/>
              <w:rPr>
                <w:lang w:eastAsia="fr-FR"/>
              </w:rPr>
            </w:pPr>
            <w:r w:rsidRPr="00F813F6">
              <w:rPr>
                <w:lang w:eastAsia="fr-FR"/>
              </w:rPr>
              <w:t>–32.5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–11.5</w:t>
            </w:r>
          </w:p>
        </w:tc>
        <w:tc>
          <w:tcPr>
            <w:tcW w:w="835" w:type="dxa"/>
          </w:tcPr>
          <w:p w:rsidR="00073646" w:rsidRPr="00F813F6" w:rsidRDefault="00073646" w:rsidP="00560FC1">
            <w:pPr>
              <w:pStyle w:val="Tabletext"/>
              <w:jc w:val="center"/>
              <w:rPr>
                <w:lang w:eastAsia="fr-FR"/>
              </w:rPr>
            </w:pPr>
            <w:r w:rsidRPr="00F813F6">
              <w:rPr>
                <w:lang w:eastAsia="fr-FR"/>
              </w:rPr>
              <w:t>–41.5</w:t>
            </w:r>
          </w:p>
        </w:tc>
        <w:tc>
          <w:tcPr>
            <w:tcW w:w="835" w:type="dxa"/>
          </w:tcPr>
          <w:p w:rsidR="00073646" w:rsidRPr="00F813F6" w:rsidRDefault="00073646" w:rsidP="00560FC1">
            <w:pPr>
              <w:pStyle w:val="Tabletext"/>
              <w:jc w:val="center"/>
              <w:rPr>
                <w:lang w:eastAsia="fr-FR"/>
              </w:rPr>
            </w:pPr>
            <w:r w:rsidRPr="00F813F6">
              <w:rPr>
                <w:lang w:eastAsia="fr-FR"/>
              </w:rPr>
              <w:t>1 422.9</w:t>
            </w:r>
          </w:p>
        </w:tc>
        <w:tc>
          <w:tcPr>
            <w:tcW w:w="835" w:type="dxa"/>
          </w:tcPr>
          <w:p w:rsidR="00073646" w:rsidRPr="00F813F6" w:rsidRDefault="00073646" w:rsidP="00560FC1">
            <w:pPr>
              <w:pStyle w:val="Tabletext"/>
              <w:jc w:val="center"/>
              <w:rPr>
                <w:lang w:eastAsia="fr-FR"/>
              </w:rPr>
            </w:pPr>
            <w:r w:rsidRPr="00F813F6">
              <w:rPr>
                <w:lang w:eastAsia="fr-FR"/>
              </w:rPr>
              <w:t>1 421.9</w:t>
            </w:r>
          </w:p>
        </w:tc>
        <w:tc>
          <w:tcPr>
            <w:tcW w:w="1253" w:type="dxa"/>
          </w:tcPr>
          <w:p w:rsidR="00073646" w:rsidRPr="00F813F6" w:rsidRDefault="00073646" w:rsidP="00560FC1">
            <w:pPr>
              <w:pStyle w:val="Tabletext"/>
              <w:jc w:val="center"/>
              <w:rPr>
                <w:lang w:eastAsia="fr-FR"/>
              </w:rPr>
            </w:pPr>
            <w:r w:rsidRPr="00F813F6">
              <w:rPr>
                <w:lang w:eastAsia="fr-FR"/>
              </w:rPr>
              <w:t>1</w:t>
            </w:r>
          </w:p>
        </w:tc>
        <w:tc>
          <w:tcPr>
            <w:tcW w:w="2268" w:type="dxa"/>
          </w:tcPr>
          <w:p w:rsidR="00073646" w:rsidRPr="00F813F6" w:rsidRDefault="00073646" w:rsidP="00560FC1">
            <w:pPr>
              <w:pStyle w:val="Tabletext"/>
              <w:jc w:val="center"/>
              <w:rPr>
                <w:lang w:eastAsia="fr-FR"/>
              </w:rPr>
            </w:pPr>
            <w:r w:rsidRPr="00F813F6">
              <w:rPr>
                <w:lang w:eastAsia="fr-FR"/>
              </w:rPr>
              <w:t>–41.5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–23.5</w:t>
            </w:r>
          </w:p>
        </w:tc>
        <w:tc>
          <w:tcPr>
            <w:tcW w:w="835" w:type="dxa"/>
          </w:tcPr>
          <w:p w:rsidR="00073646" w:rsidRPr="00F813F6" w:rsidRDefault="00073646" w:rsidP="00560FC1">
            <w:pPr>
              <w:pStyle w:val="Tabletext"/>
              <w:jc w:val="center"/>
              <w:rPr>
                <w:lang w:eastAsia="fr-FR"/>
              </w:rPr>
            </w:pPr>
            <w:r w:rsidRPr="00F813F6">
              <w:rPr>
                <w:lang w:eastAsia="fr-FR"/>
              </w:rPr>
              <w:t>–53.5</w:t>
            </w:r>
          </w:p>
        </w:tc>
        <w:tc>
          <w:tcPr>
            <w:tcW w:w="835" w:type="dxa"/>
          </w:tcPr>
          <w:p w:rsidR="00073646" w:rsidRPr="00F813F6" w:rsidRDefault="00073646" w:rsidP="00560FC1">
            <w:pPr>
              <w:pStyle w:val="Tabletext"/>
              <w:jc w:val="center"/>
              <w:rPr>
                <w:lang w:eastAsia="fr-FR"/>
              </w:rPr>
            </w:pPr>
            <w:r w:rsidRPr="00F813F6">
              <w:rPr>
                <w:lang w:eastAsia="fr-FR"/>
              </w:rPr>
              <w:t>1 421.9</w:t>
            </w:r>
          </w:p>
        </w:tc>
        <w:tc>
          <w:tcPr>
            <w:tcW w:w="835" w:type="dxa"/>
          </w:tcPr>
          <w:p w:rsidR="00073646" w:rsidRPr="00F813F6" w:rsidRDefault="00073646" w:rsidP="00560FC1">
            <w:pPr>
              <w:pStyle w:val="Tabletext"/>
              <w:jc w:val="center"/>
              <w:rPr>
                <w:lang w:eastAsia="fr-FR"/>
              </w:rPr>
            </w:pPr>
            <w:r w:rsidRPr="00F813F6">
              <w:rPr>
                <w:lang w:eastAsia="fr-FR"/>
              </w:rPr>
              <w:t>1 417.9</w:t>
            </w:r>
          </w:p>
        </w:tc>
        <w:tc>
          <w:tcPr>
            <w:tcW w:w="1253" w:type="dxa"/>
          </w:tcPr>
          <w:p w:rsidR="00073646" w:rsidRPr="00F813F6" w:rsidRDefault="00073646" w:rsidP="00560FC1">
            <w:pPr>
              <w:pStyle w:val="Tabletext"/>
              <w:jc w:val="center"/>
              <w:rPr>
                <w:lang w:eastAsia="fr-FR"/>
              </w:rPr>
            </w:pPr>
            <w:r w:rsidRPr="00F813F6">
              <w:rPr>
                <w:lang w:eastAsia="fr-FR"/>
              </w:rPr>
              <w:t>4</w:t>
            </w:r>
          </w:p>
        </w:tc>
        <w:tc>
          <w:tcPr>
            <w:tcW w:w="2268" w:type="dxa"/>
          </w:tcPr>
          <w:p w:rsidR="00073646" w:rsidRPr="00F813F6" w:rsidRDefault="00073646" w:rsidP="00560FC1">
            <w:pPr>
              <w:pStyle w:val="Tabletext"/>
              <w:jc w:val="center"/>
              <w:rPr>
                <w:lang w:eastAsia="fr-FR"/>
              </w:rPr>
            </w:pPr>
            <w:r w:rsidRPr="00F813F6">
              <w:rPr>
                <w:lang w:eastAsia="fr-FR"/>
              </w:rPr>
              <w:t>–47.5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–30</w:t>
            </w:r>
          </w:p>
        </w:tc>
        <w:tc>
          <w:tcPr>
            <w:tcW w:w="835" w:type="dxa"/>
          </w:tcPr>
          <w:p w:rsidR="00073646" w:rsidRPr="00F813F6" w:rsidRDefault="00073646" w:rsidP="00560FC1">
            <w:pPr>
              <w:pStyle w:val="Tabletext"/>
              <w:jc w:val="center"/>
              <w:rPr>
                <w:lang w:eastAsia="fr-FR"/>
              </w:rPr>
            </w:pPr>
            <w:r w:rsidRPr="00F813F6">
              <w:rPr>
                <w:lang w:eastAsia="fr-FR"/>
              </w:rPr>
              <w:t>–60</w:t>
            </w:r>
          </w:p>
        </w:tc>
        <w:tc>
          <w:tcPr>
            <w:tcW w:w="835" w:type="dxa"/>
          </w:tcPr>
          <w:p w:rsidR="00073646" w:rsidRPr="00F813F6" w:rsidRDefault="00073646" w:rsidP="00560FC1">
            <w:pPr>
              <w:pStyle w:val="Tabletext"/>
              <w:jc w:val="center"/>
              <w:rPr>
                <w:lang w:eastAsia="fr-FR"/>
              </w:rPr>
            </w:pPr>
            <w:r w:rsidRPr="00F813F6">
              <w:rPr>
                <w:lang w:eastAsia="fr-FR"/>
              </w:rPr>
              <w:t>1 417.9</w:t>
            </w:r>
          </w:p>
        </w:tc>
        <w:tc>
          <w:tcPr>
            <w:tcW w:w="835" w:type="dxa"/>
          </w:tcPr>
          <w:p w:rsidR="00073646" w:rsidRPr="00F813F6" w:rsidRDefault="00073646" w:rsidP="00560FC1">
            <w:pPr>
              <w:pStyle w:val="Tabletext"/>
              <w:jc w:val="center"/>
              <w:rPr>
                <w:lang w:eastAsia="fr-FR"/>
              </w:rPr>
            </w:pPr>
            <w:r w:rsidRPr="00F813F6">
              <w:rPr>
                <w:lang w:eastAsia="fr-FR"/>
              </w:rPr>
              <w:t>1 400</w:t>
            </w:r>
          </w:p>
        </w:tc>
        <w:tc>
          <w:tcPr>
            <w:tcW w:w="1253" w:type="dxa"/>
          </w:tcPr>
          <w:p w:rsidR="00073646" w:rsidRPr="00F813F6" w:rsidRDefault="00073646" w:rsidP="00560FC1">
            <w:pPr>
              <w:pStyle w:val="Tabletext"/>
              <w:jc w:val="center"/>
              <w:rPr>
                <w:lang w:eastAsia="fr-FR"/>
              </w:rPr>
            </w:pPr>
            <w:r w:rsidRPr="00F813F6">
              <w:rPr>
                <w:lang w:eastAsia="fr-FR"/>
              </w:rPr>
              <w:t>17.9</w:t>
            </w:r>
          </w:p>
        </w:tc>
        <w:tc>
          <w:tcPr>
            <w:tcW w:w="2268" w:type="dxa"/>
          </w:tcPr>
          <w:p w:rsidR="00073646" w:rsidRPr="00F813F6" w:rsidRDefault="00073646" w:rsidP="00560FC1">
            <w:pPr>
              <w:pStyle w:val="Tabletext"/>
              <w:jc w:val="center"/>
              <w:rPr>
                <w:lang w:eastAsia="fr-FR"/>
              </w:rPr>
            </w:pPr>
            <w:r w:rsidRPr="00F813F6">
              <w:rPr>
                <w:lang w:eastAsia="fr-FR"/>
              </w:rPr>
              <w:t>–47.5</w:t>
            </w:r>
          </w:p>
        </w:tc>
      </w:tr>
      <w:tr w:rsidR="00073646" w:rsidRPr="00F813F6" w:rsidTr="00560FC1">
        <w:trPr>
          <w:trHeight w:val="194"/>
        </w:trPr>
        <w:tc>
          <w:tcPr>
            <w:tcW w:w="2352" w:type="dxa"/>
            <w:gridSpan w:val="2"/>
          </w:tcPr>
          <w:p w:rsidR="00073646" w:rsidRPr="00F813F6" w:rsidRDefault="00073646" w:rsidP="00560FC1">
            <w:pPr>
              <w:pStyle w:val="Tabletext"/>
              <w:jc w:val="center"/>
              <w:rPr>
                <w:b/>
                <w:lang w:eastAsia="fr-FR"/>
              </w:rPr>
            </w:pPr>
            <w:r w:rsidRPr="00F813F6">
              <w:rPr>
                <w:b/>
                <w:lang w:eastAsia="fr-FR"/>
              </w:rPr>
              <w:t>TOTAL</w:t>
            </w:r>
          </w:p>
        </w:tc>
        <w:tc>
          <w:tcPr>
            <w:tcW w:w="835" w:type="dxa"/>
          </w:tcPr>
          <w:p w:rsidR="00073646" w:rsidRPr="00F813F6" w:rsidRDefault="00073646" w:rsidP="00560FC1">
            <w:pPr>
              <w:pStyle w:val="Tabletext"/>
              <w:jc w:val="center"/>
              <w:rPr>
                <w:b/>
                <w:lang w:eastAsia="fr-FR"/>
              </w:rPr>
            </w:pPr>
            <w:r w:rsidRPr="00F813F6">
              <w:rPr>
                <w:b/>
                <w:lang w:eastAsia="fr-FR"/>
              </w:rPr>
              <w:t>1 427</w:t>
            </w:r>
          </w:p>
        </w:tc>
        <w:tc>
          <w:tcPr>
            <w:tcW w:w="835" w:type="dxa"/>
          </w:tcPr>
          <w:p w:rsidR="00073646" w:rsidRPr="00F813F6" w:rsidRDefault="00073646" w:rsidP="00560FC1">
            <w:pPr>
              <w:pStyle w:val="Tabletext"/>
              <w:jc w:val="center"/>
              <w:rPr>
                <w:b/>
                <w:lang w:eastAsia="fr-FR"/>
              </w:rPr>
            </w:pPr>
            <w:r w:rsidRPr="00F813F6">
              <w:rPr>
                <w:b/>
                <w:lang w:eastAsia="fr-FR"/>
              </w:rPr>
              <w:t>1 400</w:t>
            </w:r>
          </w:p>
        </w:tc>
        <w:tc>
          <w:tcPr>
            <w:tcW w:w="1253" w:type="dxa"/>
          </w:tcPr>
          <w:p w:rsidR="00073646" w:rsidRPr="00F813F6" w:rsidRDefault="00073646" w:rsidP="00560FC1">
            <w:pPr>
              <w:pStyle w:val="Tabletext"/>
              <w:jc w:val="center"/>
              <w:rPr>
                <w:b/>
                <w:lang w:eastAsia="fr-FR"/>
              </w:rPr>
            </w:pPr>
            <w:r w:rsidRPr="00F813F6">
              <w:rPr>
                <w:b/>
                <w:lang w:eastAsia="fr-FR"/>
              </w:rPr>
              <w:t>27</w:t>
            </w:r>
          </w:p>
        </w:tc>
        <w:tc>
          <w:tcPr>
            <w:tcW w:w="2268" w:type="dxa"/>
          </w:tcPr>
          <w:p w:rsidR="00073646" w:rsidRPr="00F813F6" w:rsidRDefault="00073646" w:rsidP="00560FC1">
            <w:pPr>
              <w:pStyle w:val="Tabletext"/>
              <w:jc w:val="center"/>
              <w:rPr>
                <w:b/>
                <w:lang w:eastAsia="fr-FR"/>
              </w:rPr>
            </w:pPr>
            <w:r w:rsidRPr="00F813F6">
              <w:rPr>
                <w:b/>
                <w:lang w:eastAsia="fr-FR"/>
              </w:rPr>
              <w:t>–31.3</w:t>
            </w:r>
          </w:p>
        </w:tc>
      </w:tr>
    </w:tbl>
    <w:p w:rsidR="00073646" w:rsidRPr="00F813F6" w:rsidRDefault="00073646" w:rsidP="00160F12">
      <w:pPr>
        <w:pStyle w:val="TableNo"/>
        <w:rPr>
          <w:lang w:eastAsia="fr-FR"/>
        </w:rPr>
      </w:pPr>
      <w:r w:rsidRPr="00F813F6">
        <w:rPr>
          <w:lang w:eastAsia="fr-FR"/>
        </w:rPr>
        <w:t>T</w:t>
      </w:r>
      <w:r w:rsidR="00160F12">
        <w:rPr>
          <w:lang w:eastAsia="fr-FR"/>
        </w:rPr>
        <w:t>ABLE</w:t>
      </w:r>
      <w:r w:rsidR="00C3317D">
        <w:rPr>
          <w:lang w:eastAsia="fr-FR"/>
        </w:rPr>
        <w:t xml:space="preserve"> </w:t>
      </w:r>
      <w:r w:rsidRPr="00F813F6">
        <w:rPr>
          <w:lang w:eastAsia="fr-FR"/>
        </w:rPr>
        <w:t xml:space="preserve"> 9</w:t>
      </w:r>
    </w:p>
    <w:p w:rsidR="00073646" w:rsidRPr="00073646" w:rsidRDefault="00073646" w:rsidP="00073646">
      <w:pPr>
        <w:pStyle w:val="Tabletitle"/>
        <w:rPr>
          <w:lang w:val="en-US"/>
        </w:rPr>
      </w:pPr>
      <w:r w:rsidRPr="00073646">
        <w:rPr>
          <w:lang w:val="en-US" w:eastAsia="fr-FR"/>
        </w:rPr>
        <w:t>Case of LTE system with 10 MHz BW</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7"/>
        <w:gridCol w:w="835"/>
        <w:gridCol w:w="835"/>
        <w:gridCol w:w="835"/>
        <w:gridCol w:w="1253"/>
        <w:gridCol w:w="2268"/>
      </w:tblGrid>
      <w:tr w:rsidR="00073646" w:rsidRPr="00C95E2E" w:rsidTr="00560FC1">
        <w:trPr>
          <w:trHeight w:val="967"/>
        </w:trPr>
        <w:tc>
          <w:tcPr>
            <w:tcW w:w="1517" w:type="dxa"/>
            <w:tcBorders>
              <w:top w:val="single" w:sz="4" w:space="0" w:color="auto"/>
            </w:tcBorders>
          </w:tcPr>
          <w:p w:rsidR="00073646" w:rsidRPr="00073646" w:rsidRDefault="00073646" w:rsidP="00560FC1">
            <w:pPr>
              <w:pStyle w:val="Tablehead"/>
              <w:rPr>
                <w:lang w:val="en-US" w:eastAsia="fr-FR"/>
              </w:rPr>
            </w:pPr>
            <w:r w:rsidRPr="00073646">
              <w:rPr>
                <w:lang w:val="en-US" w:eastAsia="fr-FR"/>
              </w:rPr>
              <w:t>unwanted emission level (dBm/1 MHz)</w:t>
            </w:r>
          </w:p>
        </w:tc>
        <w:tc>
          <w:tcPr>
            <w:tcW w:w="835" w:type="dxa"/>
            <w:tcBorders>
              <w:top w:val="single" w:sz="4" w:space="0" w:color="auto"/>
            </w:tcBorders>
          </w:tcPr>
          <w:p w:rsidR="00073646" w:rsidRPr="00F813F6" w:rsidRDefault="00073646" w:rsidP="00560FC1">
            <w:pPr>
              <w:pStyle w:val="Tablehead"/>
              <w:rPr>
                <w:lang w:eastAsia="fr-FR"/>
              </w:rPr>
            </w:pPr>
            <w:r w:rsidRPr="00F813F6">
              <w:rPr>
                <w:lang w:eastAsia="fr-FR"/>
              </w:rPr>
              <w:t>in dBW/</w:t>
            </w:r>
            <w:r w:rsidRPr="00F813F6">
              <w:rPr>
                <w:lang w:eastAsia="fr-FR"/>
              </w:rPr>
              <w:br/>
              <w:t>1 MHz</w:t>
            </w:r>
          </w:p>
        </w:tc>
        <w:tc>
          <w:tcPr>
            <w:tcW w:w="835" w:type="dxa"/>
            <w:tcBorders>
              <w:top w:val="single" w:sz="4" w:space="0" w:color="auto"/>
            </w:tcBorders>
          </w:tcPr>
          <w:p w:rsidR="00073646" w:rsidRPr="00F813F6" w:rsidRDefault="00073646" w:rsidP="00560FC1">
            <w:pPr>
              <w:pStyle w:val="Tablehead"/>
              <w:rPr>
                <w:lang w:eastAsia="fr-FR"/>
              </w:rPr>
            </w:pPr>
            <w:r w:rsidRPr="00F813F6">
              <w:rPr>
                <w:lang w:eastAsia="fr-FR"/>
              </w:rPr>
              <w:t>from (MHz)</w:t>
            </w:r>
          </w:p>
        </w:tc>
        <w:tc>
          <w:tcPr>
            <w:tcW w:w="835" w:type="dxa"/>
            <w:tcBorders>
              <w:top w:val="single" w:sz="4" w:space="0" w:color="auto"/>
            </w:tcBorders>
          </w:tcPr>
          <w:p w:rsidR="00073646" w:rsidRPr="00F813F6" w:rsidRDefault="00073646" w:rsidP="00560FC1">
            <w:pPr>
              <w:pStyle w:val="Tablehead"/>
              <w:rPr>
                <w:lang w:eastAsia="fr-FR"/>
              </w:rPr>
            </w:pPr>
            <w:r w:rsidRPr="00F813F6">
              <w:rPr>
                <w:lang w:eastAsia="fr-FR"/>
              </w:rPr>
              <w:t xml:space="preserve">to (MHz) </w:t>
            </w:r>
          </w:p>
        </w:tc>
        <w:tc>
          <w:tcPr>
            <w:tcW w:w="1253" w:type="dxa"/>
            <w:tcBorders>
              <w:top w:val="single" w:sz="4" w:space="0" w:color="auto"/>
            </w:tcBorders>
          </w:tcPr>
          <w:p w:rsidR="00073646" w:rsidRPr="00F813F6" w:rsidRDefault="00073646" w:rsidP="00560FC1">
            <w:pPr>
              <w:pStyle w:val="Tablehead"/>
              <w:rPr>
                <w:lang w:eastAsia="fr-FR"/>
              </w:rPr>
            </w:pPr>
            <w:r w:rsidRPr="00F813F6">
              <w:rPr>
                <w:lang w:eastAsia="fr-FR"/>
              </w:rPr>
              <w:t>bandwidth (MHz)</w:t>
            </w:r>
          </w:p>
        </w:tc>
        <w:tc>
          <w:tcPr>
            <w:tcW w:w="2268" w:type="dxa"/>
            <w:tcBorders>
              <w:top w:val="single" w:sz="4" w:space="0" w:color="auto"/>
            </w:tcBorders>
          </w:tcPr>
          <w:p w:rsidR="00073646" w:rsidRPr="00073646" w:rsidRDefault="00073646" w:rsidP="00560FC1">
            <w:pPr>
              <w:pStyle w:val="Tablehead"/>
              <w:rPr>
                <w:lang w:val="en-US" w:eastAsia="fr-FR"/>
              </w:rPr>
            </w:pPr>
            <w:r w:rsidRPr="00073646">
              <w:rPr>
                <w:lang w:val="en-US" w:eastAsia="fr-FR"/>
              </w:rPr>
              <w:t>unwanted emission power in this band (dBW)</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1.5</w:t>
            </w:r>
          </w:p>
        </w:tc>
        <w:tc>
          <w:tcPr>
            <w:tcW w:w="835" w:type="dxa"/>
          </w:tcPr>
          <w:p w:rsidR="00073646" w:rsidRPr="00F813F6" w:rsidRDefault="00073646" w:rsidP="00560FC1">
            <w:pPr>
              <w:pStyle w:val="Tabletext"/>
              <w:jc w:val="center"/>
              <w:rPr>
                <w:lang w:eastAsia="fr-FR"/>
              </w:rPr>
            </w:pPr>
            <w:r w:rsidRPr="00F813F6">
              <w:rPr>
                <w:lang w:eastAsia="fr-FR"/>
              </w:rPr>
              <w:t>–28.5</w:t>
            </w:r>
          </w:p>
        </w:tc>
        <w:tc>
          <w:tcPr>
            <w:tcW w:w="835" w:type="dxa"/>
          </w:tcPr>
          <w:p w:rsidR="00073646" w:rsidRPr="00F813F6" w:rsidRDefault="00073646" w:rsidP="00560FC1">
            <w:pPr>
              <w:pStyle w:val="Tabletext"/>
              <w:jc w:val="center"/>
              <w:rPr>
                <w:lang w:eastAsia="fr-FR"/>
              </w:rPr>
            </w:pPr>
            <w:r w:rsidRPr="00F813F6">
              <w:rPr>
                <w:lang w:eastAsia="fr-FR"/>
              </w:rPr>
              <w:t>1 427</w:t>
            </w:r>
          </w:p>
        </w:tc>
        <w:tc>
          <w:tcPr>
            <w:tcW w:w="835" w:type="dxa"/>
          </w:tcPr>
          <w:p w:rsidR="00073646" w:rsidRPr="00F813F6" w:rsidRDefault="00073646" w:rsidP="00560FC1">
            <w:pPr>
              <w:pStyle w:val="Tabletext"/>
              <w:jc w:val="center"/>
              <w:rPr>
                <w:lang w:eastAsia="fr-FR"/>
              </w:rPr>
            </w:pPr>
            <w:r w:rsidRPr="00F813F6">
              <w:rPr>
                <w:lang w:eastAsia="fr-FR"/>
              </w:rPr>
              <w:t>1 426.9</w:t>
            </w:r>
          </w:p>
        </w:tc>
        <w:tc>
          <w:tcPr>
            <w:tcW w:w="1253" w:type="dxa"/>
          </w:tcPr>
          <w:p w:rsidR="00073646" w:rsidRPr="00F813F6" w:rsidRDefault="00073646" w:rsidP="00560FC1">
            <w:pPr>
              <w:pStyle w:val="Tabletext"/>
              <w:jc w:val="center"/>
              <w:rPr>
                <w:lang w:eastAsia="fr-FR"/>
              </w:rPr>
            </w:pPr>
            <w:r w:rsidRPr="00F813F6">
              <w:rPr>
                <w:lang w:eastAsia="fr-FR"/>
              </w:rPr>
              <w:t>0.1</w:t>
            </w:r>
          </w:p>
        </w:tc>
        <w:tc>
          <w:tcPr>
            <w:tcW w:w="2268" w:type="dxa"/>
          </w:tcPr>
          <w:p w:rsidR="00073646" w:rsidRPr="00F813F6" w:rsidRDefault="00073646" w:rsidP="00560FC1">
            <w:pPr>
              <w:pStyle w:val="Tabletext"/>
              <w:jc w:val="center"/>
              <w:rPr>
                <w:lang w:eastAsia="fr-FR"/>
              </w:rPr>
            </w:pPr>
            <w:r w:rsidRPr="00F813F6">
              <w:rPr>
                <w:lang w:eastAsia="fr-FR"/>
              </w:rPr>
              <w:t>–38.5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–8.5</w:t>
            </w:r>
          </w:p>
        </w:tc>
        <w:tc>
          <w:tcPr>
            <w:tcW w:w="835" w:type="dxa"/>
          </w:tcPr>
          <w:p w:rsidR="00073646" w:rsidRPr="00F813F6" w:rsidRDefault="00073646" w:rsidP="00560FC1">
            <w:pPr>
              <w:pStyle w:val="Tabletext"/>
              <w:jc w:val="center"/>
              <w:rPr>
                <w:lang w:eastAsia="fr-FR"/>
              </w:rPr>
            </w:pPr>
            <w:r w:rsidRPr="00F813F6">
              <w:rPr>
                <w:lang w:eastAsia="fr-FR"/>
              </w:rPr>
              <w:t>–38.5</w:t>
            </w:r>
          </w:p>
        </w:tc>
        <w:tc>
          <w:tcPr>
            <w:tcW w:w="835" w:type="dxa"/>
          </w:tcPr>
          <w:p w:rsidR="00073646" w:rsidRPr="00F813F6" w:rsidRDefault="00073646" w:rsidP="00560FC1">
            <w:pPr>
              <w:pStyle w:val="Tabletext"/>
              <w:jc w:val="center"/>
              <w:rPr>
                <w:lang w:eastAsia="fr-FR"/>
              </w:rPr>
            </w:pPr>
            <w:r w:rsidRPr="00F813F6">
              <w:rPr>
                <w:lang w:eastAsia="fr-FR"/>
              </w:rPr>
              <w:t>1 426.9</w:t>
            </w:r>
          </w:p>
        </w:tc>
        <w:tc>
          <w:tcPr>
            <w:tcW w:w="835" w:type="dxa"/>
          </w:tcPr>
          <w:p w:rsidR="00073646" w:rsidRPr="00F813F6" w:rsidRDefault="00073646" w:rsidP="00560FC1">
            <w:pPr>
              <w:pStyle w:val="Tabletext"/>
              <w:jc w:val="center"/>
              <w:rPr>
                <w:lang w:eastAsia="fr-FR"/>
              </w:rPr>
            </w:pPr>
            <w:r w:rsidRPr="00F813F6">
              <w:rPr>
                <w:lang w:eastAsia="fr-FR"/>
              </w:rPr>
              <w:t>1 422.9</w:t>
            </w:r>
          </w:p>
        </w:tc>
        <w:tc>
          <w:tcPr>
            <w:tcW w:w="1253" w:type="dxa"/>
          </w:tcPr>
          <w:p w:rsidR="00073646" w:rsidRPr="00F813F6" w:rsidRDefault="00073646" w:rsidP="00560FC1">
            <w:pPr>
              <w:pStyle w:val="Tabletext"/>
              <w:jc w:val="center"/>
              <w:rPr>
                <w:lang w:eastAsia="fr-FR"/>
              </w:rPr>
            </w:pPr>
            <w:r w:rsidRPr="00F813F6">
              <w:rPr>
                <w:lang w:eastAsia="fr-FR"/>
              </w:rPr>
              <w:t>4</w:t>
            </w:r>
          </w:p>
        </w:tc>
        <w:tc>
          <w:tcPr>
            <w:tcW w:w="2268" w:type="dxa"/>
          </w:tcPr>
          <w:p w:rsidR="00073646" w:rsidRPr="00F813F6" w:rsidRDefault="00073646" w:rsidP="00560FC1">
            <w:pPr>
              <w:pStyle w:val="Tabletext"/>
              <w:jc w:val="center"/>
              <w:rPr>
                <w:lang w:eastAsia="fr-FR"/>
              </w:rPr>
            </w:pPr>
            <w:r w:rsidRPr="00F813F6">
              <w:rPr>
                <w:lang w:eastAsia="fr-FR"/>
              </w:rPr>
              <w:t>–32.5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–11.5</w:t>
            </w:r>
          </w:p>
        </w:tc>
        <w:tc>
          <w:tcPr>
            <w:tcW w:w="835" w:type="dxa"/>
          </w:tcPr>
          <w:p w:rsidR="00073646" w:rsidRPr="00F813F6" w:rsidRDefault="00073646" w:rsidP="00560FC1">
            <w:pPr>
              <w:pStyle w:val="Tabletext"/>
              <w:jc w:val="center"/>
              <w:rPr>
                <w:lang w:eastAsia="fr-FR"/>
              </w:rPr>
            </w:pPr>
            <w:r w:rsidRPr="00F813F6">
              <w:rPr>
                <w:lang w:eastAsia="fr-FR"/>
              </w:rPr>
              <w:t>–41.5</w:t>
            </w:r>
          </w:p>
        </w:tc>
        <w:tc>
          <w:tcPr>
            <w:tcW w:w="835" w:type="dxa"/>
          </w:tcPr>
          <w:p w:rsidR="00073646" w:rsidRPr="00F813F6" w:rsidRDefault="00073646" w:rsidP="00560FC1">
            <w:pPr>
              <w:pStyle w:val="Tabletext"/>
              <w:jc w:val="center"/>
              <w:rPr>
                <w:lang w:eastAsia="fr-FR"/>
              </w:rPr>
            </w:pPr>
            <w:r w:rsidRPr="00F813F6">
              <w:rPr>
                <w:lang w:eastAsia="fr-FR"/>
              </w:rPr>
              <w:t>1 422.9</w:t>
            </w:r>
          </w:p>
        </w:tc>
        <w:tc>
          <w:tcPr>
            <w:tcW w:w="835" w:type="dxa"/>
          </w:tcPr>
          <w:p w:rsidR="00073646" w:rsidRPr="00F813F6" w:rsidRDefault="00073646" w:rsidP="00560FC1">
            <w:pPr>
              <w:pStyle w:val="Tabletext"/>
              <w:jc w:val="center"/>
              <w:rPr>
                <w:lang w:eastAsia="fr-FR"/>
              </w:rPr>
            </w:pPr>
            <w:r w:rsidRPr="00F813F6">
              <w:rPr>
                <w:lang w:eastAsia="fr-FR"/>
              </w:rPr>
              <w:t>1 417.9</w:t>
            </w:r>
          </w:p>
        </w:tc>
        <w:tc>
          <w:tcPr>
            <w:tcW w:w="1253" w:type="dxa"/>
          </w:tcPr>
          <w:p w:rsidR="00073646" w:rsidRPr="00F813F6" w:rsidRDefault="00073646" w:rsidP="00560FC1">
            <w:pPr>
              <w:pStyle w:val="Tabletext"/>
              <w:jc w:val="center"/>
              <w:rPr>
                <w:lang w:eastAsia="fr-FR"/>
              </w:rPr>
            </w:pPr>
            <w:r w:rsidRPr="00F813F6">
              <w:rPr>
                <w:lang w:eastAsia="fr-FR"/>
              </w:rPr>
              <w:t>5</w:t>
            </w:r>
          </w:p>
        </w:tc>
        <w:tc>
          <w:tcPr>
            <w:tcW w:w="2268" w:type="dxa"/>
          </w:tcPr>
          <w:p w:rsidR="00073646" w:rsidRPr="00F813F6" w:rsidRDefault="00073646" w:rsidP="00560FC1">
            <w:pPr>
              <w:pStyle w:val="Tabletext"/>
              <w:jc w:val="center"/>
              <w:rPr>
                <w:lang w:eastAsia="fr-FR"/>
              </w:rPr>
            </w:pPr>
            <w:r w:rsidRPr="00F813F6">
              <w:rPr>
                <w:lang w:eastAsia="fr-FR"/>
              </w:rPr>
              <w:t>–34.5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–23.5</w:t>
            </w:r>
          </w:p>
        </w:tc>
        <w:tc>
          <w:tcPr>
            <w:tcW w:w="835" w:type="dxa"/>
          </w:tcPr>
          <w:p w:rsidR="00073646" w:rsidRPr="00F813F6" w:rsidRDefault="00073646" w:rsidP="00560FC1">
            <w:pPr>
              <w:pStyle w:val="Tabletext"/>
              <w:jc w:val="center"/>
              <w:rPr>
                <w:lang w:eastAsia="fr-FR"/>
              </w:rPr>
            </w:pPr>
            <w:r w:rsidRPr="00F813F6">
              <w:rPr>
                <w:lang w:eastAsia="fr-FR"/>
              </w:rPr>
              <w:t>–53.5</w:t>
            </w:r>
          </w:p>
        </w:tc>
        <w:tc>
          <w:tcPr>
            <w:tcW w:w="835" w:type="dxa"/>
          </w:tcPr>
          <w:p w:rsidR="00073646" w:rsidRPr="00F813F6" w:rsidRDefault="00073646" w:rsidP="00560FC1">
            <w:pPr>
              <w:pStyle w:val="Tabletext"/>
              <w:jc w:val="center"/>
              <w:rPr>
                <w:lang w:eastAsia="fr-FR"/>
              </w:rPr>
            </w:pPr>
            <w:r w:rsidRPr="00F813F6">
              <w:rPr>
                <w:lang w:eastAsia="fr-FR"/>
              </w:rPr>
              <w:t>1 417.9</w:t>
            </w:r>
          </w:p>
        </w:tc>
        <w:tc>
          <w:tcPr>
            <w:tcW w:w="835" w:type="dxa"/>
          </w:tcPr>
          <w:p w:rsidR="00073646" w:rsidRPr="00F813F6" w:rsidRDefault="00073646" w:rsidP="00560FC1">
            <w:pPr>
              <w:pStyle w:val="Tabletext"/>
              <w:jc w:val="center"/>
              <w:rPr>
                <w:lang w:eastAsia="fr-FR"/>
              </w:rPr>
            </w:pPr>
            <w:r w:rsidRPr="00F813F6">
              <w:rPr>
                <w:lang w:eastAsia="fr-FR"/>
              </w:rPr>
              <w:t>1 412.9</w:t>
            </w:r>
          </w:p>
        </w:tc>
        <w:tc>
          <w:tcPr>
            <w:tcW w:w="1253" w:type="dxa"/>
          </w:tcPr>
          <w:p w:rsidR="00073646" w:rsidRPr="00F813F6" w:rsidRDefault="00073646" w:rsidP="00560FC1">
            <w:pPr>
              <w:pStyle w:val="Tabletext"/>
              <w:jc w:val="center"/>
              <w:rPr>
                <w:lang w:eastAsia="fr-FR"/>
              </w:rPr>
            </w:pPr>
            <w:r w:rsidRPr="00F813F6">
              <w:rPr>
                <w:lang w:eastAsia="fr-FR"/>
              </w:rPr>
              <w:t>5</w:t>
            </w:r>
          </w:p>
        </w:tc>
        <w:tc>
          <w:tcPr>
            <w:tcW w:w="2268" w:type="dxa"/>
          </w:tcPr>
          <w:p w:rsidR="00073646" w:rsidRPr="00F813F6" w:rsidRDefault="00073646" w:rsidP="00560FC1">
            <w:pPr>
              <w:pStyle w:val="Tabletext"/>
              <w:jc w:val="center"/>
              <w:rPr>
                <w:lang w:eastAsia="fr-FR"/>
              </w:rPr>
            </w:pPr>
            <w:r w:rsidRPr="00F813F6">
              <w:rPr>
                <w:lang w:eastAsia="fr-FR"/>
              </w:rPr>
              <w:t>–46.5</w:t>
            </w:r>
          </w:p>
        </w:tc>
      </w:tr>
      <w:tr w:rsidR="00073646" w:rsidRPr="00F813F6" w:rsidTr="00560FC1">
        <w:trPr>
          <w:trHeight w:val="194"/>
        </w:trPr>
        <w:tc>
          <w:tcPr>
            <w:tcW w:w="1517" w:type="dxa"/>
          </w:tcPr>
          <w:p w:rsidR="00073646" w:rsidRPr="00F813F6" w:rsidRDefault="00073646" w:rsidP="00560FC1">
            <w:pPr>
              <w:pStyle w:val="Tabletext"/>
              <w:jc w:val="center"/>
              <w:rPr>
                <w:lang w:eastAsia="fr-FR"/>
              </w:rPr>
            </w:pPr>
            <w:r w:rsidRPr="00F813F6">
              <w:rPr>
                <w:lang w:eastAsia="fr-FR"/>
              </w:rPr>
              <w:t>–30</w:t>
            </w:r>
          </w:p>
        </w:tc>
        <w:tc>
          <w:tcPr>
            <w:tcW w:w="835" w:type="dxa"/>
          </w:tcPr>
          <w:p w:rsidR="00073646" w:rsidRPr="00F813F6" w:rsidRDefault="00073646" w:rsidP="00560FC1">
            <w:pPr>
              <w:pStyle w:val="Tabletext"/>
              <w:jc w:val="center"/>
              <w:rPr>
                <w:lang w:eastAsia="fr-FR"/>
              </w:rPr>
            </w:pPr>
            <w:r w:rsidRPr="00F813F6">
              <w:rPr>
                <w:lang w:eastAsia="fr-FR"/>
              </w:rPr>
              <w:t>–60</w:t>
            </w:r>
          </w:p>
        </w:tc>
        <w:tc>
          <w:tcPr>
            <w:tcW w:w="835" w:type="dxa"/>
          </w:tcPr>
          <w:p w:rsidR="00073646" w:rsidRPr="00F813F6" w:rsidRDefault="00073646" w:rsidP="00560FC1">
            <w:pPr>
              <w:pStyle w:val="Tabletext"/>
              <w:jc w:val="center"/>
              <w:rPr>
                <w:lang w:eastAsia="fr-FR"/>
              </w:rPr>
            </w:pPr>
            <w:r w:rsidRPr="00F813F6">
              <w:rPr>
                <w:lang w:eastAsia="fr-FR"/>
              </w:rPr>
              <w:t>1 412.9</w:t>
            </w:r>
          </w:p>
        </w:tc>
        <w:tc>
          <w:tcPr>
            <w:tcW w:w="835" w:type="dxa"/>
          </w:tcPr>
          <w:p w:rsidR="00073646" w:rsidRPr="00F813F6" w:rsidRDefault="00073646" w:rsidP="00560FC1">
            <w:pPr>
              <w:pStyle w:val="Tabletext"/>
              <w:jc w:val="center"/>
              <w:rPr>
                <w:lang w:eastAsia="fr-FR"/>
              </w:rPr>
            </w:pPr>
            <w:r w:rsidRPr="00F813F6">
              <w:rPr>
                <w:lang w:eastAsia="fr-FR"/>
              </w:rPr>
              <w:t>1 400</w:t>
            </w:r>
          </w:p>
        </w:tc>
        <w:tc>
          <w:tcPr>
            <w:tcW w:w="1253" w:type="dxa"/>
          </w:tcPr>
          <w:p w:rsidR="00073646" w:rsidRPr="00F813F6" w:rsidRDefault="00073646" w:rsidP="00560FC1">
            <w:pPr>
              <w:pStyle w:val="Tabletext"/>
              <w:jc w:val="center"/>
              <w:rPr>
                <w:lang w:eastAsia="fr-FR"/>
              </w:rPr>
            </w:pPr>
            <w:r w:rsidRPr="00F813F6">
              <w:rPr>
                <w:lang w:eastAsia="fr-FR"/>
              </w:rPr>
              <w:t>12.9</w:t>
            </w:r>
          </w:p>
        </w:tc>
        <w:tc>
          <w:tcPr>
            <w:tcW w:w="2268" w:type="dxa"/>
          </w:tcPr>
          <w:p w:rsidR="00073646" w:rsidRPr="00F813F6" w:rsidRDefault="00073646" w:rsidP="00560FC1">
            <w:pPr>
              <w:pStyle w:val="Tabletext"/>
              <w:jc w:val="center"/>
              <w:rPr>
                <w:lang w:eastAsia="fr-FR"/>
              </w:rPr>
            </w:pPr>
            <w:r w:rsidRPr="00F813F6">
              <w:rPr>
                <w:lang w:eastAsia="fr-FR"/>
              </w:rPr>
              <w:t>–48.9</w:t>
            </w:r>
          </w:p>
        </w:tc>
      </w:tr>
      <w:tr w:rsidR="00073646" w:rsidRPr="00F813F6" w:rsidTr="00560FC1">
        <w:trPr>
          <w:trHeight w:val="194"/>
        </w:trPr>
        <w:tc>
          <w:tcPr>
            <w:tcW w:w="2352" w:type="dxa"/>
            <w:gridSpan w:val="2"/>
          </w:tcPr>
          <w:p w:rsidR="00073646" w:rsidRPr="00F813F6" w:rsidRDefault="00073646" w:rsidP="00560FC1">
            <w:pPr>
              <w:pStyle w:val="Tabletext"/>
              <w:jc w:val="center"/>
              <w:rPr>
                <w:b/>
                <w:lang w:eastAsia="fr-FR"/>
              </w:rPr>
            </w:pPr>
            <w:r w:rsidRPr="00F813F6">
              <w:rPr>
                <w:b/>
                <w:lang w:eastAsia="fr-FR"/>
              </w:rPr>
              <w:t>TOTAL</w:t>
            </w:r>
          </w:p>
        </w:tc>
        <w:tc>
          <w:tcPr>
            <w:tcW w:w="835" w:type="dxa"/>
          </w:tcPr>
          <w:p w:rsidR="00073646" w:rsidRPr="00F813F6" w:rsidRDefault="00073646" w:rsidP="00560FC1">
            <w:pPr>
              <w:pStyle w:val="Tabletext"/>
              <w:jc w:val="center"/>
              <w:rPr>
                <w:b/>
                <w:lang w:eastAsia="fr-FR"/>
              </w:rPr>
            </w:pPr>
            <w:r w:rsidRPr="00F813F6">
              <w:rPr>
                <w:b/>
                <w:lang w:eastAsia="fr-FR"/>
              </w:rPr>
              <w:t>1 427</w:t>
            </w:r>
          </w:p>
        </w:tc>
        <w:tc>
          <w:tcPr>
            <w:tcW w:w="835" w:type="dxa"/>
          </w:tcPr>
          <w:p w:rsidR="00073646" w:rsidRPr="00F813F6" w:rsidRDefault="00073646" w:rsidP="00560FC1">
            <w:pPr>
              <w:pStyle w:val="Tabletext"/>
              <w:jc w:val="center"/>
              <w:rPr>
                <w:b/>
                <w:lang w:eastAsia="fr-FR"/>
              </w:rPr>
            </w:pPr>
            <w:r w:rsidRPr="00F813F6">
              <w:rPr>
                <w:b/>
                <w:lang w:eastAsia="fr-FR"/>
              </w:rPr>
              <w:t>1 400</w:t>
            </w:r>
          </w:p>
        </w:tc>
        <w:tc>
          <w:tcPr>
            <w:tcW w:w="1253" w:type="dxa"/>
          </w:tcPr>
          <w:p w:rsidR="00073646" w:rsidRPr="00F813F6" w:rsidRDefault="00073646" w:rsidP="00560FC1">
            <w:pPr>
              <w:pStyle w:val="Tabletext"/>
              <w:jc w:val="center"/>
              <w:rPr>
                <w:b/>
                <w:lang w:eastAsia="fr-FR"/>
              </w:rPr>
            </w:pPr>
            <w:r w:rsidRPr="00F813F6">
              <w:rPr>
                <w:b/>
                <w:lang w:eastAsia="fr-FR"/>
              </w:rPr>
              <w:t>27</w:t>
            </w:r>
          </w:p>
        </w:tc>
        <w:tc>
          <w:tcPr>
            <w:tcW w:w="2268" w:type="dxa"/>
          </w:tcPr>
          <w:p w:rsidR="00073646" w:rsidRPr="00F813F6" w:rsidRDefault="00073646" w:rsidP="00560FC1">
            <w:pPr>
              <w:pStyle w:val="Tabletext"/>
              <w:jc w:val="center"/>
              <w:rPr>
                <w:b/>
                <w:lang w:eastAsia="fr-FR"/>
              </w:rPr>
            </w:pPr>
            <w:r w:rsidRPr="00F813F6">
              <w:rPr>
                <w:b/>
                <w:lang w:eastAsia="fr-FR"/>
              </w:rPr>
              <w:t>–29.6</w:t>
            </w:r>
          </w:p>
        </w:tc>
      </w:tr>
    </w:tbl>
    <w:p w:rsidR="00073646" w:rsidRPr="00073646" w:rsidRDefault="00073646" w:rsidP="00073646">
      <w:pPr>
        <w:rPr>
          <w:bCs/>
          <w:lang w:val="en-US"/>
        </w:rPr>
      </w:pPr>
      <w:r w:rsidRPr="00073646">
        <w:rPr>
          <w:lang w:val="en-US"/>
        </w:rPr>
        <w:t>These calculation show that unwanted emissions masks as currently specified in international technical standards depict a situation exceeding the currently recommended levels in Resolution </w:t>
      </w:r>
      <w:r w:rsidRPr="00073646">
        <w:rPr>
          <w:b/>
          <w:bCs/>
          <w:lang w:val="en-US"/>
        </w:rPr>
        <w:t>750</w:t>
      </w:r>
      <w:r w:rsidRPr="00073646">
        <w:rPr>
          <w:lang w:val="en-US"/>
        </w:rPr>
        <w:t> </w:t>
      </w:r>
      <w:r w:rsidRPr="00073646">
        <w:rPr>
          <w:b/>
          <w:bCs/>
          <w:lang w:val="en-US"/>
        </w:rPr>
        <w:t>(Rev.WRC-12)</w:t>
      </w:r>
      <w:r w:rsidRPr="00073646">
        <w:rPr>
          <w:lang w:val="en-US"/>
        </w:rPr>
        <w:t xml:space="preserve"> (–60 dBW/27 MHz) by </w:t>
      </w:r>
      <w:r w:rsidRPr="00073646">
        <w:rPr>
          <w:bCs/>
          <w:lang w:val="en-US"/>
        </w:rPr>
        <w:t>28.7</w:t>
      </w:r>
      <w:r w:rsidRPr="00073646">
        <w:rPr>
          <w:lang w:val="en-US"/>
        </w:rPr>
        <w:t> </w:t>
      </w:r>
      <w:r w:rsidRPr="00073646">
        <w:rPr>
          <w:bCs/>
          <w:lang w:val="en-US"/>
        </w:rPr>
        <w:t>dB and 30.4</w:t>
      </w:r>
      <w:r w:rsidRPr="00073646">
        <w:rPr>
          <w:lang w:val="en-US"/>
        </w:rPr>
        <w:t> </w:t>
      </w:r>
      <w:r w:rsidRPr="00073646">
        <w:rPr>
          <w:bCs/>
          <w:lang w:val="en-US"/>
        </w:rPr>
        <w:t>dB for LTE systems with bandwidth of 5</w:t>
      </w:r>
      <w:r w:rsidRPr="00073646">
        <w:rPr>
          <w:lang w:val="en-US"/>
        </w:rPr>
        <w:t> </w:t>
      </w:r>
      <w:r w:rsidRPr="00073646">
        <w:rPr>
          <w:bCs/>
          <w:lang w:val="en-US"/>
        </w:rPr>
        <w:t>MHz and 10</w:t>
      </w:r>
      <w:r w:rsidRPr="00073646">
        <w:rPr>
          <w:lang w:val="en-US"/>
        </w:rPr>
        <w:t> </w:t>
      </w:r>
      <w:r w:rsidRPr="00073646">
        <w:rPr>
          <w:bCs/>
          <w:lang w:val="en-US"/>
        </w:rPr>
        <w:t>MHz respectively.</w:t>
      </w:r>
    </w:p>
    <w:p w:rsidR="00073646" w:rsidRPr="00073646" w:rsidRDefault="00073646" w:rsidP="00073646">
      <w:pPr>
        <w:pStyle w:val="Heading1"/>
        <w:rPr>
          <w:lang w:val="en-US"/>
        </w:rPr>
      </w:pPr>
      <w:r w:rsidRPr="00073646">
        <w:rPr>
          <w:lang w:val="en-US"/>
        </w:rPr>
        <w:t>6</w:t>
      </w:r>
      <w:r w:rsidRPr="00073646">
        <w:rPr>
          <w:lang w:val="en-US"/>
        </w:rPr>
        <w:tab/>
        <w:t>Conclusions</w:t>
      </w:r>
    </w:p>
    <w:p w:rsidR="00073646" w:rsidRPr="00073646" w:rsidRDefault="00073646" w:rsidP="00073646">
      <w:pPr>
        <w:rPr>
          <w:lang w:val="en-US"/>
        </w:rPr>
      </w:pPr>
      <w:r w:rsidRPr="00073646">
        <w:rPr>
          <w:lang w:val="en-US"/>
        </w:rPr>
        <w:t>This Report provides studies with both static and dynamic analysis on the compatibility between IMT systems in the frequency bands 1 375-1 400 MHz and 1 427-1 452 MHz and systems of EESS (passive) in the 1 400-1 427 MHz frequency band.</w:t>
      </w:r>
    </w:p>
    <w:p w:rsidR="00073646" w:rsidRPr="00073646" w:rsidRDefault="00073646" w:rsidP="00073646">
      <w:pPr>
        <w:rPr>
          <w:lang w:val="en-US"/>
        </w:rPr>
      </w:pPr>
      <w:r w:rsidRPr="00073646">
        <w:rPr>
          <w:lang w:val="en-US"/>
        </w:rPr>
        <w:t xml:space="preserve">These studies show that, </w:t>
      </w:r>
      <w:r w:rsidRPr="00160F12">
        <w:rPr>
          <w:lang w:val="en-US"/>
        </w:rPr>
        <w:t>for base-stations</w:t>
      </w:r>
      <w:r w:rsidRPr="00073646">
        <w:rPr>
          <w:bCs/>
          <w:lang w:val="en-US"/>
        </w:rPr>
        <w:t>,</w:t>
      </w:r>
      <w:r w:rsidRPr="00073646">
        <w:rPr>
          <w:lang w:val="en-US"/>
        </w:rPr>
        <w:t xml:space="preserve"> the following </w:t>
      </w:r>
      <w:r w:rsidRPr="00073646">
        <w:rPr>
          <w:lang w:val="en-US" w:eastAsia="ja-JP"/>
        </w:rPr>
        <w:t>levels</w:t>
      </w:r>
      <w:r w:rsidRPr="00073646">
        <w:rPr>
          <w:lang w:val="en-US"/>
        </w:rPr>
        <w:t xml:space="preserve"> of unwanted emissions in the 1 400-1 427 MHz frequency band </w:t>
      </w:r>
      <w:r w:rsidRPr="00160F12">
        <w:rPr>
          <w:lang w:val="en-US"/>
        </w:rPr>
        <w:t>are required:</w:t>
      </w:r>
    </w:p>
    <w:p w:rsidR="00073646" w:rsidRPr="00073646" w:rsidRDefault="00073646" w:rsidP="00073646">
      <w:pPr>
        <w:pStyle w:val="enumlev1"/>
        <w:rPr>
          <w:lang w:val="en-US"/>
        </w:rPr>
      </w:pPr>
      <w:r w:rsidRPr="00073646">
        <w:rPr>
          <w:lang w:val="en-US"/>
        </w:rPr>
        <w:t>–</w:t>
      </w:r>
      <w:r w:rsidRPr="00073646">
        <w:rPr>
          <w:lang w:val="en-US"/>
        </w:rPr>
        <w:tab/>
      </w:r>
      <w:r w:rsidRPr="00E40BDC">
        <w:rPr>
          <w:lang w:val="en-US"/>
        </w:rPr>
        <w:t>–80</w:t>
      </w:r>
      <w:r w:rsidRPr="00E40BDC">
        <w:rPr>
          <w:szCs w:val="24"/>
          <w:lang w:val="en-US"/>
        </w:rPr>
        <w:t> </w:t>
      </w:r>
      <w:r w:rsidRPr="00E40BDC">
        <w:rPr>
          <w:lang w:val="en-US"/>
        </w:rPr>
        <w:t>dBW/27</w:t>
      </w:r>
      <w:r w:rsidRPr="00E40BDC">
        <w:rPr>
          <w:szCs w:val="24"/>
          <w:lang w:val="en-US"/>
        </w:rPr>
        <w:t> </w:t>
      </w:r>
      <w:r w:rsidRPr="00E40BDC">
        <w:rPr>
          <w:lang w:val="en-US"/>
        </w:rPr>
        <w:t>MHz</w:t>
      </w:r>
      <w:r w:rsidRPr="00E40BDC">
        <w:rPr>
          <w:bCs/>
          <w:lang w:val="en-US"/>
        </w:rPr>
        <w:t xml:space="preserve"> </w:t>
      </w:r>
      <w:r w:rsidRPr="00073646">
        <w:rPr>
          <w:lang w:val="en-US"/>
        </w:rPr>
        <w:t>in the case where both 1 375-1 400</w:t>
      </w:r>
      <w:r w:rsidRPr="00073646">
        <w:rPr>
          <w:szCs w:val="24"/>
          <w:lang w:val="en-US"/>
        </w:rPr>
        <w:t> </w:t>
      </w:r>
      <w:r w:rsidRPr="00073646">
        <w:rPr>
          <w:lang w:val="en-US"/>
        </w:rPr>
        <w:t>MHz and 1 427-1 452</w:t>
      </w:r>
      <w:r w:rsidRPr="00073646">
        <w:rPr>
          <w:szCs w:val="24"/>
          <w:lang w:val="en-US"/>
        </w:rPr>
        <w:t> </w:t>
      </w:r>
      <w:r w:rsidRPr="00073646">
        <w:rPr>
          <w:lang w:val="en-US"/>
        </w:rPr>
        <w:t>MHz frequency bands are considered to be used simultaneously by IMT mobile applications;</w:t>
      </w:r>
    </w:p>
    <w:p w:rsidR="00073646" w:rsidRPr="00073646" w:rsidRDefault="00073646" w:rsidP="00073646">
      <w:pPr>
        <w:pStyle w:val="enumlev1"/>
        <w:rPr>
          <w:lang w:val="en-US"/>
        </w:rPr>
      </w:pPr>
      <w:r w:rsidRPr="00073646">
        <w:rPr>
          <w:lang w:val="en-US"/>
        </w:rPr>
        <w:lastRenderedPageBreak/>
        <w:t>–</w:t>
      </w:r>
      <w:r w:rsidRPr="00073646">
        <w:rPr>
          <w:lang w:val="en-US"/>
        </w:rPr>
        <w:tab/>
      </w:r>
      <w:r w:rsidRPr="00E40BDC">
        <w:rPr>
          <w:bCs/>
          <w:lang w:val="en-US"/>
        </w:rPr>
        <w:t>–75</w:t>
      </w:r>
      <w:r w:rsidRPr="00E40BDC">
        <w:rPr>
          <w:bCs/>
          <w:szCs w:val="24"/>
          <w:lang w:val="en-US"/>
        </w:rPr>
        <w:t> </w:t>
      </w:r>
      <w:r w:rsidRPr="00E40BDC">
        <w:rPr>
          <w:bCs/>
          <w:lang w:val="en-US"/>
        </w:rPr>
        <w:t>dBW/27</w:t>
      </w:r>
      <w:r w:rsidRPr="00E40BDC">
        <w:rPr>
          <w:bCs/>
          <w:szCs w:val="24"/>
          <w:lang w:val="en-US"/>
        </w:rPr>
        <w:t> </w:t>
      </w:r>
      <w:r w:rsidRPr="00E40BDC">
        <w:rPr>
          <w:bCs/>
          <w:lang w:val="en-US"/>
        </w:rPr>
        <w:t>MHz</w:t>
      </w:r>
      <w:r w:rsidRPr="00073646">
        <w:rPr>
          <w:b/>
          <w:lang w:val="en-US"/>
        </w:rPr>
        <w:t xml:space="preserve"> </w:t>
      </w:r>
      <w:r w:rsidRPr="00073646">
        <w:rPr>
          <w:lang w:val="en-US"/>
        </w:rPr>
        <w:t>in the case where only one of the 1</w:t>
      </w:r>
      <w:r w:rsidRPr="00073646">
        <w:rPr>
          <w:szCs w:val="24"/>
          <w:lang w:val="en-US"/>
        </w:rPr>
        <w:t> </w:t>
      </w:r>
      <w:r w:rsidRPr="00073646">
        <w:rPr>
          <w:lang w:val="en-US"/>
        </w:rPr>
        <w:t>375-1</w:t>
      </w:r>
      <w:r w:rsidRPr="00073646">
        <w:rPr>
          <w:szCs w:val="24"/>
          <w:lang w:val="en-US"/>
        </w:rPr>
        <w:t> </w:t>
      </w:r>
      <w:r w:rsidRPr="00073646">
        <w:rPr>
          <w:lang w:val="en-US"/>
        </w:rPr>
        <w:t>400</w:t>
      </w:r>
      <w:r w:rsidRPr="00073646">
        <w:rPr>
          <w:szCs w:val="24"/>
          <w:lang w:val="en-US"/>
        </w:rPr>
        <w:t> </w:t>
      </w:r>
      <w:r w:rsidRPr="00073646">
        <w:rPr>
          <w:lang w:val="en-US"/>
        </w:rPr>
        <w:t>MHz or 1</w:t>
      </w:r>
      <w:r w:rsidRPr="00073646">
        <w:rPr>
          <w:szCs w:val="24"/>
          <w:lang w:val="en-US"/>
        </w:rPr>
        <w:t> </w:t>
      </w:r>
      <w:r w:rsidRPr="00073646">
        <w:rPr>
          <w:lang w:val="en-US"/>
        </w:rPr>
        <w:t>427</w:t>
      </w:r>
      <w:r w:rsidRPr="00073646">
        <w:rPr>
          <w:lang w:val="en-US"/>
        </w:rPr>
        <w:noBreakHyphen/>
        <w:t>1</w:t>
      </w:r>
      <w:r w:rsidRPr="00073646">
        <w:rPr>
          <w:szCs w:val="24"/>
          <w:lang w:val="en-US"/>
        </w:rPr>
        <w:t> </w:t>
      </w:r>
      <w:r w:rsidRPr="00073646">
        <w:rPr>
          <w:lang w:val="en-US"/>
        </w:rPr>
        <w:t>452</w:t>
      </w:r>
      <w:r w:rsidRPr="00073646">
        <w:rPr>
          <w:szCs w:val="24"/>
          <w:lang w:val="en-US"/>
        </w:rPr>
        <w:t> </w:t>
      </w:r>
      <w:r w:rsidRPr="00073646">
        <w:rPr>
          <w:lang w:val="en-US"/>
        </w:rPr>
        <w:t>MHz frequency bands is to be considered for IMT mobile applications.</w:t>
      </w:r>
    </w:p>
    <w:p w:rsidR="00073646" w:rsidRPr="00073646" w:rsidRDefault="00073646" w:rsidP="00073646">
      <w:pPr>
        <w:rPr>
          <w:lang w:val="en-US"/>
        </w:rPr>
      </w:pPr>
      <w:r w:rsidRPr="00073646">
        <w:rPr>
          <w:lang w:val="en-US"/>
        </w:rPr>
        <w:t xml:space="preserve">As for </w:t>
      </w:r>
      <w:r w:rsidRPr="00160F12">
        <w:rPr>
          <w:lang w:val="en-US"/>
        </w:rPr>
        <w:t>UE</w:t>
      </w:r>
      <w:r w:rsidRPr="00073646">
        <w:rPr>
          <w:lang w:val="en-US"/>
        </w:rPr>
        <w:t>, these studies depict a quite important deficit compared to the currently recommended level of –60</w:t>
      </w:r>
      <w:r w:rsidRPr="00073646">
        <w:rPr>
          <w:rFonts w:cs="Arial"/>
          <w:szCs w:val="22"/>
          <w:lang w:val="en-US"/>
        </w:rPr>
        <w:t> </w:t>
      </w:r>
      <w:r w:rsidRPr="00073646">
        <w:rPr>
          <w:lang w:val="en-US"/>
        </w:rPr>
        <w:t>dBW/27</w:t>
      </w:r>
      <w:r w:rsidRPr="00073646">
        <w:rPr>
          <w:rFonts w:cs="Arial"/>
          <w:szCs w:val="22"/>
          <w:lang w:val="en-US"/>
        </w:rPr>
        <w:t> </w:t>
      </w:r>
      <w:r w:rsidRPr="00073646">
        <w:rPr>
          <w:lang w:val="en-US"/>
        </w:rPr>
        <w:t xml:space="preserve">MHz and show that the following </w:t>
      </w:r>
      <w:r w:rsidRPr="00073646">
        <w:rPr>
          <w:lang w:val="en-US" w:eastAsia="ja-JP"/>
        </w:rPr>
        <w:t>level</w:t>
      </w:r>
      <w:r w:rsidRPr="00073646">
        <w:rPr>
          <w:lang w:val="en-US"/>
        </w:rPr>
        <w:t xml:space="preserve"> of unwanted emissions in the 1 400</w:t>
      </w:r>
      <w:r w:rsidRPr="00073646">
        <w:rPr>
          <w:lang w:val="en-US"/>
        </w:rPr>
        <w:noBreakHyphen/>
        <w:t xml:space="preserve">1 427 MHz frequency band </w:t>
      </w:r>
      <w:r w:rsidRPr="00E40BDC">
        <w:rPr>
          <w:lang w:val="en-US"/>
        </w:rPr>
        <w:t>is required</w:t>
      </w:r>
      <w:r w:rsidRPr="00073646">
        <w:rPr>
          <w:lang w:val="en-US"/>
        </w:rPr>
        <w:t>:</w:t>
      </w:r>
    </w:p>
    <w:p w:rsidR="00073646" w:rsidRPr="00073646" w:rsidRDefault="00073646" w:rsidP="00073646">
      <w:pPr>
        <w:pStyle w:val="enumlev1"/>
        <w:rPr>
          <w:lang w:val="en-US"/>
        </w:rPr>
      </w:pPr>
      <w:r w:rsidRPr="00073646">
        <w:rPr>
          <w:lang w:val="en-US"/>
        </w:rPr>
        <w:t>–</w:t>
      </w:r>
      <w:r w:rsidRPr="00073646">
        <w:rPr>
          <w:lang w:val="en-US"/>
        </w:rPr>
        <w:tab/>
      </w:r>
      <w:r w:rsidRPr="00E40BDC">
        <w:rPr>
          <w:bCs/>
          <w:lang w:val="en-US" w:eastAsia="ja-JP"/>
        </w:rPr>
        <w:t>–65</w:t>
      </w:r>
      <w:r w:rsidRPr="00E40BDC">
        <w:rPr>
          <w:bCs/>
          <w:szCs w:val="24"/>
          <w:lang w:val="en-US"/>
        </w:rPr>
        <w:t> </w:t>
      </w:r>
      <w:r w:rsidRPr="00E40BDC">
        <w:rPr>
          <w:bCs/>
          <w:lang w:val="en-US"/>
        </w:rPr>
        <w:t>dBW/27 MHz</w:t>
      </w:r>
      <w:r w:rsidRPr="00F813F6">
        <w:rPr>
          <w:rStyle w:val="FootnoteReference"/>
        </w:rPr>
        <w:footnoteReference w:id="6"/>
      </w:r>
      <w:r w:rsidRPr="00073646">
        <w:rPr>
          <w:lang w:val="en-US"/>
        </w:rPr>
        <w:t xml:space="preserve"> to be considered for IMT mobile applications.</w:t>
      </w:r>
    </w:p>
    <w:p w:rsidR="00073646" w:rsidRPr="00073646" w:rsidRDefault="00073646" w:rsidP="00073646">
      <w:pPr>
        <w:rPr>
          <w:rStyle w:val="IntenseReference"/>
          <w:szCs w:val="22"/>
          <w:lang w:val="en-US" w:eastAsia="ja-JP"/>
        </w:rPr>
      </w:pPr>
      <w:r w:rsidRPr="00073646">
        <w:rPr>
          <w:lang w:val="en-US"/>
        </w:rPr>
        <w:t>Finally, before concluding on the IMT identification in the frequency bands adjacent to 1 400</w:t>
      </w:r>
      <w:r w:rsidRPr="00073646">
        <w:rPr>
          <w:lang w:val="en-US"/>
        </w:rPr>
        <w:noBreakHyphen/>
        <w:t>1 427 MHz, further work may be needed to evaluate the feasibility to design mobile equipment (base-station or UE) compliant with the values above.</w:t>
      </w:r>
    </w:p>
    <w:p w:rsidR="00073646" w:rsidRPr="00073646" w:rsidRDefault="00073646" w:rsidP="00160F12">
      <w:pPr>
        <w:rPr>
          <w:lang w:val="en-US" w:eastAsia="ja-JP"/>
        </w:rPr>
      </w:pPr>
      <w:r w:rsidRPr="00073646">
        <w:rPr>
          <w:lang w:val="en-US" w:eastAsia="ja-JP"/>
        </w:rPr>
        <w:t>Possible mitigation measures to reduce unwanted emissions of IMT systems falling into the </w:t>
      </w:r>
      <w:r w:rsidRPr="00073646">
        <w:rPr>
          <w:lang w:val="en-US"/>
        </w:rPr>
        <w:t>1 400</w:t>
      </w:r>
      <w:r w:rsidRPr="00073646">
        <w:rPr>
          <w:lang w:val="en-US"/>
        </w:rPr>
        <w:noBreakHyphen/>
        <w:t>1 427 MHz</w:t>
      </w:r>
      <w:r w:rsidRPr="00073646">
        <w:rPr>
          <w:lang w:val="en-US" w:eastAsia="ja-JP"/>
        </w:rPr>
        <w:t xml:space="preserve"> frequency band allocated to the EESS (passive) are investigated and provided in the Annex 1. The adoption of these measures would require careful consideration of their po</w:t>
      </w:r>
      <w:r w:rsidR="00C3317D">
        <w:rPr>
          <w:lang w:val="en-US" w:eastAsia="ja-JP"/>
        </w:rPr>
        <w:t>tential impacts on IMT systems.</w:t>
      </w:r>
    </w:p>
    <w:p w:rsidR="00073646" w:rsidRPr="00073646" w:rsidRDefault="00073646" w:rsidP="00CC4727">
      <w:pPr>
        <w:rPr>
          <w:lang w:val="en-US"/>
        </w:rPr>
      </w:pPr>
      <w:r w:rsidRPr="00073646">
        <w:rPr>
          <w:lang w:val="en-US" w:eastAsia="ja-JP"/>
        </w:rPr>
        <w:t>It is to be noted that this discussion on techniques to reduce unwanted emissions does</w:t>
      </w:r>
      <w:r w:rsidR="00CC4727">
        <w:rPr>
          <w:lang w:val="en-US" w:eastAsia="ja-JP"/>
        </w:rPr>
        <w:t xml:space="preserve"> </w:t>
      </w:r>
      <w:r w:rsidRPr="00073646">
        <w:rPr>
          <w:lang w:val="en-US" w:eastAsia="ja-JP"/>
        </w:rPr>
        <w:t>n</w:t>
      </w:r>
      <w:r w:rsidR="00CC4727">
        <w:rPr>
          <w:lang w:val="en-US" w:eastAsia="ja-JP"/>
        </w:rPr>
        <w:t>o</w:t>
      </w:r>
      <w:r w:rsidRPr="00073646">
        <w:rPr>
          <w:lang w:val="en-US" w:eastAsia="ja-JP"/>
        </w:rPr>
        <w:t>t have an</w:t>
      </w:r>
      <w:r w:rsidR="003D4715">
        <w:rPr>
          <w:lang w:val="en-US" w:eastAsia="ja-JP"/>
        </w:rPr>
        <w:t xml:space="preserve"> </w:t>
      </w:r>
      <w:r w:rsidRPr="00073646">
        <w:rPr>
          <w:lang w:val="en-US" w:eastAsia="ja-JP"/>
        </w:rPr>
        <w:t>impact on the required unwanted emission levels but rather discusses how these levels can be</w:t>
      </w:r>
      <w:r w:rsidR="003D4715">
        <w:rPr>
          <w:lang w:val="en-US" w:eastAsia="ja-JP"/>
        </w:rPr>
        <w:t xml:space="preserve"> </w:t>
      </w:r>
      <w:r w:rsidRPr="00073646">
        <w:rPr>
          <w:lang w:val="en-US" w:eastAsia="ja-JP"/>
        </w:rPr>
        <w:t>achieved.</w:t>
      </w:r>
    </w:p>
    <w:p w:rsidR="00041317" w:rsidRDefault="00041317" w:rsidP="00041317"/>
    <w:p w:rsidR="00041317" w:rsidRDefault="00041317" w:rsidP="00041317"/>
    <w:p w:rsidR="00041317" w:rsidRDefault="00041317" w:rsidP="00041317"/>
    <w:p w:rsidR="00073646" w:rsidRPr="00F813F6" w:rsidRDefault="00073646" w:rsidP="00041317">
      <w:pPr>
        <w:pStyle w:val="Annextitle"/>
        <w:rPr>
          <w:lang w:eastAsia="zh-CN"/>
        </w:rPr>
      </w:pPr>
      <w:r w:rsidRPr="00F813F6">
        <w:t>A</w:t>
      </w:r>
      <w:r w:rsidR="00E40BDC" w:rsidRPr="00F813F6">
        <w:t>nnex</w:t>
      </w:r>
      <w:r w:rsidRPr="00F813F6">
        <w:t xml:space="preserve"> </w:t>
      </w:r>
      <w:r w:rsidRPr="00F813F6">
        <w:rPr>
          <w:lang w:eastAsia="ja-JP"/>
        </w:rPr>
        <w:t>1</w:t>
      </w:r>
      <w:r w:rsidR="00E40BDC">
        <w:rPr>
          <w:lang w:eastAsia="ja-JP"/>
        </w:rPr>
        <w:br/>
      </w:r>
      <w:r w:rsidR="00041317">
        <w:rPr>
          <w:lang w:eastAsia="ja-JP"/>
        </w:rPr>
        <w:br/>
      </w:r>
      <w:r w:rsidRPr="00F813F6">
        <w:rPr>
          <w:lang w:eastAsia="ja-JP"/>
        </w:rPr>
        <w:t xml:space="preserve">Consideration on possible mitigation measures to reduce unwanted emissions </w:t>
      </w:r>
      <w:r w:rsidRPr="00F813F6">
        <w:rPr>
          <w:lang w:eastAsia="ja-JP"/>
        </w:rPr>
        <w:br/>
        <w:t xml:space="preserve">of IMT systems falling into the </w:t>
      </w:r>
      <w:r w:rsidRPr="00F813F6">
        <w:t>1 400</w:t>
      </w:r>
      <w:r w:rsidRPr="00F813F6">
        <w:noBreakHyphen/>
        <w:t>1 427 MHz</w:t>
      </w:r>
      <w:r w:rsidR="007152A9">
        <w:rPr>
          <w:lang w:eastAsia="ja-JP"/>
        </w:rPr>
        <w:t xml:space="preserve"> EESS (passive) band</w:t>
      </w:r>
    </w:p>
    <w:p w:rsidR="00073646" w:rsidRPr="00073646" w:rsidRDefault="00073646" w:rsidP="00073646">
      <w:pPr>
        <w:pStyle w:val="Normalaftertitle"/>
        <w:rPr>
          <w:lang w:val="en-US" w:eastAsia="ja-JP"/>
        </w:rPr>
      </w:pPr>
      <w:r w:rsidRPr="00073646">
        <w:rPr>
          <w:lang w:val="en-US" w:eastAsia="ja-JP"/>
        </w:rPr>
        <w:t>In order to protect the EESS (passive) systems and allow unwanted emissions of IMT systems to comply with required level</w:t>
      </w:r>
      <w:r w:rsidRPr="00073646">
        <w:rPr>
          <w:lang w:val="en-US"/>
        </w:rPr>
        <w:t xml:space="preserve"> specified in the present Report</w:t>
      </w:r>
      <w:r w:rsidRPr="00073646">
        <w:rPr>
          <w:lang w:val="en-US" w:eastAsia="ja-JP"/>
        </w:rPr>
        <w:t>, some mitigation measures might be necessary under some conditions.</w:t>
      </w:r>
    </w:p>
    <w:p w:rsidR="00073646" w:rsidRPr="00073646" w:rsidRDefault="00073646" w:rsidP="00073646">
      <w:pPr>
        <w:rPr>
          <w:lang w:val="en-US" w:eastAsia="ja-JP"/>
        </w:rPr>
      </w:pPr>
      <w:r w:rsidRPr="00073646">
        <w:rPr>
          <w:lang w:val="en-US" w:eastAsia="ja-JP"/>
        </w:rPr>
        <w:t>It is to be noted that the measures identified in this section do not have an impact on the required unwanted emission levels, but simply indicate how these levels could be achieved by the IMT stations (channel arrangements, guard bands. improved filters).</w:t>
      </w:r>
    </w:p>
    <w:p w:rsidR="00073646" w:rsidRPr="00073646" w:rsidRDefault="00073646" w:rsidP="00AC1F5E">
      <w:pPr>
        <w:rPr>
          <w:lang w:val="en-US" w:eastAsia="ja-JP"/>
        </w:rPr>
      </w:pPr>
      <w:r w:rsidRPr="00073646">
        <w:rPr>
          <w:lang w:val="en-US" w:eastAsia="ja-JP"/>
        </w:rPr>
        <w:t>Possible mitigation measures for IMT systems are listed in the table below. When employing these</w:t>
      </w:r>
      <w:r w:rsidR="00AC1F5E">
        <w:rPr>
          <w:lang w:val="en-US" w:eastAsia="ja-JP"/>
        </w:rPr>
        <w:t xml:space="preserve"> </w:t>
      </w:r>
      <w:r w:rsidRPr="00073646">
        <w:rPr>
          <w:lang w:val="en-US" w:eastAsia="ja-JP"/>
        </w:rPr>
        <w:t>mitigation measures, potential impacts on the IMT systems should also be taken into account.</w:t>
      </w:r>
    </w:p>
    <w:p w:rsidR="00073646" w:rsidRPr="00073646" w:rsidRDefault="00073646" w:rsidP="00073646">
      <w:pPr>
        <w:pStyle w:val="TableNo"/>
        <w:rPr>
          <w:lang w:val="en-US"/>
        </w:rPr>
      </w:pPr>
      <w:r w:rsidRPr="00073646">
        <w:rPr>
          <w:lang w:val="en-US"/>
        </w:rPr>
        <w:lastRenderedPageBreak/>
        <w:t>TABLE</w:t>
      </w:r>
    </w:p>
    <w:p w:rsidR="00073646" w:rsidRPr="00073646" w:rsidRDefault="00073646" w:rsidP="00073646">
      <w:pPr>
        <w:pStyle w:val="Tabletitle"/>
        <w:rPr>
          <w:lang w:val="en-US"/>
        </w:rPr>
      </w:pPr>
      <w:r w:rsidRPr="00073646">
        <w:rPr>
          <w:lang w:val="en-US"/>
        </w:rPr>
        <w:t>Possible mitigation measures to be applied to IMT systems</w:t>
      </w:r>
    </w:p>
    <w:tbl>
      <w:tblPr>
        <w:tblStyle w:val="TableGrid"/>
        <w:tblW w:w="0" w:type="auto"/>
        <w:tblLook w:val="04A0" w:firstRow="1" w:lastRow="0" w:firstColumn="1" w:lastColumn="0" w:noHBand="0" w:noVBand="1"/>
      </w:tblPr>
      <w:tblGrid>
        <w:gridCol w:w="4785"/>
        <w:gridCol w:w="4844"/>
      </w:tblGrid>
      <w:tr w:rsidR="00073646" w:rsidRPr="00F813F6" w:rsidTr="00560FC1">
        <w:trPr>
          <w:trHeight w:val="355"/>
          <w:tblHeader/>
        </w:trPr>
        <w:tc>
          <w:tcPr>
            <w:tcW w:w="4901" w:type="dxa"/>
            <w:vAlign w:val="center"/>
          </w:tcPr>
          <w:p w:rsidR="00073646" w:rsidRPr="00F813F6" w:rsidRDefault="00073646" w:rsidP="00560FC1">
            <w:pPr>
              <w:pStyle w:val="Tablehead"/>
            </w:pPr>
            <w:r w:rsidRPr="00F813F6">
              <w:t>Possible mitigation measures</w:t>
            </w:r>
          </w:p>
        </w:tc>
        <w:tc>
          <w:tcPr>
            <w:tcW w:w="4953" w:type="dxa"/>
            <w:vAlign w:val="center"/>
          </w:tcPr>
          <w:p w:rsidR="00073646" w:rsidRPr="00F813F6" w:rsidRDefault="00073646" w:rsidP="00560FC1">
            <w:pPr>
              <w:pStyle w:val="Tablehead"/>
            </w:pPr>
            <w:r w:rsidRPr="00F813F6">
              <w:t>Expected effect and assessment</w:t>
            </w:r>
          </w:p>
        </w:tc>
      </w:tr>
      <w:tr w:rsidR="00073646" w:rsidRPr="00C95E2E" w:rsidTr="00560FC1">
        <w:trPr>
          <w:trHeight w:val="2446"/>
        </w:trPr>
        <w:tc>
          <w:tcPr>
            <w:tcW w:w="4901" w:type="dxa"/>
          </w:tcPr>
          <w:p w:rsidR="00073646" w:rsidRPr="00073646" w:rsidRDefault="00073646" w:rsidP="00560FC1">
            <w:pPr>
              <w:pStyle w:val="Tabletext"/>
              <w:rPr>
                <w:lang w:val="en-US" w:eastAsia="ja-JP"/>
              </w:rPr>
            </w:pPr>
            <w:r w:rsidRPr="00073646">
              <w:rPr>
                <w:lang w:val="en-US" w:eastAsia="ja-JP"/>
              </w:rPr>
              <w:t>Frequency arrangement related matters:</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To adopt a certain guard band between the frequency edge of the EESS (passive) frequency band and the nearest IMT operating frequency.</w:t>
            </w:r>
          </w:p>
          <w:p w:rsidR="00073646" w:rsidRPr="00073646" w:rsidRDefault="00073646" w:rsidP="00560FC1">
            <w:pPr>
              <w:pStyle w:val="Tabletext"/>
              <w:rPr>
                <w:lang w:val="en-US" w:eastAsia="ja-JP"/>
              </w:rPr>
            </w:pPr>
          </w:p>
          <w:p w:rsidR="00073646" w:rsidRPr="00073646" w:rsidRDefault="00AC1F5E" w:rsidP="00AC1F5E">
            <w:pPr>
              <w:pStyle w:val="Tabletext"/>
              <w:ind w:left="284" w:hanging="284"/>
              <w:rPr>
                <w:lang w:val="en-US" w:eastAsia="ja-JP"/>
              </w:rPr>
            </w:pPr>
            <w:r>
              <w:rPr>
                <w:lang w:val="en-US" w:eastAsia="ja-JP"/>
              </w:rPr>
              <w:br/>
            </w:r>
            <w:r>
              <w:rPr>
                <w:lang w:val="en-US" w:eastAsia="ja-JP"/>
              </w:rPr>
              <w:br/>
            </w:r>
            <w:r>
              <w:rPr>
                <w:lang w:val="en-US" w:eastAsia="ja-JP"/>
              </w:rPr>
              <w:br/>
            </w:r>
            <w:r w:rsidR="00073646" w:rsidRPr="00073646">
              <w:rPr>
                <w:lang w:val="en-US" w:eastAsia="ja-JP"/>
              </w:rPr>
              <w:br/>
            </w:r>
            <w:r w:rsidR="00073646" w:rsidRPr="00073646">
              <w:rPr>
                <w:lang w:val="en-US" w:eastAsia="ja-JP"/>
              </w:rPr>
              <w:br/>
            </w:r>
            <w:r>
              <w:rPr>
                <w:lang w:val="en-US" w:eastAsia="ja-JP"/>
              </w:rPr>
              <w:br/>
            </w:r>
            <w:r>
              <w:rPr>
                <w:lang w:val="en-US" w:eastAsia="ja-JP"/>
              </w:rPr>
              <w:br/>
            </w:r>
            <w:r>
              <w:rPr>
                <w:lang w:val="en-US" w:eastAsia="ja-JP"/>
              </w:rPr>
              <w:br/>
            </w:r>
            <w:r>
              <w:rPr>
                <w:lang w:val="en-US" w:eastAsia="ja-JP"/>
              </w:rPr>
              <w:br/>
            </w:r>
            <w:r>
              <w:rPr>
                <w:lang w:val="en-US" w:eastAsia="ja-JP"/>
              </w:rPr>
              <w:br/>
            </w:r>
            <w:r>
              <w:rPr>
                <w:lang w:val="en-US" w:eastAsia="ja-JP"/>
              </w:rPr>
              <w:br/>
            </w:r>
            <w:r>
              <w:rPr>
                <w:lang w:val="en-US" w:eastAsia="ja-JP"/>
              </w:rPr>
              <w:br/>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To assign IMT uplink to the frequency range adjacent or closer to the passive frequency band.</w:t>
            </w:r>
          </w:p>
        </w:tc>
        <w:tc>
          <w:tcPr>
            <w:tcW w:w="4953" w:type="dxa"/>
          </w:tcPr>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This measure further reduces unwanted emission levels from IMT stations falling into the EESS (passive) frequency band. It could become more effective in case additional filtering is applied in IMT base-stations; however, it will reduce the frequency band usage efficiency of IMT systems.</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It reduces efficiency of frequency band usage, since certain frequency bands cannot be used in IMT systems.</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One study indicates that adjacent channel simulations estimate 6 MHz guard band for the UE transmitters without another mitigation technique. It also shows that for the eNodeB, apart from the 6 MHz guard band and further attenuation of 13 dB is necessary in case without another mitigation technique.</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By this assignment, compatible operation of both systems could be more facilitated.</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It limits IMT frequency arrangements employed in the frequency band.</w:t>
            </w:r>
          </w:p>
        </w:tc>
      </w:tr>
      <w:tr w:rsidR="00073646" w:rsidRPr="00C95E2E" w:rsidTr="00560FC1">
        <w:tc>
          <w:tcPr>
            <w:tcW w:w="4901" w:type="dxa"/>
          </w:tcPr>
          <w:p w:rsidR="00073646" w:rsidRPr="00073646" w:rsidRDefault="00073646" w:rsidP="00560FC1">
            <w:pPr>
              <w:pStyle w:val="Tabletext"/>
              <w:rPr>
                <w:lang w:val="en-US" w:eastAsia="ja-JP"/>
              </w:rPr>
            </w:pPr>
            <w:r w:rsidRPr="00073646">
              <w:rPr>
                <w:lang w:val="en-US" w:eastAsia="ja-JP"/>
              </w:rPr>
              <w:t>Equipment related matters:</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To employ additional or improved filter devices to reduce unwanted emission levels.</w:t>
            </w:r>
          </w:p>
          <w:p w:rsidR="00073646" w:rsidRPr="00073646" w:rsidRDefault="000B07DA" w:rsidP="000B07DA">
            <w:pPr>
              <w:pStyle w:val="Tabletext"/>
              <w:tabs>
                <w:tab w:val="clear" w:pos="284"/>
                <w:tab w:val="clear" w:pos="567"/>
                <w:tab w:val="left" w:pos="313"/>
              </w:tabs>
              <w:ind w:left="29" w:hanging="29"/>
              <w:rPr>
                <w:lang w:val="en-US" w:eastAsia="ja-JP"/>
              </w:rPr>
            </w:pPr>
            <w:r>
              <w:rPr>
                <w:lang w:val="en-US" w:eastAsia="ja-JP"/>
              </w:rPr>
              <w:br/>
            </w:r>
            <w:r>
              <w:rPr>
                <w:lang w:val="en-US" w:eastAsia="ja-JP"/>
              </w:rPr>
              <w:br/>
            </w:r>
            <w:r w:rsidR="00073646" w:rsidRPr="00073646">
              <w:rPr>
                <w:lang w:val="en-US" w:eastAsia="ja-JP"/>
              </w:rPr>
              <w:t>–</w:t>
            </w:r>
            <w:r w:rsidR="00073646" w:rsidRPr="00073646">
              <w:rPr>
                <w:lang w:val="en-US" w:eastAsia="ja-JP"/>
              </w:rPr>
              <w:tab/>
              <w:t xml:space="preserve">To use antennas with improved radiation patterns with lower side-lobe levels towards the stations in EESS (passive) systems. </w:t>
            </w:r>
          </w:p>
        </w:tc>
        <w:tc>
          <w:tcPr>
            <w:tcW w:w="4953" w:type="dxa"/>
          </w:tcPr>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This measure further reduces unwanted emission levels from IMT stations. It is more applicable to IMT base stations than IMT UE, for which equipment cost and size restrictions are more stringent.</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It could further reduce unwanted emission</w:t>
            </w:r>
            <w:r w:rsidR="007152A9">
              <w:rPr>
                <w:lang w:val="en-US" w:eastAsia="ja-JP"/>
              </w:rPr>
              <w:t xml:space="preserve"> levels from IMT base-stations.</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It is not likely to reduce the unwanted emission from IMT UE</w:t>
            </w:r>
            <w:r w:rsidR="007152A9">
              <w:rPr>
                <w:lang w:val="en-US" w:eastAsia="ja-JP"/>
              </w:rPr>
              <w:t>.</w:t>
            </w:r>
          </w:p>
          <w:p w:rsidR="00073646" w:rsidRPr="00073646" w:rsidRDefault="00073646" w:rsidP="00560FC1">
            <w:pPr>
              <w:pStyle w:val="Tabletext"/>
              <w:ind w:left="284" w:hanging="284"/>
              <w:rPr>
                <w:lang w:val="en-US" w:eastAsia="ja-JP"/>
              </w:rPr>
            </w:pPr>
            <w:r w:rsidRPr="00073646">
              <w:rPr>
                <w:lang w:val="en-US" w:eastAsia="ja-JP"/>
              </w:rPr>
              <w:t>–</w:t>
            </w:r>
            <w:r w:rsidRPr="00073646">
              <w:rPr>
                <w:lang w:val="en-US" w:eastAsia="ja-JP"/>
              </w:rPr>
              <w:tab/>
              <w:t>Adoption of or replacement to such an antenna may require additional cost in IMT networks.</w:t>
            </w:r>
          </w:p>
        </w:tc>
      </w:tr>
    </w:tbl>
    <w:p w:rsidR="007E3624" w:rsidRDefault="007E3624" w:rsidP="00F17BF0">
      <w:pPr>
        <w:jc w:val="center"/>
      </w:pPr>
    </w:p>
    <w:p w:rsidR="007E3624" w:rsidRDefault="007E3624" w:rsidP="00F17BF0">
      <w:pPr>
        <w:jc w:val="center"/>
      </w:pPr>
    </w:p>
    <w:p w:rsidR="007E3624" w:rsidRDefault="007E3624" w:rsidP="00F17BF0">
      <w:pPr>
        <w:jc w:val="center"/>
      </w:pPr>
    </w:p>
    <w:p w:rsidR="007E3624" w:rsidRDefault="007E3624" w:rsidP="00F17BF0">
      <w:pPr>
        <w:jc w:val="center"/>
      </w:pPr>
    </w:p>
    <w:p w:rsidR="007E3624" w:rsidRDefault="007E3624" w:rsidP="007E3624">
      <w:pPr>
        <w:pStyle w:val="Line"/>
      </w:pPr>
    </w:p>
    <w:sectPr w:rsidR="007E3624"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6B6" w:rsidRDefault="00EB26B6">
      <w:r>
        <w:separator/>
      </w:r>
    </w:p>
  </w:endnote>
  <w:endnote w:type="continuationSeparator" w:id="0">
    <w:p w:rsidR="00EB26B6" w:rsidRDefault="00EB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6B6" w:rsidRDefault="00EB26B6">
      <w:r>
        <w:separator/>
      </w:r>
    </w:p>
  </w:footnote>
  <w:footnote w:type="continuationSeparator" w:id="0">
    <w:p w:rsidR="00EB26B6" w:rsidRDefault="00EB26B6">
      <w:r>
        <w:continuationSeparator/>
      </w:r>
    </w:p>
  </w:footnote>
  <w:footnote w:id="1">
    <w:p w:rsidR="00EB26B6" w:rsidRDefault="00EB26B6" w:rsidP="00025652">
      <w:pPr>
        <w:pStyle w:val="FootnoteText"/>
        <w:rPr>
          <w:lang w:val="en-US"/>
        </w:rPr>
      </w:pPr>
      <w:r>
        <w:rPr>
          <w:rStyle w:val="FootnoteReference"/>
        </w:rPr>
        <w:footnoteRef/>
      </w:r>
      <w:r>
        <w:rPr>
          <w:lang w:val="en-US"/>
        </w:rPr>
        <w:tab/>
        <w:t>This Report was approved jointly by Radiocommunication Study Groups 5 and 7, and any future revision should also be undertaken jointly</w:t>
      </w:r>
      <w:r>
        <w:rPr>
          <w:lang w:val="en-US" w:eastAsia="ja-JP"/>
        </w:rPr>
        <w:t>.</w:t>
      </w:r>
    </w:p>
  </w:footnote>
  <w:footnote w:id="2">
    <w:p w:rsidR="00EB26B6" w:rsidRPr="00445A8E" w:rsidRDefault="00EB26B6" w:rsidP="00073646">
      <w:pPr>
        <w:pStyle w:val="FootnoteText"/>
        <w:rPr>
          <w:lang w:val="en-US"/>
        </w:rPr>
      </w:pPr>
      <w:r w:rsidRPr="00107652">
        <w:rPr>
          <w:rStyle w:val="FootnoteReference"/>
          <w:sz w:val="16"/>
        </w:rPr>
        <w:footnoteRef/>
      </w:r>
      <w:r w:rsidRPr="00073646">
        <w:rPr>
          <w:lang w:val="en-US"/>
        </w:rPr>
        <w:tab/>
      </w:r>
      <w:r w:rsidRPr="00CA5A3F">
        <w:rPr>
          <w:lang w:val="en-US"/>
        </w:rPr>
        <w:t xml:space="preserve">Equivalent visibility </w:t>
      </w:r>
      <w:r w:rsidRPr="00073646">
        <w:rPr>
          <w:lang w:val="en-US"/>
        </w:rPr>
        <w:t>outdoor</w:t>
      </w:r>
      <w:r w:rsidRPr="00CA5A3F">
        <w:rPr>
          <w:lang w:val="en-US"/>
        </w:rPr>
        <w:t xml:space="preserve"> terminal = total n</w:t>
      </w:r>
      <w:r>
        <w:rPr>
          <w:lang w:val="en-US"/>
        </w:rPr>
        <w:t>umber</w:t>
      </w:r>
      <w:r w:rsidRPr="00CA5A3F">
        <w:rPr>
          <w:lang w:val="en-US"/>
        </w:rPr>
        <w:t xml:space="preserve"> of terminals in main beam x</w:t>
      </w:r>
      <w:r w:rsidRPr="00CA5A3F">
        <w:rPr>
          <w:lang w:val="en-US"/>
        </w:rPr>
        <w:br/>
        <w:t>(P1+P2*10^(</w:t>
      </w:r>
      <w:r>
        <w:rPr>
          <w:lang w:val="en-US"/>
        </w:rPr>
        <w:t>–</w:t>
      </w:r>
      <w:r w:rsidRPr="00CA5A3F">
        <w:rPr>
          <w:lang w:val="en-US"/>
        </w:rPr>
        <w:t>A2/10)+P3*10^(</w:t>
      </w:r>
      <w:r>
        <w:rPr>
          <w:lang w:val="en-US"/>
        </w:rPr>
        <w:t>–</w:t>
      </w:r>
      <w:r w:rsidRPr="00CA5A3F">
        <w:rPr>
          <w:lang w:val="en-US"/>
        </w:rPr>
        <w:t>A3/10)).</w:t>
      </w:r>
    </w:p>
  </w:footnote>
  <w:footnote w:id="3">
    <w:p w:rsidR="00EB26B6" w:rsidRPr="00C95E2E" w:rsidRDefault="00EB26B6" w:rsidP="00B459C1">
      <w:pPr>
        <w:pStyle w:val="FootnoteText"/>
        <w:rPr>
          <w:lang w:val="en-US"/>
        </w:rPr>
      </w:pPr>
      <w:r w:rsidRPr="00B459C1">
        <w:rPr>
          <w:rStyle w:val="FootnoteReference"/>
          <w:position w:val="0"/>
          <w:sz w:val="22"/>
        </w:rPr>
        <w:footnoteRef/>
      </w:r>
      <w:r w:rsidRPr="00C95E2E">
        <w:rPr>
          <w:lang w:val="en-US"/>
        </w:rPr>
        <w:tab/>
        <w:t>For the purposes of this section, LTE equipment were used to represent IMT systems.</w:t>
      </w:r>
    </w:p>
  </w:footnote>
  <w:footnote w:id="4">
    <w:p w:rsidR="00EB26B6" w:rsidRPr="00C95E2E" w:rsidRDefault="00EB26B6" w:rsidP="00B459C1">
      <w:pPr>
        <w:pStyle w:val="FootnoteText"/>
        <w:rPr>
          <w:lang w:val="en-US"/>
        </w:rPr>
      </w:pPr>
      <w:r w:rsidRPr="00B459C1">
        <w:rPr>
          <w:rStyle w:val="FootnoteReference"/>
          <w:position w:val="0"/>
          <w:sz w:val="22"/>
        </w:rPr>
        <w:footnoteRef/>
      </w:r>
      <w:r w:rsidRPr="00C95E2E">
        <w:rPr>
          <w:lang w:val="en-US"/>
        </w:rPr>
        <w:tab/>
      </w:r>
      <w:r w:rsidRPr="00C95E2E">
        <w:rPr>
          <w:rFonts w:hint="eastAsia"/>
          <w:lang w:val="en-US"/>
        </w:rPr>
        <w:t>According to the specifications in the 3GPP TS 25.101, the unwanted emission level of</w:t>
      </w:r>
      <w:r w:rsidR="00F44E63">
        <w:rPr>
          <w:lang w:val="en-US"/>
        </w:rPr>
        <w:t xml:space="preserve"> </w:t>
      </w:r>
      <w:r w:rsidRPr="00C95E2E">
        <w:rPr>
          <w:lang w:val="en-US"/>
        </w:rPr>
        <w:t>–</w:t>
      </w:r>
      <w:r w:rsidRPr="00C95E2E">
        <w:rPr>
          <w:rFonts w:hint="eastAsia"/>
          <w:lang w:val="en-US"/>
        </w:rPr>
        <w:t>30.2</w:t>
      </w:r>
      <w:r w:rsidRPr="00C95E2E">
        <w:rPr>
          <w:lang w:val="en-US"/>
        </w:rPr>
        <w:t> </w:t>
      </w:r>
      <w:r w:rsidRPr="00C95E2E">
        <w:rPr>
          <w:rFonts w:hint="eastAsia"/>
          <w:lang w:val="en-US"/>
        </w:rPr>
        <w:t>dBW/27</w:t>
      </w:r>
      <w:r w:rsidRPr="00C95E2E">
        <w:rPr>
          <w:lang w:val="en-US"/>
        </w:rPr>
        <w:t> </w:t>
      </w:r>
      <w:r w:rsidRPr="00C95E2E">
        <w:rPr>
          <w:rFonts w:hint="eastAsia"/>
          <w:lang w:val="en-US"/>
        </w:rPr>
        <w:t xml:space="preserve">MHz is calculated, which is about 19 dB higher than the </w:t>
      </w:r>
      <w:r w:rsidRPr="00C95E2E">
        <w:rPr>
          <w:lang w:val="en-US"/>
        </w:rPr>
        <w:t>measured</w:t>
      </w:r>
      <w:r w:rsidRPr="00C95E2E">
        <w:rPr>
          <w:rFonts w:hint="eastAsia"/>
          <w:lang w:val="en-US"/>
        </w:rPr>
        <w:t xml:space="preserve"> value here.</w:t>
      </w:r>
    </w:p>
  </w:footnote>
  <w:footnote w:id="5">
    <w:p w:rsidR="00EB26B6" w:rsidRPr="00C95E2E" w:rsidRDefault="00EB26B6" w:rsidP="00B459C1">
      <w:pPr>
        <w:pStyle w:val="FootnoteText"/>
        <w:rPr>
          <w:lang w:val="en-US"/>
        </w:rPr>
      </w:pPr>
      <w:r w:rsidRPr="00B459C1">
        <w:rPr>
          <w:rStyle w:val="FootnoteReference"/>
          <w:position w:val="0"/>
          <w:sz w:val="22"/>
        </w:rPr>
        <w:footnoteRef/>
      </w:r>
      <w:r w:rsidRPr="00C95E2E">
        <w:rPr>
          <w:lang w:val="en-US"/>
        </w:rPr>
        <w:tab/>
      </w:r>
      <w:r w:rsidRPr="00C95E2E">
        <w:rPr>
          <w:rFonts w:hint="eastAsia"/>
          <w:lang w:val="en-US"/>
        </w:rPr>
        <w:t>According to the specifications in the 3GPP TS 25.101, the unwanted emission level</w:t>
      </w:r>
      <w:r w:rsidRPr="00C95E2E">
        <w:rPr>
          <w:lang w:val="en-US"/>
        </w:rPr>
        <w:t xml:space="preserve"> </w:t>
      </w:r>
      <w:r w:rsidRPr="00C95E2E">
        <w:rPr>
          <w:rFonts w:hint="eastAsia"/>
          <w:lang w:val="en-US"/>
        </w:rPr>
        <w:t>of</w:t>
      </w:r>
      <w:r w:rsidR="00F44E63">
        <w:rPr>
          <w:lang w:val="en-US"/>
        </w:rPr>
        <w:t xml:space="preserve"> </w:t>
      </w:r>
      <w:bookmarkStart w:id="3" w:name="_GoBack"/>
      <w:bookmarkEnd w:id="3"/>
      <w:r w:rsidRPr="00C95E2E">
        <w:rPr>
          <w:lang w:val="en-US"/>
        </w:rPr>
        <w:t>–</w:t>
      </w:r>
      <w:r w:rsidRPr="00C95E2E">
        <w:rPr>
          <w:rFonts w:hint="eastAsia"/>
          <w:lang w:val="en-US"/>
        </w:rPr>
        <w:t>32.8</w:t>
      </w:r>
      <w:r w:rsidRPr="00C95E2E">
        <w:rPr>
          <w:lang w:val="en-US"/>
        </w:rPr>
        <w:t> </w:t>
      </w:r>
      <w:r w:rsidRPr="00C95E2E">
        <w:rPr>
          <w:rFonts w:hint="eastAsia"/>
          <w:lang w:val="en-US"/>
        </w:rPr>
        <w:t>dBW/27</w:t>
      </w:r>
      <w:r w:rsidRPr="00C95E2E">
        <w:rPr>
          <w:lang w:val="en-US"/>
        </w:rPr>
        <w:t> </w:t>
      </w:r>
      <w:r w:rsidRPr="00C95E2E">
        <w:rPr>
          <w:rFonts w:hint="eastAsia"/>
          <w:lang w:val="en-US"/>
        </w:rPr>
        <w:t xml:space="preserve">MHz is calculated, which is about 20 dB higher than </w:t>
      </w:r>
      <w:r w:rsidRPr="00C95E2E">
        <w:rPr>
          <w:lang w:val="en-US"/>
        </w:rPr>
        <w:t>measured</w:t>
      </w:r>
      <w:r w:rsidRPr="00C95E2E">
        <w:rPr>
          <w:rFonts w:hint="eastAsia"/>
          <w:lang w:val="en-US"/>
        </w:rPr>
        <w:t xml:space="preserve"> value here.</w:t>
      </w:r>
    </w:p>
  </w:footnote>
  <w:footnote w:id="6">
    <w:p w:rsidR="00EB26B6" w:rsidRPr="00073646" w:rsidRDefault="00EB26B6" w:rsidP="007152A9">
      <w:pPr>
        <w:pStyle w:val="FootnoteText"/>
        <w:rPr>
          <w:lang w:val="en-US" w:eastAsia="ja-JP"/>
        </w:rPr>
      </w:pPr>
      <w:r w:rsidRPr="00312955">
        <w:rPr>
          <w:rStyle w:val="FootnoteReference"/>
        </w:rPr>
        <w:footnoteRef/>
      </w:r>
      <w:r w:rsidRPr="00073646">
        <w:rPr>
          <w:lang w:val="en-US"/>
        </w:rPr>
        <w:tab/>
      </w:r>
      <w:r w:rsidRPr="00073646">
        <w:rPr>
          <w:rFonts w:hint="eastAsia"/>
          <w:szCs w:val="24"/>
          <w:lang w:val="en-US" w:eastAsia="ja-JP"/>
        </w:rPr>
        <w:t xml:space="preserve">This value is derived under the assumption </w:t>
      </w:r>
      <w:r w:rsidRPr="00073646">
        <w:rPr>
          <w:szCs w:val="24"/>
          <w:lang w:val="en-US" w:eastAsia="ja-JP"/>
        </w:rPr>
        <w:t xml:space="preserve">of </w:t>
      </w:r>
      <w:r w:rsidRPr="00073646">
        <w:rPr>
          <w:rFonts w:hint="eastAsia"/>
          <w:szCs w:val="24"/>
          <w:lang w:val="en-US" w:eastAsia="ja-JP"/>
        </w:rPr>
        <w:t xml:space="preserve">one </w:t>
      </w:r>
      <w:r w:rsidRPr="00073646">
        <w:rPr>
          <w:szCs w:val="24"/>
          <w:lang w:val="en-US" w:eastAsia="ja-JP"/>
        </w:rPr>
        <w:t>terminal</w:t>
      </w:r>
      <w:r w:rsidRPr="00073646">
        <w:rPr>
          <w:rFonts w:hint="eastAsia"/>
          <w:szCs w:val="24"/>
          <w:lang w:val="en-US" w:eastAsia="ja-JP"/>
        </w:rPr>
        <w:t xml:space="preserve"> </w:t>
      </w:r>
      <w:r w:rsidRPr="00073646">
        <w:rPr>
          <w:szCs w:val="24"/>
          <w:lang w:val="en-US" w:eastAsia="ja-JP"/>
        </w:rPr>
        <w:t>transmitting</w:t>
      </w:r>
      <w:r w:rsidRPr="00073646">
        <w:rPr>
          <w:rFonts w:hint="eastAsia"/>
          <w:szCs w:val="24"/>
          <w:lang w:val="en-US" w:eastAsia="ja-JP"/>
        </w:rPr>
        <w:t xml:space="preserve"> at </w:t>
      </w:r>
      <w:r w:rsidRPr="00073646">
        <w:rPr>
          <w:szCs w:val="24"/>
          <w:lang w:val="en-US" w:eastAsia="ja-JP"/>
        </w:rPr>
        <w:t xml:space="preserve">an average </w:t>
      </w:r>
      <w:r w:rsidRPr="00073646">
        <w:rPr>
          <w:rFonts w:hint="eastAsia"/>
          <w:szCs w:val="24"/>
          <w:lang w:val="en-US" w:eastAsia="ja-JP"/>
        </w:rPr>
        <w:t xml:space="preserve">output </w:t>
      </w:r>
      <w:r w:rsidRPr="00073646">
        <w:rPr>
          <w:rFonts w:cs="Arial"/>
          <w:szCs w:val="24"/>
          <w:lang w:val="en-US" w:eastAsia="ja-JP"/>
        </w:rPr>
        <w:t>power of 15</w:t>
      </w:r>
      <w:r>
        <w:rPr>
          <w:rFonts w:cs="Arial"/>
          <w:szCs w:val="24"/>
          <w:lang w:val="en-US" w:eastAsia="ja-JP"/>
        </w:rPr>
        <w:t> </w:t>
      </w:r>
      <w:r w:rsidRPr="00073646">
        <w:rPr>
          <w:rFonts w:cs="Arial"/>
          <w:szCs w:val="24"/>
          <w:lang w:val="en-US" w:eastAsia="ja-JP"/>
        </w:rPr>
        <w:t>dBm (over all RB) per</w:t>
      </w:r>
      <w:r w:rsidRPr="00073646">
        <w:rPr>
          <w:rFonts w:cs="Arial" w:hint="eastAsia"/>
          <w:szCs w:val="24"/>
          <w:lang w:val="en-US" w:eastAsia="ja-JP"/>
        </w:rPr>
        <w:t xml:space="preserve"> sector, as shown in </w:t>
      </w:r>
      <w:r>
        <w:rPr>
          <w:szCs w:val="24"/>
          <w:lang w:val="en-US" w:eastAsia="ja-JP"/>
        </w:rPr>
        <w:t xml:space="preserve">§ </w:t>
      </w:r>
      <w:r w:rsidRPr="00073646">
        <w:rPr>
          <w:rFonts w:cs="Arial" w:hint="eastAsia"/>
          <w:szCs w:val="24"/>
          <w:lang w:val="en-US" w:eastAsia="ja-JP"/>
        </w:rPr>
        <w:t>3.1.1.</w:t>
      </w:r>
      <w:r w:rsidRPr="00073646">
        <w:rPr>
          <w:rFonts w:cs="Arial"/>
          <w:szCs w:val="24"/>
          <w:lang w:val="en-US" w:eastAsia="ja-JP"/>
        </w:rPr>
        <w:t xml:space="preserve"> It would therefore have to</w:t>
      </w:r>
      <w:r>
        <w:rPr>
          <w:rFonts w:cs="Arial"/>
          <w:szCs w:val="24"/>
          <w:lang w:val="en-US" w:eastAsia="ja-JP"/>
        </w:rPr>
        <w:t xml:space="preserve"> </w:t>
      </w:r>
      <w:r w:rsidRPr="00073646">
        <w:rPr>
          <w:rFonts w:cs="Arial"/>
          <w:szCs w:val="24"/>
          <w:lang w:val="en-US" w:eastAsia="ja-JP"/>
        </w:rPr>
        <w:t>be verified consistently according to these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B6" w:rsidRPr="00926183" w:rsidRDefault="00EB26B6"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D619A7">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D619A7" w:rsidRPr="00D619A7">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D619A7">
      <w:rPr>
        <w:b/>
        <w:bCs/>
        <w:noProof/>
      </w:rPr>
      <w:t>ITU-R  RS.2336-0</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B6" w:rsidRDefault="00EB26B6" w:rsidP="00B033C8">
    <w:pPr>
      <w:pStyle w:val="Header"/>
      <w:ind w:right="360" w:firstLine="360"/>
    </w:pPr>
    <w:r>
      <w:rPr>
        <w:noProof/>
        <w:lang w:val="en-US" w:eastAsia="zh-CN"/>
      </w:rPr>
      <w:drawing>
        <wp:anchor distT="0" distB="0" distL="114300" distR="114300" simplePos="0" relativeHeight="251658752" behindDoc="0" locked="0" layoutInCell="1" allowOverlap="1" wp14:anchorId="7E7AFA9E" wp14:editId="4EED8B9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6ABF5061" wp14:editId="487B7EC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B6" w:rsidRDefault="00EB26B6" w:rsidP="00573FC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19A7">
      <w:rPr>
        <w:rStyle w:val="PageNumber"/>
        <w:b/>
        <w:bCs/>
        <w:noProof/>
        <w:lang w:val="en-US"/>
      </w:rPr>
      <w:t>12</w:t>
    </w:r>
    <w:r>
      <w:rPr>
        <w:rStyle w:val="PageNumber"/>
        <w:b/>
        <w:bCs/>
      </w:rPr>
      <w:fldChar w:fldCharType="end"/>
    </w:r>
    <w:r>
      <w:rPr>
        <w:lang w:val="en-US"/>
      </w:rPr>
      <w:tab/>
    </w:r>
    <w:r w:rsidRPr="007A4F79">
      <w:rPr>
        <w:b/>
        <w:bCs/>
      </w:rPr>
      <w:t xml:space="preserve">Rep.  ITU-R  </w:t>
    </w:r>
    <w:r>
      <w:rPr>
        <w:b/>
        <w:bCs/>
        <w:noProof/>
      </w:rPr>
      <w:t>RS.2336-0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B6" w:rsidRPr="00186C0C" w:rsidRDefault="00EB26B6" w:rsidP="0080190C">
    <w:pPr>
      <w:pStyle w:val="Header"/>
      <w:jc w:val="both"/>
    </w:pPr>
    <w:r w:rsidRPr="00186C0C">
      <w:rPr>
        <w:lang w:val="en-US"/>
      </w:rPr>
      <w:tab/>
    </w:r>
    <w:fldSimple w:instr=" DOCPROPERTY &quot;Header 2&quot; \* MERGEFORMAT ">
      <w:r w:rsidR="00D619A7" w:rsidRPr="00D619A7">
        <w:rPr>
          <w:b/>
          <w:bCs/>
          <w:lang w:val="en-US"/>
        </w:rPr>
        <w:t xml:space="preserve">Rep. </w:t>
      </w:r>
    </w:fldSimple>
    <w:r w:rsidRPr="00186C0C">
      <w:rPr>
        <w:b/>
        <w:bCs/>
      </w:rPr>
      <w:t xml:space="preserve"> </w:t>
    </w:r>
    <w:r w:rsidRPr="00186C0C">
      <w:rPr>
        <w:b/>
        <w:bCs/>
      </w:rPr>
      <w:fldChar w:fldCharType="begin"/>
    </w:r>
    <w:r w:rsidRPr="00186C0C">
      <w:rPr>
        <w:b/>
        <w:bCs/>
        <w:lang w:val="en-US"/>
      </w:rPr>
      <w:instrText>styleref href</w:instrText>
    </w:r>
    <w:r w:rsidRPr="00186C0C">
      <w:rPr>
        <w:b/>
        <w:bCs/>
      </w:rPr>
      <w:fldChar w:fldCharType="separate"/>
    </w:r>
    <w:r w:rsidR="00D619A7">
      <w:rPr>
        <w:b/>
        <w:bCs/>
        <w:noProof/>
      </w:rPr>
      <w:t>ITU-R  RS.2336-0</w:t>
    </w:r>
    <w:r w:rsidRPr="00186C0C">
      <w:fldChar w:fldCharType="end"/>
    </w:r>
    <w:r w:rsidRPr="00186C0C">
      <w:tab/>
    </w:r>
    <w:r w:rsidRPr="00186C0C">
      <w:rPr>
        <w:b/>
        <w:bCs/>
      </w:rPr>
      <w:fldChar w:fldCharType="begin"/>
    </w:r>
    <w:r w:rsidRPr="00186C0C">
      <w:rPr>
        <w:b/>
        <w:bCs/>
        <w:lang w:val="en-US"/>
      </w:rPr>
      <w:instrText xml:space="preserve"> PAGE </w:instrText>
    </w:r>
    <w:r w:rsidRPr="00186C0C">
      <w:rPr>
        <w:b/>
        <w:bCs/>
      </w:rPr>
      <w:fldChar w:fldCharType="separate"/>
    </w:r>
    <w:r w:rsidR="00D619A7">
      <w:rPr>
        <w:b/>
        <w:bCs/>
        <w:noProof/>
        <w:lang w:val="en-US"/>
      </w:rPr>
      <w:t>11</w:t>
    </w:r>
    <w:r w:rsidRPr="00186C0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80D08E5"/>
    <w:multiLevelType w:val="multilevel"/>
    <w:tmpl w:val="7BAE55DE"/>
    <w:styleLink w:val="Style1"/>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13011FD"/>
    <w:multiLevelType w:val="hybridMultilevel"/>
    <w:tmpl w:val="6584DDA4"/>
    <w:lvl w:ilvl="0" w:tplc="23C80036">
      <w:numFmt w:val="bullet"/>
      <w:lvlText w:val="-"/>
      <w:lvlJc w:val="left"/>
      <w:pPr>
        <w:ind w:left="568" w:hanging="360"/>
      </w:pPr>
      <w:rPr>
        <w:rFonts w:ascii="Arial" w:eastAsia="Times New Roman" w:hAnsi="Arial" w:cs="Arial" w:hint="default"/>
      </w:rPr>
    </w:lvl>
    <w:lvl w:ilvl="1" w:tplc="040C0003">
      <w:start w:val="1"/>
      <w:numFmt w:val="bullet"/>
      <w:lvlText w:val="o"/>
      <w:lvlJc w:val="left"/>
      <w:pPr>
        <w:ind w:left="1288" w:hanging="360"/>
      </w:pPr>
      <w:rPr>
        <w:rFonts w:ascii="Courier New" w:hAnsi="Courier New" w:cs="Courier New" w:hint="default"/>
      </w:rPr>
    </w:lvl>
    <w:lvl w:ilvl="2" w:tplc="040C0005" w:tentative="1">
      <w:start w:val="1"/>
      <w:numFmt w:val="bullet"/>
      <w:lvlText w:val=""/>
      <w:lvlJc w:val="left"/>
      <w:pPr>
        <w:ind w:left="2008" w:hanging="360"/>
      </w:pPr>
      <w:rPr>
        <w:rFonts w:ascii="Wingdings" w:hAnsi="Wingdings" w:hint="default"/>
      </w:rPr>
    </w:lvl>
    <w:lvl w:ilvl="3" w:tplc="040C0001" w:tentative="1">
      <w:start w:val="1"/>
      <w:numFmt w:val="bullet"/>
      <w:lvlText w:val=""/>
      <w:lvlJc w:val="left"/>
      <w:pPr>
        <w:ind w:left="2728" w:hanging="360"/>
      </w:pPr>
      <w:rPr>
        <w:rFonts w:ascii="Symbol" w:hAnsi="Symbol" w:hint="default"/>
      </w:rPr>
    </w:lvl>
    <w:lvl w:ilvl="4" w:tplc="040C0003" w:tentative="1">
      <w:start w:val="1"/>
      <w:numFmt w:val="bullet"/>
      <w:lvlText w:val="o"/>
      <w:lvlJc w:val="left"/>
      <w:pPr>
        <w:ind w:left="3448" w:hanging="360"/>
      </w:pPr>
      <w:rPr>
        <w:rFonts w:ascii="Courier New" w:hAnsi="Courier New" w:cs="Courier New" w:hint="default"/>
      </w:rPr>
    </w:lvl>
    <w:lvl w:ilvl="5" w:tplc="040C0005" w:tentative="1">
      <w:start w:val="1"/>
      <w:numFmt w:val="bullet"/>
      <w:lvlText w:val=""/>
      <w:lvlJc w:val="left"/>
      <w:pPr>
        <w:ind w:left="4168" w:hanging="360"/>
      </w:pPr>
      <w:rPr>
        <w:rFonts w:ascii="Wingdings" w:hAnsi="Wingdings" w:hint="default"/>
      </w:rPr>
    </w:lvl>
    <w:lvl w:ilvl="6" w:tplc="040C0001" w:tentative="1">
      <w:start w:val="1"/>
      <w:numFmt w:val="bullet"/>
      <w:lvlText w:val=""/>
      <w:lvlJc w:val="left"/>
      <w:pPr>
        <w:ind w:left="4888" w:hanging="360"/>
      </w:pPr>
      <w:rPr>
        <w:rFonts w:ascii="Symbol" w:hAnsi="Symbol" w:hint="default"/>
      </w:rPr>
    </w:lvl>
    <w:lvl w:ilvl="7" w:tplc="040C0003" w:tentative="1">
      <w:start w:val="1"/>
      <w:numFmt w:val="bullet"/>
      <w:lvlText w:val="o"/>
      <w:lvlJc w:val="left"/>
      <w:pPr>
        <w:ind w:left="5608" w:hanging="360"/>
      </w:pPr>
      <w:rPr>
        <w:rFonts w:ascii="Courier New" w:hAnsi="Courier New" w:cs="Courier New" w:hint="default"/>
      </w:rPr>
    </w:lvl>
    <w:lvl w:ilvl="8" w:tplc="040C0005" w:tentative="1">
      <w:start w:val="1"/>
      <w:numFmt w:val="bullet"/>
      <w:lvlText w:val=""/>
      <w:lvlJc w:val="left"/>
      <w:pPr>
        <w:ind w:left="6328" w:hanging="360"/>
      </w:pPr>
      <w:rPr>
        <w:rFonts w:ascii="Wingdings" w:hAnsi="Wingdings" w:hint="default"/>
      </w:rPr>
    </w:lvl>
  </w:abstractNum>
  <w:abstractNum w:abstractNumId="2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1">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1"/>
  </w:num>
  <w:num w:numId="8">
    <w:abstractNumId w:val="35"/>
  </w:num>
  <w:num w:numId="9">
    <w:abstractNumId w:val="8"/>
  </w:num>
  <w:num w:numId="10">
    <w:abstractNumId w:val="37"/>
  </w:num>
  <w:num w:numId="11">
    <w:abstractNumId w:val="24"/>
  </w:num>
  <w:num w:numId="12">
    <w:abstractNumId w:val="23"/>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2"/>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4"/>
  </w:num>
  <w:num w:numId="40">
    <w:abstractNumId w:val="36"/>
  </w:num>
  <w:num w:numId="41">
    <w:abstractNumId w:val="18"/>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085"/>
    <w:rsid w:val="00023E30"/>
    <w:rsid w:val="000252AC"/>
    <w:rsid w:val="00025652"/>
    <w:rsid w:val="00041317"/>
    <w:rsid w:val="00050D41"/>
    <w:rsid w:val="00065C72"/>
    <w:rsid w:val="00072484"/>
    <w:rsid w:val="00073646"/>
    <w:rsid w:val="00081C0B"/>
    <w:rsid w:val="0009150E"/>
    <w:rsid w:val="00096612"/>
    <w:rsid w:val="000B0435"/>
    <w:rsid w:val="000B07DA"/>
    <w:rsid w:val="000B7683"/>
    <w:rsid w:val="000B7B53"/>
    <w:rsid w:val="000C0413"/>
    <w:rsid w:val="000C3624"/>
    <w:rsid w:val="000C6E44"/>
    <w:rsid w:val="000C767F"/>
    <w:rsid w:val="000E4FD1"/>
    <w:rsid w:val="000F3C25"/>
    <w:rsid w:val="000F6FC4"/>
    <w:rsid w:val="001011B3"/>
    <w:rsid w:val="00102934"/>
    <w:rsid w:val="00130D59"/>
    <w:rsid w:val="00134B2E"/>
    <w:rsid w:val="00147110"/>
    <w:rsid w:val="00154F1E"/>
    <w:rsid w:val="00160F12"/>
    <w:rsid w:val="00180ECB"/>
    <w:rsid w:val="00181806"/>
    <w:rsid w:val="00186C0C"/>
    <w:rsid w:val="001A0A3A"/>
    <w:rsid w:val="001A5259"/>
    <w:rsid w:val="001B31B9"/>
    <w:rsid w:val="001C70F6"/>
    <w:rsid w:val="001C75C0"/>
    <w:rsid w:val="00201545"/>
    <w:rsid w:val="002058CE"/>
    <w:rsid w:val="00205EEB"/>
    <w:rsid w:val="002105C3"/>
    <w:rsid w:val="002165F1"/>
    <w:rsid w:val="002406E7"/>
    <w:rsid w:val="00241915"/>
    <w:rsid w:val="00247681"/>
    <w:rsid w:val="002558DC"/>
    <w:rsid w:val="002708C3"/>
    <w:rsid w:val="00276D21"/>
    <w:rsid w:val="00280CD5"/>
    <w:rsid w:val="00296D7F"/>
    <w:rsid w:val="00297D43"/>
    <w:rsid w:val="002B32C9"/>
    <w:rsid w:val="002B3CF6"/>
    <w:rsid w:val="002C768A"/>
    <w:rsid w:val="002D1160"/>
    <w:rsid w:val="002D148F"/>
    <w:rsid w:val="002D76C4"/>
    <w:rsid w:val="002D77AF"/>
    <w:rsid w:val="003342DC"/>
    <w:rsid w:val="00351573"/>
    <w:rsid w:val="003571CE"/>
    <w:rsid w:val="00357282"/>
    <w:rsid w:val="00362ED1"/>
    <w:rsid w:val="0037743B"/>
    <w:rsid w:val="00377D55"/>
    <w:rsid w:val="00382E8A"/>
    <w:rsid w:val="003B4EE8"/>
    <w:rsid w:val="003D4715"/>
    <w:rsid w:val="00420DFD"/>
    <w:rsid w:val="0042306B"/>
    <w:rsid w:val="004319C1"/>
    <w:rsid w:val="00470E28"/>
    <w:rsid w:val="004720FC"/>
    <w:rsid w:val="004812D7"/>
    <w:rsid w:val="004934C5"/>
    <w:rsid w:val="00493DE4"/>
    <w:rsid w:val="004B477A"/>
    <w:rsid w:val="004C216A"/>
    <w:rsid w:val="004F5291"/>
    <w:rsid w:val="00505FB4"/>
    <w:rsid w:val="00517190"/>
    <w:rsid w:val="00526063"/>
    <w:rsid w:val="00546FC3"/>
    <w:rsid w:val="00547EB0"/>
    <w:rsid w:val="00550061"/>
    <w:rsid w:val="00556548"/>
    <w:rsid w:val="005600C9"/>
    <w:rsid w:val="00560FC1"/>
    <w:rsid w:val="00560FFA"/>
    <w:rsid w:val="00573FC2"/>
    <w:rsid w:val="00586EF8"/>
    <w:rsid w:val="005A771E"/>
    <w:rsid w:val="005A791E"/>
    <w:rsid w:val="005B49AB"/>
    <w:rsid w:val="005B50E7"/>
    <w:rsid w:val="005D3544"/>
    <w:rsid w:val="005E7B4F"/>
    <w:rsid w:val="005F674B"/>
    <w:rsid w:val="00607D68"/>
    <w:rsid w:val="006149B1"/>
    <w:rsid w:val="00657169"/>
    <w:rsid w:val="0066543B"/>
    <w:rsid w:val="00680D2B"/>
    <w:rsid w:val="00681B32"/>
    <w:rsid w:val="006A1F02"/>
    <w:rsid w:val="006A4B1F"/>
    <w:rsid w:val="006B0831"/>
    <w:rsid w:val="006C5D43"/>
    <w:rsid w:val="006E2037"/>
    <w:rsid w:val="006F2B77"/>
    <w:rsid w:val="00712870"/>
    <w:rsid w:val="007152A9"/>
    <w:rsid w:val="00725641"/>
    <w:rsid w:val="00737749"/>
    <w:rsid w:val="00743D85"/>
    <w:rsid w:val="0074518F"/>
    <w:rsid w:val="00752FD3"/>
    <w:rsid w:val="00753CF4"/>
    <w:rsid w:val="007565CC"/>
    <w:rsid w:val="007638A7"/>
    <w:rsid w:val="00763B9A"/>
    <w:rsid w:val="007A4F79"/>
    <w:rsid w:val="007A6AA8"/>
    <w:rsid w:val="007B203C"/>
    <w:rsid w:val="007C2459"/>
    <w:rsid w:val="007C691A"/>
    <w:rsid w:val="007E3624"/>
    <w:rsid w:val="0080190C"/>
    <w:rsid w:val="00811FBD"/>
    <w:rsid w:val="00813676"/>
    <w:rsid w:val="008310C9"/>
    <w:rsid w:val="00836298"/>
    <w:rsid w:val="00852A34"/>
    <w:rsid w:val="00870342"/>
    <w:rsid w:val="0087251C"/>
    <w:rsid w:val="008815AC"/>
    <w:rsid w:val="008B2CC6"/>
    <w:rsid w:val="008C7848"/>
    <w:rsid w:val="008D3D8D"/>
    <w:rsid w:val="008E491D"/>
    <w:rsid w:val="009030CC"/>
    <w:rsid w:val="00917AF2"/>
    <w:rsid w:val="0092418A"/>
    <w:rsid w:val="00926183"/>
    <w:rsid w:val="00934ED7"/>
    <w:rsid w:val="009474D9"/>
    <w:rsid w:val="009543C3"/>
    <w:rsid w:val="009658AF"/>
    <w:rsid w:val="00966E1B"/>
    <w:rsid w:val="0099106F"/>
    <w:rsid w:val="009A351D"/>
    <w:rsid w:val="009F2D2C"/>
    <w:rsid w:val="00A54559"/>
    <w:rsid w:val="00A6617B"/>
    <w:rsid w:val="00A71FE5"/>
    <w:rsid w:val="00AA3AD8"/>
    <w:rsid w:val="00AB0DC8"/>
    <w:rsid w:val="00AC1F5E"/>
    <w:rsid w:val="00AC3946"/>
    <w:rsid w:val="00AD26B8"/>
    <w:rsid w:val="00B033C8"/>
    <w:rsid w:val="00B036D9"/>
    <w:rsid w:val="00B257C1"/>
    <w:rsid w:val="00B33425"/>
    <w:rsid w:val="00B44B26"/>
    <w:rsid w:val="00B44E24"/>
    <w:rsid w:val="00B459C1"/>
    <w:rsid w:val="00B47809"/>
    <w:rsid w:val="00B50E5B"/>
    <w:rsid w:val="00B54ECC"/>
    <w:rsid w:val="00B55B7D"/>
    <w:rsid w:val="00B567BC"/>
    <w:rsid w:val="00B61918"/>
    <w:rsid w:val="00B714F3"/>
    <w:rsid w:val="00B75A37"/>
    <w:rsid w:val="00BC5D77"/>
    <w:rsid w:val="00BC6FC2"/>
    <w:rsid w:val="00BD3F5C"/>
    <w:rsid w:val="00BE5B84"/>
    <w:rsid w:val="00BF15C3"/>
    <w:rsid w:val="00BF487A"/>
    <w:rsid w:val="00C3317D"/>
    <w:rsid w:val="00C37201"/>
    <w:rsid w:val="00C46BD9"/>
    <w:rsid w:val="00C520FB"/>
    <w:rsid w:val="00C55258"/>
    <w:rsid w:val="00C728FC"/>
    <w:rsid w:val="00C73560"/>
    <w:rsid w:val="00C7761D"/>
    <w:rsid w:val="00C93B65"/>
    <w:rsid w:val="00C95E2E"/>
    <w:rsid w:val="00CA7678"/>
    <w:rsid w:val="00CB0F14"/>
    <w:rsid w:val="00CB1C73"/>
    <w:rsid w:val="00CB47A0"/>
    <w:rsid w:val="00CB60A4"/>
    <w:rsid w:val="00CC174E"/>
    <w:rsid w:val="00CC4727"/>
    <w:rsid w:val="00CD58B5"/>
    <w:rsid w:val="00CD659B"/>
    <w:rsid w:val="00CD7A62"/>
    <w:rsid w:val="00CE4575"/>
    <w:rsid w:val="00CF0D45"/>
    <w:rsid w:val="00CF0F60"/>
    <w:rsid w:val="00CF2A94"/>
    <w:rsid w:val="00CF34B5"/>
    <w:rsid w:val="00D0034D"/>
    <w:rsid w:val="00D069F2"/>
    <w:rsid w:val="00D10CF1"/>
    <w:rsid w:val="00D11F99"/>
    <w:rsid w:val="00D503C9"/>
    <w:rsid w:val="00D50B43"/>
    <w:rsid w:val="00D55B55"/>
    <w:rsid w:val="00D57367"/>
    <w:rsid w:val="00D619A7"/>
    <w:rsid w:val="00D722EF"/>
    <w:rsid w:val="00D73FBE"/>
    <w:rsid w:val="00D8150A"/>
    <w:rsid w:val="00D83331"/>
    <w:rsid w:val="00D84F58"/>
    <w:rsid w:val="00D91251"/>
    <w:rsid w:val="00D91F7F"/>
    <w:rsid w:val="00DB4F6A"/>
    <w:rsid w:val="00DD6201"/>
    <w:rsid w:val="00DF087C"/>
    <w:rsid w:val="00DF4176"/>
    <w:rsid w:val="00E17240"/>
    <w:rsid w:val="00E1785F"/>
    <w:rsid w:val="00E40BDC"/>
    <w:rsid w:val="00E7610E"/>
    <w:rsid w:val="00E83CDE"/>
    <w:rsid w:val="00E84492"/>
    <w:rsid w:val="00E91107"/>
    <w:rsid w:val="00EB26B6"/>
    <w:rsid w:val="00ED683F"/>
    <w:rsid w:val="00EF2439"/>
    <w:rsid w:val="00F103A9"/>
    <w:rsid w:val="00F17BF0"/>
    <w:rsid w:val="00F20231"/>
    <w:rsid w:val="00F30C9B"/>
    <w:rsid w:val="00F34539"/>
    <w:rsid w:val="00F354B1"/>
    <w:rsid w:val="00F44E63"/>
    <w:rsid w:val="00F53CD3"/>
    <w:rsid w:val="00F545E6"/>
    <w:rsid w:val="00F72869"/>
    <w:rsid w:val="00F77437"/>
    <w:rsid w:val="00F90896"/>
    <w:rsid w:val="00F92BC2"/>
    <w:rsid w:val="00FA0475"/>
    <w:rsid w:val="00FB0E4E"/>
    <w:rsid w:val="00FD44A3"/>
    <w:rsid w:val="00FE79FE"/>
    <w:rsid w:val="00FF2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6625">
      <o:colormru v:ext="edit" colors="#d62a47"/>
      <o:colormenu v:ext="edit" strokecolor="#d62a47"/>
    </o:shapedefaults>
    <o:shapelayout v:ext="edit">
      <o:idmap v:ext="edit" data="1"/>
    </o:shapelayout>
  </w:shapeDefaults>
  <w:decimalSymbol w:val="."/>
  <w:listSeparator w:val=","/>
  <w15:docId w15:val="{5D5C596C-E94A-46D3-9BE8-A837CFD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57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E4575"/>
    <w:pPr>
      <w:keepNext/>
      <w:keepLines/>
      <w:spacing w:before="480"/>
      <w:ind w:left="794" w:hanging="794"/>
      <w:outlineLvl w:val="0"/>
    </w:pPr>
    <w:rPr>
      <w:b/>
    </w:rPr>
  </w:style>
  <w:style w:type="paragraph" w:styleId="Heading2">
    <w:name w:val="heading 2"/>
    <w:basedOn w:val="Heading1"/>
    <w:next w:val="Normal"/>
    <w:link w:val="Heading2Char"/>
    <w:qFormat/>
    <w:rsid w:val="00CE4575"/>
    <w:pPr>
      <w:spacing w:before="320"/>
      <w:outlineLvl w:val="1"/>
    </w:pPr>
  </w:style>
  <w:style w:type="paragraph" w:styleId="Heading3">
    <w:name w:val="heading 3"/>
    <w:basedOn w:val="Heading1"/>
    <w:next w:val="Normal"/>
    <w:link w:val="Heading3Char"/>
    <w:qFormat/>
    <w:rsid w:val="00CE4575"/>
    <w:pPr>
      <w:spacing w:before="200"/>
      <w:outlineLvl w:val="2"/>
    </w:pPr>
  </w:style>
  <w:style w:type="paragraph" w:styleId="Heading4">
    <w:name w:val="heading 4"/>
    <w:basedOn w:val="Heading3"/>
    <w:next w:val="Normal"/>
    <w:link w:val="Heading4Char"/>
    <w:qFormat/>
    <w:rsid w:val="00CE4575"/>
    <w:pPr>
      <w:tabs>
        <w:tab w:val="clear" w:pos="794"/>
        <w:tab w:val="left" w:pos="992"/>
      </w:tabs>
      <w:ind w:left="992" w:hanging="992"/>
      <w:outlineLvl w:val="3"/>
    </w:pPr>
  </w:style>
  <w:style w:type="paragraph" w:styleId="Heading5">
    <w:name w:val="heading 5"/>
    <w:basedOn w:val="Heading4"/>
    <w:next w:val="Normal"/>
    <w:link w:val="Heading5Char"/>
    <w:qFormat/>
    <w:rsid w:val="00CE4575"/>
    <w:pPr>
      <w:outlineLvl w:val="4"/>
    </w:pPr>
  </w:style>
  <w:style w:type="paragraph" w:styleId="Heading6">
    <w:name w:val="heading 6"/>
    <w:basedOn w:val="Heading4"/>
    <w:next w:val="Normal"/>
    <w:link w:val="Heading6Char"/>
    <w:qFormat/>
    <w:rsid w:val="00CE4575"/>
    <w:pPr>
      <w:tabs>
        <w:tab w:val="clear" w:pos="992"/>
        <w:tab w:val="clear" w:pos="1191"/>
      </w:tabs>
      <w:ind w:left="1588" w:hanging="1588"/>
      <w:outlineLvl w:val="5"/>
    </w:pPr>
  </w:style>
  <w:style w:type="paragraph" w:styleId="Heading7">
    <w:name w:val="heading 7"/>
    <w:basedOn w:val="Heading6"/>
    <w:next w:val="Normal"/>
    <w:link w:val="Heading7Char"/>
    <w:qFormat/>
    <w:rsid w:val="00CE4575"/>
    <w:pPr>
      <w:outlineLvl w:val="6"/>
    </w:pPr>
  </w:style>
  <w:style w:type="paragraph" w:styleId="Heading8">
    <w:name w:val="heading 8"/>
    <w:basedOn w:val="Heading6"/>
    <w:next w:val="Normal"/>
    <w:link w:val="Heading8Char"/>
    <w:qFormat/>
    <w:rsid w:val="00CE4575"/>
    <w:pPr>
      <w:outlineLvl w:val="7"/>
    </w:pPr>
  </w:style>
  <w:style w:type="paragraph" w:styleId="Heading9">
    <w:name w:val="heading 9"/>
    <w:basedOn w:val="Heading6"/>
    <w:next w:val="Normal"/>
    <w:link w:val="Heading9Char"/>
    <w:qFormat/>
    <w:rsid w:val="00CE457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E4575"/>
    <w:pPr>
      <w:keepNext/>
      <w:keepLines/>
      <w:spacing w:after="280"/>
      <w:jc w:val="center"/>
    </w:pPr>
  </w:style>
  <w:style w:type="paragraph" w:customStyle="1" w:styleId="Blanc">
    <w:name w:val="Blanc"/>
    <w:basedOn w:val="Normal"/>
    <w:next w:val="Tabletext"/>
    <w:rsid w:val="00CE457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CE4575"/>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
    <w:basedOn w:val="Normal"/>
    <w:link w:val="FooterChar"/>
    <w:rsid w:val="00CE457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575"/>
  </w:style>
  <w:style w:type="paragraph" w:customStyle="1" w:styleId="Headingb">
    <w:name w:val="Heading_b"/>
    <w:basedOn w:val="Heading3"/>
    <w:next w:val="Normal"/>
    <w:link w:val="HeadingbChar"/>
    <w:qFormat/>
    <w:rsid w:val="00CE4575"/>
    <w:pPr>
      <w:spacing w:before="160"/>
      <w:ind w:left="0" w:firstLine="0"/>
      <w:outlineLvl w:val="9"/>
    </w:pPr>
  </w:style>
  <w:style w:type="paragraph" w:customStyle="1" w:styleId="Headingi">
    <w:name w:val="Heading_i"/>
    <w:basedOn w:val="Heading3"/>
    <w:next w:val="Normal"/>
    <w:qFormat/>
    <w:rsid w:val="00CE4575"/>
    <w:pPr>
      <w:spacing w:before="160"/>
      <w:ind w:left="0" w:firstLine="0"/>
    </w:pPr>
    <w:rPr>
      <w:b w:val="0"/>
      <w:i/>
    </w:rPr>
  </w:style>
  <w:style w:type="character" w:customStyle="1" w:styleId="href">
    <w:name w:val="href"/>
    <w:basedOn w:val="DefaultParagraphFont"/>
    <w:rsid w:val="00CE4575"/>
  </w:style>
  <w:style w:type="paragraph" w:customStyle="1" w:styleId="AnnexNoTitle">
    <w:name w:val="Annex_NoTitle"/>
    <w:basedOn w:val="Normal"/>
    <w:next w:val="Normalaftertitle"/>
    <w:rsid w:val="00CE4575"/>
    <w:pPr>
      <w:keepNext/>
      <w:keepLines/>
      <w:spacing w:before="480" w:after="80"/>
      <w:jc w:val="center"/>
    </w:pPr>
    <w:rPr>
      <w:b/>
      <w:sz w:val="28"/>
    </w:rPr>
  </w:style>
  <w:style w:type="paragraph" w:customStyle="1" w:styleId="enumlev1">
    <w:name w:val="enumlev1"/>
    <w:basedOn w:val="Normal"/>
    <w:link w:val="enumlev1Char"/>
    <w:rsid w:val="00CE4575"/>
    <w:pPr>
      <w:spacing w:before="80"/>
      <w:ind w:left="794" w:hanging="794"/>
    </w:pPr>
  </w:style>
  <w:style w:type="paragraph" w:customStyle="1" w:styleId="Equation">
    <w:name w:val="Equation"/>
    <w:basedOn w:val="Normal"/>
    <w:link w:val="EquationChar"/>
    <w:rsid w:val="00CE4575"/>
    <w:pPr>
      <w:tabs>
        <w:tab w:val="clear" w:pos="1191"/>
        <w:tab w:val="clear" w:pos="1588"/>
        <w:tab w:val="clear" w:pos="1985"/>
        <w:tab w:val="center" w:pos="4820"/>
        <w:tab w:val="right" w:pos="9639"/>
      </w:tabs>
    </w:pPr>
  </w:style>
  <w:style w:type="paragraph" w:customStyle="1" w:styleId="enumlev2">
    <w:name w:val="enumlev2"/>
    <w:basedOn w:val="enumlev1"/>
    <w:rsid w:val="00CE4575"/>
    <w:pPr>
      <w:ind w:left="1191" w:hanging="397"/>
    </w:pPr>
  </w:style>
  <w:style w:type="paragraph" w:styleId="FootnoteText">
    <w:name w:val="footnote text"/>
    <w:basedOn w:val="Normal"/>
    <w:link w:val="FootnoteTextChar"/>
    <w:uiPriority w:val="99"/>
    <w:qFormat/>
    <w:rsid w:val="00CE457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E4575"/>
    <w:pPr>
      <w:spacing w:before="320"/>
    </w:pPr>
  </w:style>
  <w:style w:type="paragraph" w:customStyle="1" w:styleId="enumlev3">
    <w:name w:val="enumlev3"/>
    <w:basedOn w:val="enumlev2"/>
    <w:rsid w:val="00CE4575"/>
    <w:pPr>
      <w:ind w:left="1588"/>
    </w:pPr>
  </w:style>
  <w:style w:type="paragraph" w:customStyle="1" w:styleId="Note">
    <w:name w:val="Note"/>
    <w:basedOn w:val="Normal"/>
    <w:rsid w:val="00CE457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E457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CE4575"/>
    <w:pPr>
      <w:keepNext/>
      <w:keepLines/>
      <w:spacing w:before="240"/>
      <w:jc w:val="center"/>
    </w:pPr>
    <w:rPr>
      <w:b/>
      <w:sz w:val="28"/>
    </w:rPr>
  </w:style>
  <w:style w:type="paragraph" w:customStyle="1" w:styleId="Recref">
    <w:name w:val="Rec_ref"/>
    <w:basedOn w:val="Normal"/>
    <w:next w:val="Recdate"/>
    <w:rsid w:val="00CE4575"/>
    <w:pPr>
      <w:jc w:val="center"/>
    </w:pPr>
  </w:style>
  <w:style w:type="paragraph" w:customStyle="1" w:styleId="Recdate">
    <w:name w:val="Rec_date"/>
    <w:basedOn w:val="Recref"/>
    <w:next w:val="Normalaftertitle"/>
    <w:rsid w:val="00CE4575"/>
    <w:pPr>
      <w:jc w:val="right"/>
    </w:pPr>
  </w:style>
  <w:style w:type="paragraph" w:customStyle="1" w:styleId="HeadingSum">
    <w:name w:val="Heading_Sum"/>
    <w:basedOn w:val="Headingb"/>
    <w:next w:val="Normal"/>
    <w:autoRedefine/>
    <w:rsid w:val="00CE4575"/>
    <w:pPr>
      <w:spacing w:before="240"/>
    </w:pPr>
    <w:rPr>
      <w:lang w:val="es-ES_tradnl"/>
    </w:rPr>
  </w:style>
  <w:style w:type="paragraph" w:customStyle="1" w:styleId="AppendixNoTitle">
    <w:name w:val="Appendix_NoTitle"/>
    <w:basedOn w:val="AnnexNoTitle"/>
    <w:next w:val="Normal"/>
    <w:rsid w:val="00CE4575"/>
  </w:style>
  <w:style w:type="paragraph" w:customStyle="1" w:styleId="Tablefin">
    <w:name w:val="Table_fin"/>
    <w:basedOn w:val="Normal"/>
    <w:next w:val="Normal"/>
    <w:uiPriority w:val="99"/>
    <w:rsid w:val="00CE4575"/>
    <w:pPr>
      <w:spacing w:before="0"/>
    </w:pPr>
    <w:rPr>
      <w:sz w:val="20"/>
      <w:lang w:val="en-GB"/>
    </w:rPr>
  </w:style>
  <w:style w:type="paragraph" w:customStyle="1" w:styleId="Tablehead">
    <w:name w:val="Table_head"/>
    <w:basedOn w:val="Normal"/>
    <w:next w:val="Normal"/>
    <w:link w:val="TableheadChar"/>
    <w:rsid w:val="00CE45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45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4575"/>
    <w:pPr>
      <w:keepNext/>
      <w:spacing w:before="360" w:after="120"/>
      <w:jc w:val="center"/>
    </w:pPr>
  </w:style>
  <w:style w:type="paragraph" w:customStyle="1" w:styleId="Equationlegend">
    <w:name w:val="Equation_legend"/>
    <w:basedOn w:val="NormalIndent"/>
    <w:link w:val="EquationlegendChar"/>
    <w:rsid w:val="00CE45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575"/>
    <w:pPr>
      <w:ind w:left="794"/>
    </w:pPr>
  </w:style>
  <w:style w:type="paragraph" w:customStyle="1" w:styleId="Figurelegend">
    <w:name w:val="Figure_legend"/>
    <w:basedOn w:val="Normal"/>
    <w:rsid w:val="00CE457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E4575"/>
    <w:pPr>
      <w:keepNext/>
      <w:keepLines/>
      <w:spacing w:before="480" w:after="80"/>
      <w:jc w:val="center"/>
    </w:pPr>
    <w:rPr>
      <w:caps/>
      <w:sz w:val="18"/>
    </w:rPr>
  </w:style>
  <w:style w:type="paragraph" w:customStyle="1" w:styleId="Figuretitle">
    <w:name w:val="Figure_title"/>
    <w:basedOn w:val="Normal"/>
    <w:next w:val="Figure"/>
    <w:link w:val="FiguretitleChar"/>
    <w:rsid w:val="00CE4575"/>
    <w:pPr>
      <w:keepNext/>
      <w:spacing w:before="0" w:after="120"/>
      <w:jc w:val="center"/>
    </w:pPr>
    <w:rPr>
      <w:rFonts w:ascii="Times New Roman Bold" w:hAnsi="Times New Roman Bold"/>
      <w:b/>
      <w:sz w:val="18"/>
    </w:rPr>
  </w:style>
  <w:style w:type="paragraph" w:customStyle="1" w:styleId="Figure">
    <w:name w:val="Figure"/>
    <w:basedOn w:val="FigureNo"/>
    <w:next w:val="Normal"/>
    <w:rsid w:val="00CE4575"/>
    <w:pPr>
      <w:keepNext w:val="0"/>
      <w:spacing w:before="0" w:after="240"/>
    </w:pPr>
  </w:style>
  <w:style w:type="paragraph" w:customStyle="1" w:styleId="tocpart">
    <w:name w:val="tocpart"/>
    <w:basedOn w:val="Normal"/>
    <w:rsid w:val="00CE457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575"/>
    <w:pPr>
      <w:keepNext/>
      <w:keepLines/>
      <w:spacing w:before="480"/>
      <w:jc w:val="center"/>
    </w:pPr>
    <w:rPr>
      <w:sz w:val="28"/>
    </w:rPr>
  </w:style>
  <w:style w:type="paragraph" w:customStyle="1" w:styleId="Arttitle">
    <w:name w:val="Art_title"/>
    <w:basedOn w:val="Normal"/>
    <w:next w:val="Normalaftertitle"/>
    <w:rsid w:val="00CE4575"/>
    <w:pPr>
      <w:keepNext/>
      <w:keepLines/>
      <w:spacing w:before="240"/>
      <w:jc w:val="center"/>
    </w:pPr>
    <w:rPr>
      <w:b/>
      <w:sz w:val="28"/>
    </w:rPr>
  </w:style>
  <w:style w:type="paragraph" w:customStyle="1" w:styleId="ASN1">
    <w:name w:val="ASN.1"/>
    <w:basedOn w:val="Normal"/>
    <w:next w:val="Normal"/>
    <w:rsid w:val="00CE457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4575"/>
    <w:pPr>
      <w:keepNext/>
      <w:keepLines/>
      <w:spacing w:before="160"/>
      <w:ind w:left="794"/>
    </w:pPr>
    <w:rPr>
      <w:i/>
    </w:rPr>
  </w:style>
  <w:style w:type="paragraph" w:customStyle="1" w:styleId="ChapNo">
    <w:name w:val="Chap_No"/>
    <w:basedOn w:val="ArtNo"/>
    <w:next w:val="Chaptitle"/>
    <w:rsid w:val="00CE4575"/>
    <w:rPr>
      <w:b/>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rsid w:val="00CE4575"/>
    <w:rPr>
      <w:position w:val="6"/>
      <w:sz w:val="18"/>
    </w:rPr>
  </w:style>
  <w:style w:type="paragraph" w:styleId="Index1">
    <w:name w:val="index 1"/>
    <w:basedOn w:val="Normal"/>
    <w:next w:val="Normal"/>
    <w:semiHidden/>
    <w:rsid w:val="00CE4575"/>
  </w:style>
  <w:style w:type="paragraph" w:styleId="Index2">
    <w:name w:val="index 2"/>
    <w:basedOn w:val="Normal"/>
    <w:next w:val="Normal"/>
    <w:semiHidden/>
    <w:rsid w:val="00CE4575"/>
    <w:pPr>
      <w:ind w:left="283"/>
    </w:pPr>
  </w:style>
  <w:style w:type="paragraph" w:styleId="Index3">
    <w:name w:val="index 3"/>
    <w:basedOn w:val="Normal"/>
    <w:next w:val="Normal"/>
    <w:semiHidden/>
    <w:rsid w:val="00CE4575"/>
    <w:pPr>
      <w:ind w:left="566"/>
    </w:pPr>
  </w:style>
  <w:style w:type="paragraph" w:styleId="IndexHeading">
    <w:name w:val="index heading"/>
    <w:basedOn w:val="Normal"/>
    <w:next w:val="Index1"/>
    <w:rsid w:val="00CE4575"/>
  </w:style>
  <w:style w:type="paragraph" w:customStyle="1" w:styleId="Line">
    <w:name w:val="Line"/>
    <w:basedOn w:val="Normal"/>
    <w:next w:val="Normal"/>
    <w:rsid w:val="00CE457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57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575"/>
  </w:style>
  <w:style w:type="paragraph" w:customStyle="1" w:styleId="Partref">
    <w:name w:val="Part_ref"/>
    <w:basedOn w:val="Normal"/>
    <w:next w:val="Normal"/>
    <w:rsid w:val="00CE4575"/>
    <w:pPr>
      <w:keepNext/>
      <w:keepLines/>
      <w:spacing w:after="280"/>
      <w:jc w:val="center"/>
    </w:pPr>
  </w:style>
  <w:style w:type="paragraph" w:customStyle="1" w:styleId="Parttitle">
    <w:name w:val="Part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575"/>
  </w:style>
  <w:style w:type="paragraph" w:customStyle="1" w:styleId="QuestionNo">
    <w:name w:val="Question_No"/>
    <w:basedOn w:val="RecNo"/>
    <w:next w:val="Normal"/>
    <w:rsid w:val="00CE4575"/>
  </w:style>
  <w:style w:type="paragraph" w:customStyle="1" w:styleId="Questionref">
    <w:name w:val="Question_ref"/>
    <w:basedOn w:val="Recref"/>
    <w:next w:val="Questiondate"/>
    <w:rsid w:val="00CE4575"/>
  </w:style>
  <w:style w:type="paragraph" w:customStyle="1" w:styleId="Questiontitle">
    <w:name w:val="Question_title"/>
    <w:basedOn w:val="Normal"/>
    <w:next w:val="Questionref"/>
    <w:rsid w:val="00CE4575"/>
  </w:style>
  <w:style w:type="paragraph" w:customStyle="1" w:styleId="Reftext">
    <w:name w:val="Ref_text"/>
    <w:basedOn w:val="Normal"/>
    <w:rsid w:val="00CE4575"/>
    <w:pPr>
      <w:ind w:left="794" w:hanging="794"/>
    </w:pPr>
    <w:rPr>
      <w:sz w:val="22"/>
    </w:rPr>
  </w:style>
  <w:style w:type="paragraph" w:customStyle="1" w:styleId="Reftitle">
    <w:name w:val="Ref_title"/>
    <w:basedOn w:val="Normal"/>
    <w:next w:val="Reftext"/>
    <w:rsid w:val="00CE457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575"/>
  </w:style>
  <w:style w:type="paragraph" w:customStyle="1" w:styleId="RepNo">
    <w:name w:val="Rep_No"/>
    <w:basedOn w:val="RecNo"/>
    <w:next w:val="Reptitle"/>
    <w:rsid w:val="00CE4575"/>
  </w:style>
  <w:style w:type="paragraph" w:customStyle="1" w:styleId="Reptitle">
    <w:name w:val="Rep_title"/>
    <w:basedOn w:val="Rectitle"/>
    <w:next w:val="Repref"/>
    <w:rsid w:val="00CE4575"/>
  </w:style>
  <w:style w:type="paragraph" w:customStyle="1" w:styleId="Repref">
    <w:name w:val="Rep_ref"/>
    <w:basedOn w:val="Recref"/>
    <w:next w:val="Repdate"/>
    <w:rsid w:val="00CE4575"/>
  </w:style>
  <w:style w:type="paragraph" w:customStyle="1" w:styleId="Resdate">
    <w:name w:val="Res_date"/>
    <w:basedOn w:val="Recdate"/>
    <w:next w:val="Normalaftertitle"/>
    <w:rsid w:val="00CE4575"/>
  </w:style>
  <w:style w:type="paragraph" w:customStyle="1" w:styleId="ResNo">
    <w:name w:val="Res_No"/>
    <w:basedOn w:val="RecNo"/>
    <w:next w:val="Restitle"/>
    <w:rsid w:val="00CE4575"/>
  </w:style>
  <w:style w:type="paragraph" w:customStyle="1" w:styleId="Restitle">
    <w:name w:val="Res_title"/>
    <w:basedOn w:val="Normal"/>
    <w:next w:val="Resref"/>
    <w:rsid w:val="00CE4575"/>
    <w:pPr>
      <w:spacing w:before="240"/>
      <w:jc w:val="center"/>
    </w:pPr>
    <w:rPr>
      <w:b/>
      <w:sz w:val="28"/>
    </w:rPr>
  </w:style>
  <w:style w:type="paragraph" w:customStyle="1" w:styleId="Resref">
    <w:name w:val="Res_ref"/>
    <w:basedOn w:val="Recref"/>
    <w:next w:val="Resdate"/>
    <w:rsid w:val="00CE4575"/>
  </w:style>
  <w:style w:type="paragraph" w:customStyle="1" w:styleId="SectionNo">
    <w:name w:val="Section_No"/>
    <w:basedOn w:val="Normal"/>
    <w:next w:val="Normal"/>
    <w:rsid w:val="00CE4575"/>
  </w:style>
  <w:style w:type="paragraph" w:customStyle="1" w:styleId="Sectiontitle">
    <w:name w:val="Section_title"/>
    <w:basedOn w:val="Normal"/>
    <w:next w:val="Normalaftertitle"/>
    <w:rsid w:val="00CE457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575"/>
    <w:pPr>
      <w:tabs>
        <w:tab w:val="clear" w:pos="794"/>
        <w:tab w:val="clear" w:pos="1191"/>
        <w:tab w:val="clear" w:pos="1588"/>
        <w:tab w:val="clear" w:pos="1985"/>
        <w:tab w:val="right" w:pos="9611"/>
      </w:tabs>
    </w:pPr>
    <w:rPr>
      <w:i/>
    </w:rPr>
  </w:style>
  <w:style w:type="paragraph" w:styleId="TOC1">
    <w:name w:val="toc 1"/>
    <w:basedOn w:val="Normal"/>
    <w:uiPriority w:val="39"/>
    <w:rsid w:val="00CE457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E4575"/>
    <w:pPr>
      <w:tabs>
        <w:tab w:val="clear" w:pos="567"/>
        <w:tab w:val="left" w:pos="1276"/>
      </w:tabs>
      <w:spacing w:before="160"/>
      <w:ind w:left="1276" w:hanging="709"/>
    </w:pPr>
  </w:style>
  <w:style w:type="paragraph" w:styleId="TOC3">
    <w:name w:val="toc 3"/>
    <w:basedOn w:val="TOC2"/>
    <w:uiPriority w:val="39"/>
    <w:rsid w:val="00CE4575"/>
    <w:pPr>
      <w:tabs>
        <w:tab w:val="clear" w:pos="1276"/>
        <w:tab w:val="left" w:pos="2155"/>
      </w:tabs>
      <w:ind w:left="2155" w:hanging="879"/>
    </w:pPr>
  </w:style>
  <w:style w:type="paragraph" w:styleId="TOC4">
    <w:name w:val="toc 4"/>
    <w:basedOn w:val="TOC3"/>
    <w:rsid w:val="00CE4575"/>
    <w:pPr>
      <w:tabs>
        <w:tab w:val="left" w:pos="3261"/>
      </w:tabs>
      <w:spacing w:before="80"/>
      <w:ind w:left="3261" w:hanging="993"/>
    </w:pPr>
  </w:style>
  <w:style w:type="paragraph" w:styleId="TOC5">
    <w:name w:val="toc 5"/>
    <w:basedOn w:val="TOC4"/>
    <w:rsid w:val="00CE4575"/>
  </w:style>
  <w:style w:type="paragraph" w:styleId="TOC6">
    <w:name w:val="toc 6"/>
    <w:basedOn w:val="TOC4"/>
    <w:rsid w:val="00CE4575"/>
  </w:style>
  <w:style w:type="paragraph" w:styleId="TOC7">
    <w:name w:val="toc 7"/>
    <w:basedOn w:val="TOC4"/>
    <w:rsid w:val="00CE4575"/>
  </w:style>
  <w:style w:type="paragraph" w:styleId="TOC8">
    <w:name w:val="toc 8"/>
    <w:basedOn w:val="TOC4"/>
    <w:rsid w:val="00CE4575"/>
  </w:style>
  <w:style w:type="paragraph" w:customStyle="1" w:styleId="Appendixref">
    <w:name w:val="Appendix_ref"/>
    <w:basedOn w:val="Annexref"/>
    <w:next w:val="Normalaftertitle"/>
    <w:rsid w:val="00CE4575"/>
  </w:style>
  <w:style w:type="paragraph" w:customStyle="1" w:styleId="Tabletitle">
    <w:name w:val="Table_title"/>
    <w:basedOn w:val="Normal"/>
    <w:next w:val="Tablehead"/>
    <w:link w:val="TabletitleChar"/>
    <w:rsid w:val="00CE4575"/>
    <w:pPr>
      <w:keepNext/>
      <w:spacing w:before="0" w:after="120"/>
      <w:jc w:val="center"/>
    </w:pPr>
    <w:rPr>
      <w:b/>
    </w:rPr>
  </w:style>
  <w:style w:type="paragraph" w:customStyle="1" w:styleId="Summary">
    <w:name w:val="Summary"/>
    <w:basedOn w:val="Normal"/>
    <w:next w:val="Normalaftertitle"/>
    <w:autoRedefine/>
    <w:rsid w:val="00CE4575"/>
    <w:pPr>
      <w:spacing w:after="480"/>
    </w:pPr>
    <w:rPr>
      <w:lang w:val="es-ES_tradnl"/>
    </w:rPr>
  </w:style>
  <w:style w:type="character" w:styleId="Hyperlink">
    <w:name w:val="Hyperlink"/>
    <w:aliases w:val="CEO_Hyperlink"/>
    <w:basedOn w:val="DefaultParagraphFont"/>
    <w:rsid w:val="00934ED7"/>
    <w:rPr>
      <w:color w:val="0000FF"/>
      <w:u w:val="single"/>
    </w:rPr>
  </w:style>
  <w:style w:type="paragraph" w:customStyle="1" w:styleId="Chaptitle">
    <w:name w:val="Chap_title"/>
    <w:basedOn w:val="Arttitle"/>
    <w:next w:val="Normalaftertitle"/>
    <w:rsid w:val="00CE4575"/>
  </w:style>
  <w:style w:type="paragraph" w:customStyle="1" w:styleId="TableLegendNote">
    <w:name w:val="Table_Legend_Note"/>
    <w:basedOn w:val="Tablelegend"/>
    <w:next w:val="Tablelegend"/>
    <w:rsid w:val="00CE4575"/>
    <w:pPr>
      <w:ind w:left="-85" w:firstLine="0"/>
    </w:pPr>
    <w:rPr>
      <w:lang w:val="en-US"/>
    </w:rPr>
  </w:style>
  <w:style w:type="paragraph" w:customStyle="1" w:styleId="Artheading">
    <w:name w:val="Art_heading"/>
    <w:basedOn w:val="Normal"/>
    <w:next w:val="Normal"/>
    <w:rsid w:val="000736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73646"/>
    <w:rPr>
      <w:vertAlign w:val="superscript"/>
    </w:rPr>
  </w:style>
  <w:style w:type="paragraph" w:customStyle="1" w:styleId="Figurewithouttitle">
    <w:name w:val="Figure_without_title"/>
    <w:basedOn w:val="FigureNo"/>
    <w:next w:val="Normal"/>
    <w:rsid w:val="000736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736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736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736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736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073646"/>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73646"/>
    <w:pPr>
      <w:overflowPunct/>
      <w:autoSpaceDE/>
      <w:autoSpaceDN/>
      <w:adjustRightInd/>
      <w:spacing w:before="480"/>
      <w:textAlignment w:val="auto"/>
    </w:pPr>
    <w:rPr>
      <w:b w:val="0"/>
      <w:caps/>
    </w:rPr>
  </w:style>
  <w:style w:type="paragraph" w:customStyle="1" w:styleId="Title3">
    <w:name w:val="Title 3"/>
    <w:basedOn w:val="Title2"/>
    <w:next w:val="Normal"/>
    <w:rsid w:val="00073646"/>
    <w:pPr>
      <w:spacing w:before="240"/>
    </w:pPr>
    <w:rPr>
      <w:caps w:val="0"/>
    </w:rPr>
  </w:style>
  <w:style w:type="paragraph" w:customStyle="1" w:styleId="Title4">
    <w:name w:val="Title 4"/>
    <w:basedOn w:val="Title3"/>
    <w:next w:val="Heading1"/>
    <w:rsid w:val="00073646"/>
    <w:rPr>
      <w:b/>
    </w:rPr>
  </w:style>
  <w:style w:type="character" w:customStyle="1" w:styleId="Appdef">
    <w:name w:val="App_def"/>
    <w:basedOn w:val="DefaultParagraphFont"/>
    <w:rsid w:val="00073646"/>
    <w:rPr>
      <w:rFonts w:ascii="Times New Roman" w:hAnsi="Times New Roman"/>
      <w:b/>
    </w:rPr>
  </w:style>
  <w:style w:type="character" w:customStyle="1" w:styleId="Appref">
    <w:name w:val="App_ref"/>
    <w:basedOn w:val="DefaultParagraphFont"/>
    <w:rsid w:val="00073646"/>
  </w:style>
  <w:style w:type="character" w:customStyle="1" w:styleId="Artdef">
    <w:name w:val="Art_def"/>
    <w:basedOn w:val="DefaultParagraphFont"/>
    <w:rsid w:val="00073646"/>
    <w:rPr>
      <w:rFonts w:ascii="Times New Roman" w:hAnsi="Times New Roman"/>
      <w:b/>
    </w:rPr>
  </w:style>
  <w:style w:type="character" w:customStyle="1" w:styleId="Artref">
    <w:name w:val="Art_ref"/>
    <w:basedOn w:val="DefaultParagraphFont"/>
    <w:rsid w:val="00073646"/>
  </w:style>
  <w:style w:type="character" w:customStyle="1" w:styleId="Recdef">
    <w:name w:val="Rec_def"/>
    <w:basedOn w:val="DefaultParagraphFont"/>
    <w:rsid w:val="00073646"/>
    <w:rPr>
      <w:b/>
    </w:rPr>
  </w:style>
  <w:style w:type="character" w:customStyle="1" w:styleId="Resdef">
    <w:name w:val="Res_def"/>
    <w:basedOn w:val="DefaultParagraphFont"/>
    <w:rsid w:val="00073646"/>
    <w:rPr>
      <w:rFonts w:ascii="Times New Roman" w:hAnsi="Times New Roman"/>
      <w:b/>
    </w:rPr>
  </w:style>
  <w:style w:type="character" w:customStyle="1" w:styleId="Tablefreq">
    <w:name w:val="Table_freq"/>
    <w:basedOn w:val="DefaultParagraphFont"/>
    <w:rsid w:val="00073646"/>
    <w:rPr>
      <w:b/>
      <w:color w:val="auto"/>
      <w:sz w:val="20"/>
    </w:rPr>
  </w:style>
  <w:style w:type="paragraph" w:customStyle="1" w:styleId="Formal">
    <w:name w:val="Formal"/>
    <w:basedOn w:val="ASN1"/>
    <w:rsid w:val="00073646"/>
    <w:pPr>
      <w:tabs>
        <w:tab w:val="left" w:pos="1871"/>
      </w:tabs>
      <w:jc w:val="left"/>
    </w:pPr>
    <w:rPr>
      <w:rFonts w:ascii="Times New Roman Bold" w:hAnsi="Times New Roman Bold"/>
      <w:b w:val="0"/>
      <w:lang w:val="en-GB"/>
    </w:rPr>
  </w:style>
  <w:style w:type="paragraph" w:customStyle="1" w:styleId="Section1">
    <w:name w:val="Section_1"/>
    <w:basedOn w:val="Normal"/>
    <w:rsid w:val="000736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73646"/>
    <w:rPr>
      <w:b w:val="0"/>
      <w:i/>
    </w:rPr>
  </w:style>
  <w:style w:type="paragraph" w:customStyle="1" w:styleId="AnnexNo">
    <w:name w:val="Annex_No"/>
    <w:basedOn w:val="Normal"/>
    <w:next w:val="Normal"/>
    <w:link w:val="AnnexNoChar"/>
    <w:rsid w:val="000736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736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73646"/>
  </w:style>
  <w:style w:type="paragraph" w:customStyle="1" w:styleId="Appendixtitle">
    <w:name w:val="Appendix_title"/>
    <w:basedOn w:val="Annextitle"/>
    <w:next w:val="Normal"/>
    <w:rsid w:val="00073646"/>
  </w:style>
  <w:style w:type="paragraph" w:customStyle="1" w:styleId="Border">
    <w:name w:val="Border"/>
    <w:basedOn w:val="Normal"/>
    <w:rsid w:val="0007364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736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736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736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736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73646"/>
  </w:style>
  <w:style w:type="paragraph" w:customStyle="1" w:styleId="Normalaftertitle0">
    <w:name w:val="Normal after title"/>
    <w:basedOn w:val="Normal"/>
    <w:next w:val="Normal"/>
    <w:rsid w:val="000736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7364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73646"/>
    <w:pPr>
      <w:tabs>
        <w:tab w:val="clear" w:pos="794"/>
        <w:tab w:val="clear" w:pos="1191"/>
        <w:tab w:val="left" w:pos="1134"/>
      </w:tabs>
      <w:jc w:val="left"/>
    </w:pPr>
    <w:rPr>
      <w:lang w:val="en-GB"/>
    </w:rPr>
  </w:style>
  <w:style w:type="paragraph" w:customStyle="1" w:styleId="Section3">
    <w:name w:val="Section_3"/>
    <w:basedOn w:val="Section1"/>
    <w:rsid w:val="00073646"/>
    <w:rPr>
      <w:b w:val="0"/>
    </w:rPr>
  </w:style>
  <w:style w:type="paragraph" w:customStyle="1" w:styleId="Agendaitem">
    <w:name w:val="Agenda_item"/>
    <w:basedOn w:val="Normal"/>
    <w:next w:val="Normal"/>
    <w:qFormat/>
    <w:rsid w:val="000736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7364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7364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73646"/>
  </w:style>
  <w:style w:type="paragraph" w:customStyle="1" w:styleId="Committee">
    <w:name w:val="Committee"/>
    <w:basedOn w:val="Normal"/>
    <w:qFormat/>
    <w:rsid w:val="0007364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rsid w:val="00073646"/>
    <w:rPr>
      <w:noProof/>
      <w:sz w:val="18"/>
      <w:lang w:val="fr-FR" w:eastAsia="en-US"/>
    </w:rPr>
  </w:style>
  <w:style w:type="character" w:customStyle="1" w:styleId="FootnoteTextChar">
    <w:name w:val="Footnote Text Char"/>
    <w:basedOn w:val="DefaultParagraphFont"/>
    <w:link w:val="FootnoteText"/>
    <w:uiPriority w:val="99"/>
    <w:rsid w:val="00073646"/>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073646"/>
    <w:rPr>
      <w:sz w:val="24"/>
      <w:lang w:val="fr-FR" w:eastAsia="en-US"/>
    </w:rPr>
  </w:style>
  <w:style w:type="paragraph" w:customStyle="1" w:styleId="Normalend">
    <w:name w:val="Normal_end"/>
    <w:basedOn w:val="Normal"/>
    <w:next w:val="Normal"/>
    <w:qFormat/>
    <w:rsid w:val="0007364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73646"/>
  </w:style>
  <w:style w:type="paragraph" w:customStyle="1" w:styleId="Subsection1">
    <w:name w:val="Subsection_1"/>
    <w:basedOn w:val="Section1"/>
    <w:next w:val="Normalaftertitle0"/>
    <w:qFormat/>
    <w:rsid w:val="00073646"/>
  </w:style>
  <w:style w:type="paragraph" w:customStyle="1" w:styleId="Volumetitle">
    <w:name w:val="Volume_title"/>
    <w:basedOn w:val="Normal"/>
    <w:qFormat/>
    <w:rsid w:val="0007364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rsid w:val="0007364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073646"/>
    <w:rPr>
      <w:rFonts w:ascii="Tahoma" w:hAnsi="Tahoma" w:cs="Tahoma"/>
      <w:sz w:val="16"/>
      <w:szCs w:val="16"/>
      <w:lang w:val="en-GB" w:eastAsia="en-US"/>
    </w:rPr>
  </w:style>
  <w:style w:type="character" w:customStyle="1" w:styleId="Heading1Char">
    <w:name w:val="Heading 1 Char"/>
    <w:basedOn w:val="DefaultParagraphFont"/>
    <w:link w:val="Heading1"/>
    <w:rsid w:val="00073646"/>
    <w:rPr>
      <w:b/>
      <w:sz w:val="24"/>
      <w:lang w:val="fr-FR" w:eastAsia="en-US"/>
    </w:rPr>
  </w:style>
  <w:style w:type="character" w:customStyle="1" w:styleId="Heading2Char">
    <w:name w:val="Heading 2 Char"/>
    <w:basedOn w:val="DefaultParagraphFont"/>
    <w:link w:val="Heading2"/>
    <w:rsid w:val="00073646"/>
    <w:rPr>
      <w:b/>
      <w:sz w:val="24"/>
      <w:lang w:val="fr-FR" w:eastAsia="en-US"/>
    </w:rPr>
  </w:style>
  <w:style w:type="character" w:customStyle="1" w:styleId="Heading3Char">
    <w:name w:val="Heading 3 Char"/>
    <w:basedOn w:val="DefaultParagraphFont"/>
    <w:link w:val="Heading3"/>
    <w:rsid w:val="00073646"/>
    <w:rPr>
      <w:b/>
      <w:sz w:val="24"/>
      <w:lang w:val="fr-FR" w:eastAsia="en-US"/>
    </w:rPr>
  </w:style>
  <w:style w:type="character" w:customStyle="1" w:styleId="enumlev1Char">
    <w:name w:val="enumlev1 Char"/>
    <w:link w:val="enumlev1"/>
    <w:locked/>
    <w:rsid w:val="00073646"/>
    <w:rPr>
      <w:sz w:val="24"/>
      <w:lang w:val="fr-FR" w:eastAsia="en-US"/>
    </w:rPr>
  </w:style>
  <w:style w:type="character" w:customStyle="1" w:styleId="FiguretitleChar">
    <w:name w:val="Figure_title Char"/>
    <w:link w:val="Figuretitle"/>
    <w:locked/>
    <w:rsid w:val="00073646"/>
    <w:rPr>
      <w:rFonts w:ascii="Times New Roman Bold" w:hAnsi="Times New Roman Bold"/>
      <w:b/>
      <w:sz w:val="18"/>
      <w:lang w:val="fr-FR" w:eastAsia="en-US"/>
    </w:rPr>
  </w:style>
  <w:style w:type="character" w:customStyle="1" w:styleId="FigureNoChar">
    <w:name w:val="Figure_No Char"/>
    <w:link w:val="FigureNo"/>
    <w:locked/>
    <w:rsid w:val="00073646"/>
    <w:rPr>
      <w:caps/>
      <w:sz w:val="18"/>
      <w:lang w:val="fr-FR" w:eastAsia="en-US"/>
    </w:rPr>
  </w:style>
  <w:style w:type="character" w:customStyle="1" w:styleId="AnnexNoChar">
    <w:name w:val="Annex_No Char"/>
    <w:link w:val="AnnexNo"/>
    <w:locked/>
    <w:rsid w:val="00073646"/>
    <w:rPr>
      <w:caps/>
      <w:sz w:val="28"/>
      <w:lang w:val="en-GB" w:eastAsia="en-US"/>
    </w:rPr>
  </w:style>
  <w:style w:type="paragraph" w:styleId="ListParagraph">
    <w:name w:val="List Paragraph"/>
    <w:basedOn w:val="Normal"/>
    <w:link w:val="ListParagraphChar"/>
    <w:uiPriority w:val="34"/>
    <w:qFormat/>
    <w:rsid w:val="00073646"/>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IntenseReference">
    <w:name w:val="Intense Reference"/>
    <w:aliases w:val="alinea"/>
    <w:basedOn w:val="DefaultParagraphFont"/>
    <w:uiPriority w:val="32"/>
    <w:qFormat/>
    <w:rsid w:val="00073646"/>
    <w:rPr>
      <w:bCs/>
      <w:color w:val="000000" w:themeColor="text1"/>
      <w:spacing w:val="5"/>
    </w:rPr>
  </w:style>
  <w:style w:type="character" w:customStyle="1" w:styleId="Heading4Char">
    <w:name w:val="Heading 4 Char"/>
    <w:basedOn w:val="DefaultParagraphFont"/>
    <w:link w:val="Heading4"/>
    <w:rsid w:val="00073646"/>
    <w:rPr>
      <w:b/>
      <w:sz w:val="24"/>
      <w:lang w:val="fr-FR" w:eastAsia="en-US"/>
    </w:rPr>
  </w:style>
  <w:style w:type="character" w:customStyle="1" w:styleId="Heading5Char">
    <w:name w:val="Heading 5 Char"/>
    <w:basedOn w:val="DefaultParagraphFont"/>
    <w:link w:val="Heading5"/>
    <w:rsid w:val="00073646"/>
    <w:rPr>
      <w:b/>
      <w:sz w:val="24"/>
      <w:lang w:val="fr-FR" w:eastAsia="en-US"/>
    </w:rPr>
  </w:style>
  <w:style w:type="character" w:customStyle="1" w:styleId="Heading6Char">
    <w:name w:val="Heading 6 Char"/>
    <w:basedOn w:val="DefaultParagraphFont"/>
    <w:link w:val="Heading6"/>
    <w:rsid w:val="00073646"/>
    <w:rPr>
      <w:b/>
      <w:sz w:val="24"/>
      <w:lang w:val="fr-FR" w:eastAsia="en-US"/>
    </w:rPr>
  </w:style>
  <w:style w:type="character" w:customStyle="1" w:styleId="Heading7Char">
    <w:name w:val="Heading 7 Char"/>
    <w:basedOn w:val="DefaultParagraphFont"/>
    <w:link w:val="Heading7"/>
    <w:rsid w:val="00073646"/>
    <w:rPr>
      <w:b/>
      <w:sz w:val="24"/>
      <w:lang w:val="fr-FR" w:eastAsia="en-US"/>
    </w:rPr>
  </w:style>
  <w:style w:type="character" w:customStyle="1" w:styleId="Heading8Char">
    <w:name w:val="Heading 8 Char"/>
    <w:basedOn w:val="DefaultParagraphFont"/>
    <w:link w:val="Heading8"/>
    <w:rsid w:val="00073646"/>
    <w:rPr>
      <w:b/>
      <w:sz w:val="24"/>
      <w:lang w:val="fr-FR" w:eastAsia="en-US"/>
    </w:rPr>
  </w:style>
  <w:style w:type="character" w:customStyle="1" w:styleId="Heading9Char">
    <w:name w:val="Heading 9 Char"/>
    <w:basedOn w:val="DefaultParagraphFont"/>
    <w:link w:val="Heading9"/>
    <w:rsid w:val="00073646"/>
    <w:rPr>
      <w:b/>
      <w:sz w:val="24"/>
      <w:lang w:val="fr-FR" w:eastAsia="en-US"/>
    </w:rPr>
  </w:style>
  <w:style w:type="character" w:customStyle="1" w:styleId="NormalaftertitleChar">
    <w:name w:val="Normal_after_title Char"/>
    <w:link w:val="Normalaftertitle"/>
    <w:locked/>
    <w:rsid w:val="00073646"/>
    <w:rPr>
      <w:sz w:val="24"/>
      <w:lang w:val="fr-FR" w:eastAsia="en-US"/>
    </w:rPr>
  </w:style>
  <w:style w:type="character" w:customStyle="1" w:styleId="EquationlegendChar">
    <w:name w:val="Equation_legend Char"/>
    <w:link w:val="Equationlegend"/>
    <w:locked/>
    <w:rsid w:val="00073646"/>
    <w:rPr>
      <w:sz w:val="24"/>
      <w:lang w:eastAsia="en-US"/>
    </w:rPr>
  </w:style>
  <w:style w:type="character" w:customStyle="1" w:styleId="TabletextChar">
    <w:name w:val="Table_text Char"/>
    <w:link w:val="Tabletext"/>
    <w:locked/>
    <w:rsid w:val="00073646"/>
    <w:rPr>
      <w:sz w:val="22"/>
      <w:lang w:val="fr-FR" w:eastAsia="en-US"/>
    </w:rPr>
  </w:style>
  <w:style w:type="character" w:customStyle="1" w:styleId="TabletitleChar">
    <w:name w:val="Table_title Char"/>
    <w:link w:val="Tabletitle"/>
    <w:locked/>
    <w:rsid w:val="00073646"/>
    <w:rPr>
      <w:b/>
      <w:sz w:val="24"/>
      <w:lang w:val="fr-FR" w:eastAsia="en-US"/>
    </w:rPr>
  </w:style>
  <w:style w:type="character" w:customStyle="1" w:styleId="SourceChar">
    <w:name w:val="Source Char"/>
    <w:link w:val="Source"/>
    <w:locked/>
    <w:rsid w:val="00073646"/>
    <w:rPr>
      <w:b/>
      <w:sz w:val="28"/>
      <w:lang w:val="en-GB" w:eastAsia="en-US"/>
    </w:rPr>
  </w:style>
  <w:style w:type="character" w:customStyle="1" w:styleId="TablelegendChar">
    <w:name w:val="Table_legend Char"/>
    <w:link w:val="Tablelegend"/>
    <w:locked/>
    <w:rsid w:val="00073646"/>
    <w:rPr>
      <w:sz w:val="22"/>
      <w:lang w:val="fr-FR" w:eastAsia="en-US"/>
    </w:rPr>
  </w:style>
  <w:style w:type="character" w:customStyle="1" w:styleId="TableNoChar">
    <w:name w:val="Table_No Char"/>
    <w:link w:val="TableNo"/>
    <w:locked/>
    <w:rsid w:val="00073646"/>
    <w:rPr>
      <w:sz w:val="24"/>
      <w:lang w:val="fr-FR" w:eastAsia="en-US"/>
    </w:rPr>
  </w:style>
  <w:style w:type="character" w:customStyle="1" w:styleId="Title1Char">
    <w:name w:val="Title 1 Char"/>
    <w:link w:val="Title1"/>
    <w:locked/>
    <w:rsid w:val="00073646"/>
    <w:rPr>
      <w:caps/>
      <w:sz w:val="28"/>
      <w:lang w:val="en-GB" w:eastAsia="en-US"/>
    </w:rPr>
  </w:style>
  <w:style w:type="character" w:customStyle="1" w:styleId="HeadingbChar">
    <w:name w:val="Heading_b Char"/>
    <w:link w:val="Headingb"/>
    <w:locked/>
    <w:rsid w:val="00073646"/>
    <w:rPr>
      <w:b/>
      <w:sz w:val="24"/>
      <w:lang w:val="fr-FR" w:eastAsia="en-US"/>
    </w:rPr>
  </w:style>
  <w:style w:type="table" w:styleId="TableGrid">
    <w:name w:val="Table Grid"/>
    <w:basedOn w:val="TableNormal"/>
    <w:uiPriority w:val="59"/>
    <w:rsid w:val="00073646"/>
    <w:pPr>
      <w:tabs>
        <w:tab w:val="left" w:pos="1134"/>
        <w:tab w:val="left" w:pos="1871"/>
        <w:tab w:val="left" w:pos="2268"/>
      </w:tabs>
      <w:overflowPunct w:val="0"/>
      <w:autoSpaceDE w:val="0"/>
      <w:autoSpaceDN w:val="0"/>
      <w:adjustRightInd w:val="0"/>
      <w:spacing w:before="120"/>
      <w:textAlignment w:val="baseline"/>
    </w:pPr>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073646"/>
    <w:rPr>
      <w:sz w:val="24"/>
      <w:lang w:val="fr-FR" w:eastAsia="en-US"/>
    </w:rPr>
  </w:style>
  <w:style w:type="character" w:customStyle="1" w:styleId="HeaderChar1">
    <w:name w:val="Header Char1"/>
    <w:aliases w:val="encabezado Char1,he Char1,header odd Char1,header odd1 Char1,header odd2 Char1,header odd3 Char1,header odd4 Char1,header odd5 Char1,header odd6 Char1,header1 Char1,header2 Char1,header3 Char1,header odd11 Char1,header odd21 Char1,h Char1"/>
    <w:basedOn w:val="DefaultParagraphFont"/>
    <w:uiPriority w:val="99"/>
    <w:semiHidden/>
    <w:rsid w:val="00073646"/>
    <w:rPr>
      <w:rFonts w:ascii="Times New Roman" w:eastAsia="Times New Roman" w:hAnsi="Times New Roman" w:cs="Times New Roman"/>
      <w:sz w:val="24"/>
      <w:szCs w:val="20"/>
      <w:lang w:val="fr-FR"/>
    </w:rPr>
  </w:style>
  <w:style w:type="paragraph" w:customStyle="1" w:styleId="RecTitle1">
    <w:name w:val="Rec_Title"/>
    <w:basedOn w:val="Normal"/>
    <w:next w:val="Normal"/>
    <w:uiPriority w:val="99"/>
    <w:rsid w:val="00073646"/>
    <w:pPr>
      <w:keepNext/>
      <w:keepLines/>
      <w:tabs>
        <w:tab w:val="clear" w:pos="794"/>
        <w:tab w:val="clear" w:pos="1191"/>
        <w:tab w:val="clear" w:pos="1588"/>
        <w:tab w:val="clear" w:pos="1985"/>
        <w:tab w:val="center" w:pos="4849"/>
        <w:tab w:val="right" w:pos="9696"/>
      </w:tabs>
      <w:spacing w:before="180"/>
      <w:jc w:val="center"/>
      <w:textAlignment w:val="auto"/>
    </w:pPr>
    <w:rPr>
      <w:b/>
      <w:sz w:val="20"/>
      <w:lang w:val="en-GB"/>
    </w:rPr>
  </w:style>
  <w:style w:type="character" w:customStyle="1" w:styleId="RecNoChar">
    <w:name w:val="Rec_No Char"/>
    <w:link w:val="RecNo"/>
    <w:locked/>
    <w:rsid w:val="00073646"/>
    <w:rPr>
      <w:sz w:val="28"/>
      <w:lang w:val="fr-FR" w:eastAsia="en-US"/>
    </w:rPr>
  </w:style>
  <w:style w:type="character" w:customStyle="1" w:styleId="Rectitle0">
    <w:name w:val="Rec_title Знак"/>
    <w:link w:val="Rectitle"/>
    <w:locked/>
    <w:rsid w:val="00073646"/>
    <w:rPr>
      <w:b/>
      <w:sz w:val="28"/>
      <w:lang w:val="fr-FR" w:eastAsia="en-US"/>
    </w:rPr>
  </w:style>
  <w:style w:type="paragraph" w:styleId="NoSpacing">
    <w:name w:val="No Spacing"/>
    <w:uiPriority w:val="1"/>
    <w:qFormat/>
    <w:rsid w:val="00073646"/>
    <w:pPr>
      <w:tabs>
        <w:tab w:val="left" w:pos="1134"/>
        <w:tab w:val="left" w:pos="1871"/>
        <w:tab w:val="left" w:pos="2268"/>
      </w:tabs>
      <w:overflowPunct w:val="0"/>
      <w:autoSpaceDE w:val="0"/>
      <w:autoSpaceDN w:val="0"/>
      <w:adjustRightInd w:val="0"/>
      <w:textAlignment w:val="baseline"/>
    </w:pPr>
    <w:rPr>
      <w:sz w:val="24"/>
      <w:lang w:val="en-GB" w:eastAsia="en-US"/>
    </w:rPr>
  </w:style>
  <w:style w:type="paragraph" w:customStyle="1" w:styleId="Annex">
    <w:name w:val="Annex_#"/>
    <w:basedOn w:val="Normal"/>
    <w:next w:val="Normal"/>
    <w:uiPriority w:val="99"/>
    <w:rsid w:val="00073646"/>
    <w:pPr>
      <w:tabs>
        <w:tab w:val="clear" w:pos="794"/>
        <w:tab w:val="clear" w:pos="1191"/>
        <w:tab w:val="clear" w:pos="1588"/>
        <w:tab w:val="clear" w:pos="1985"/>
        <w:tab w:val="center" w:pos="4849"/>
        <w:tab w:val="right" w:pos="9696"/>
      </w:tabs>
      <w:spacing w:before="720" w:after="68"/>
      <w:jc w:val="center"/>
      <w:textAlignment w:val="auto"/>
    </w:pPr>
    <w:rPr>
      <w:sz w:val="20"/>
      <w:lang w:val="en-GB"/>
    </w:rPr>
  </w:style>
  <w:style w:type="paragraph" w:customStyle="1" w:styleId="AnnexTitle0">
    <w:name w:val="Annex_Title"/>
    <w:basedOn w:val="Normal"/>
    <w:next w:val="Normal"/>
    <w:uiPriority w:val="99"/>
    <w:rsid w:val="00073646"/>
    <w:pPr>
      <w:tabs>
        <w:tab w:val="clear" w:pos="794"/>
        <w:tab w:val="clear" w:pos="1191"/>
        <w:tab w:val="clear" w:pos="1588"/>
        <w:tab w:val="clear" w:pos="1985"/>
        <w:tab w:val="left" w:pos="4849"/>
        <w:tab w:val="right" w:pos="9696"/>
      </w:tabs>
      <w:spacing w:before="136" w:after="200"/>
      <w:jc w:val="center"/>
      <w:textAlignment w:val="auto"/>
    </w:pPr>
    <w:rPr>
      <w:b/>
      <w:lang w:val="en-GB"/>
    </w:rPr>
  </w:style>
  <w:style w:type="paragraph" w:customStyle="1" w:styleId="Rec">
    <w:name w:val="Rec_#"/>
    <w:basedOn w:val="Normal"/>
    <w:next w:val="RecTitle1"/>
    <w:uiPriority w:val="99"/>
    <w:rsid w:val="00073646"/>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1"/>
    <w:next w:val="RecTitleDate"/>
    <w:uiPriority w:val="99"/>
    <w:rsid w:val="00073646"/>
    <w:pPr>
      <w:spacing w:before="136"/>
    </w:pPr>
    <w:rPr>
      <w:b w:val="0"/>
    </w:rPr>
  </w:style>
  <w:style w:type="paragraph" w:customStyle="1" w:styleId="call0">
    <w:name w:val="call"/>
    <w:basedOn w:val="Normal"/>
    <w:next w:val="Normal"/>
    <w:uiPriority w:val="99"/>
    <w:rsid w:val="00073646"/>
    <w:pPr>
      <w:keepNext/>
      <w:keepLines/>
      <w:tabs>
        <w:tab w:val="clear" w:pos="1191"/>
        <w:tab w:val="clear" w:pos="1588"/>
        <w:tab w:val="clear" w:pos="1985"/>
      </w:tabs>
      <w:spacing w:before="227"/>
      <w:ind w:left="794"/>
      <w:jc w:val="left"/>
      <w:textAlignment w:val="auto"/>
    </w:pPr>
    <w:rPr>
      <w:i/>
      <w:sz w:val="20"/>
      <w:lang w:val="en-GB"/>
    </w:rPr>
  </w:style>
  <w:style w:type="paragraph" w:customStyle="1" w:styleId="RecTitleDate">
    <w:name w:val="Rec_Title/Date"/>
    <w:basedOn w:val="RecTitleRef"/>
    <w:next w:val="headfoot"/>
    <w:uiPriority w:val="99"/>
    <w:rsid w:val="00073646"/>
    <w:pPr>
      <w:tabs>
        <w:tab w:val="clear" w:pos="4849"/>
      </w:tabs>
      <w:jc w:val="right"/>
    </w:pPr>
  </w:style>
  <w:style w:type="paragraph" w:customStyle="1" w:styleId="headfoot">
    <w:name w:val="head_foot"/>
    <w:basedOn w:val="Normal"/>
    <w:next w:val="Normal"/>
    <w:uiPriority w:val="99"/>
    <w:rsid w:val="00073646"/>
    <w:pPr>
      <w:tabs>
        <w:tab w:val="clear" w:pos="794"/>
        <w:tab w:val="clear" w:pos="1191"/>
        <w:tab w:val="clear" w:pos="1588"/>
        <w:tab w:val="clear" w:pos="1985"/>
      </w:tabs>
      <w:spacing w:before="0"/>
      <w:textAlignment w:val="auto"/>
    </w:pPr>
    <w:rPr>
      <w:b/>
      <w:color w:val="FFFFFF"/>
      <w:sz w:val="8"/>
      <w:lang w:val="en-GB"/>
    </w:rPr>
  </w:style>
  <w:style w:type="paragraph" w:customStyle="1" w:styleId="CCI">
    <w:name w:val="CCI"/>
    <w:basedOn w:val="Normal"/>
    <w:next w:val="call0"/>
    <w:uiPriority w:val="99"/>
    <w:rsid w:val="00073646"/>
    <w:pPr>
      <w:keepNext/>
      <w:keepLines/>
      <w:tabs>
        <w:tab w:val="clear" w:pos="794"/>
        <w:tab w:val="clear" w:pos="1191"/>
        <w:tab w:val="clear" w:pos="1588"/>
        <w:tab w:val="clear" w:pos="1985"/>
      </w:tabs>
      <w:spacing w:before="199"/>
      <w:textAlignment w:val="auto"/>
    </w:pPr>
    <w:rPr>
      <w:sz w:val="20"/>
      <w:lang w:val="en-GB"/>
    </w:rPr>
  </w:style>
  <w:style w:type="character" w:customStyle="1" w:styleId="CallChar">
    <w:name w:val="Call Char"/>
    <w:link w:val="Call"/>
    <w:locked/>
    <w:rsid w:val="00073646"/>
    <w:rPr>
      <w:i/>
      <w:sz w:val="24"/>
      <w:lang w:val="fr-FR" w:eastAsia="en-US"/>
    </w:rPr>
  </w:style>
  <w:style w:type="paragraph" w:styleId="NormalWeb">
    <w:name w:val="Normal (Web)"/>
    <w:basedOn w:val="Normal"/>
    <w:link w:val="NormalWebChar"/>
    <w:uiPriority w:val="99"/>
    <w:rsid w:val="00073646"/>
    <w:pPr>
      <w:widowControl w:val="0"/>
      <w:tabs>
        <w:tab w:val="clear" w:pos="794"/>
        <w:tab w:val="clear" w:pos="1191"/>
        <w:tab w:val="clear" w:pos="1588"/>
        <w:tab w:val="clear" w:pos="1985"/>
      </w:tabs>
      <w:overflowPunct/>
      <w:spacing w:before="0"/>
      <w:jc w:val="left"/>
      <w:textAlignment w:val="auto"/>
    </w:pPr>
    <w:rPr>
      <w:noProof/>
      <w:szCs w:val="24"/>
      <w:lang w:val="en-US"/>
    </w:rPr>
  </w:style>
  <w:style w:type="character" w:customStyle="1" w:styleId="NormalWebChar">
    <w:name w:val="Normal (Web) Char"/>
    <w:basedOn w:val="DefaultParagraphFont"/>
    <w:link w:val="NormalWeb"/>
    <w:uiPriority w:val="99"/>
    <w:rsid w:val="00073646"/>
    <w:rPr>
      <w:noProof/>
      <w:sz w:val="24"/>
      <w:szCs w:val="24"/>
      <w:lang w:eastAsia="en-US"/>
    </w:rPr>
  </w:style>
  <w:style w:type="paragraph" w:styleId="BodyTextIndent3">
    <w:name w:val="Body Text Indent 3"/>
    <w:basedOn w:val="Normal"/>
    <w:link w:val="BodyTextIndent3Char"/>
    <w:uiPriority w:val="99"/>
    <w:rsid w:val="00073646"/>
    <w:pPr>
      <w:tabs>
        <w:tab w:val="clear" w:pos="794"/>
        <w:tab w:val="clear" w:pos="1191"/>
        <w:tab w:val="clear" w:pos="1588"/>
        <w:tab w:val="clear" w:pos="1985"/>
      </w:tabs>
      <w:overflowPunct/>
      <w:autoSpaceDE/>
      <w:autoSpaceDN/>
      <w:adjustRightInd/>
      <w:spacing w:before="0"/>
      <w:ind w:left="720"/>
      <w:jc w:val="center"/>
      <w:textAlignment w:val="auto"/>
    </w:pPr>
    <w:rPr>
      <w:bCs/>
      <w:color w:val="000000"/>
      <w:szCs w:val="24"/>
      <w:lang w:val="en-US"/>
    </w:rPr>
  </w:style>
  <w:style w:type="character" w:customStyle="1" w:styleId="BodyTextIndent3Char">
    <w:name w:val="Body Text Indent 3 Char"/>
    <w:basedOn w:val="DefaultParagraphFont"/>
    <w:link w:val="BodyTextIndent3"/>
    <w:uiPriority w:val="99"/>
    <w:rsid w:val="00073646"/>
    <w:rPr>
      <w:bCs/>
      <w:color w:val="000000"/>
      <w:sz w:val="24"/>
      <w:szCs w:val="24"/>
      <w:lang w:eastAsia="en-US"/>
    </w:rPr>
  </w:style>
  <w:style w:type="paragraph" w:customStyle="1" w:styleId="CM39">
    <w:name w:val="CM39"/>
    <w:basedOn w:val="Normal"/>
    <w:next w:val="Normal"/>
    <w:uiPriority w:val="99"/>
    <w:rsid w:val="00073646"/>
    <w:pPr>
      <w:widowControl w:val="0"/>
      <w:tabs>
        <w:tab w:val="clear" w:pos="794"/>
        <w:tab w:val="clear" w:pos="1191"/>
        <w:tab w:val="clear" w:pos="1588"/>
        <w:tab w:val="clear" w:pos="1985"/>
      </w:tabs>
      <w:overflowPunct/>
      <w:spacing w:before="0" w:after="288"/>
      <w:ind w:firstLine="720"/>
      <w:jc w:val="left"/>
      <w:textAlignment w:val="auto"/>
    </w:pPr>
    <w:rPr>
      <w:rFonts w:ascii="Times New Roman MT" w:eastAsiaTheme="minorEastAsia" w:hAnsi="Times New Roman MT" w:cstheme="minorBidi"/>
      <w:szCs w:val="24"/>
      <w:lang w:val="en-US"/>
    </w:rPr>
  </w:style>
  <w:style w:type="character" w:styleId="HTMLAcronym">
    <w:name w:val="HTML Acronym"/>
    <w:basedOn w:val="DefaultParagraphFont"/>
    <w:uiPriority w:val="99"/>
    <w:unhideWhenUsed/>
    <w:rsid w:val="00073646"/>
  </w:style>
  <w:style w:type="character" w:customStyle="1" w:styleId="nowrap1">
    <w:name w:val="nowrap1"/>
    <w:basedOn w:val="DefaultParagraphFont"/>
    <w:rsid w:val="00073646"/>
  </w:style>
  <w:style w:type="paragraph" w:styleId="DocumentMap">
    <w:name w:val="Document Map"/>
    <w:basedOn w:val="Normal"/>
    <w:link w:val="DocumentMapChar"/>
    <w:uiPriority w:val="99"/>
    <w:unhideWhenUsed/>
    <w:rsid w:val="00073646"/>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US"/>
    </w:rPr>
  </w:style>
  <w:style w:type="character" w:customStyle="1" w:styleId="DocumentMapChar">
    <w:name w:val="Document Map Char"/>
    <w:basedOn w:val="DefaultParagraphFont"/>
    <w:link w:val="DocumentMap"/>
    <w:uiPriority w:val="99"/>
    <w:rsid w:val="00073646"/>
    <w:rPr>
      <w:rFonts w:ascii="Tahoma" w:eastAsiaTheme="minorHAnsi" w:hAnsi="Tahoma" w:cs="Tahoma"/>
      <w:sz w:val="16"/>
      <w:szCs w:val="16"/>
      <w:lang w:eastAsia="en-US"/>
    </w:rPr>
  </w:style>
  <w:style w:type="character" w:customStyle="1" w:styleId="ListParagraphChar">
    <w:name w:val="List Paragraph Char"/>
    <w:link w:val="ListParagraph"/>
    <w:uiPriority w:val="34"/>
    <w:rsid w:val="00073646"/>
    <w:rPr>
      <w:sz w:val="24"/>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uiPriority w:val="35"/>
    <w:qFormat/>
    <w:rsid w:val="00073646"/>
    <w:pPr>
      <w:keepNext/>
      <w:tabs>
        <w:tab w:val="clear" w:pos="794"/>
        <w:tab w:val="clear" w:pos="1191"/>
        <w:tab w:val="clear" w:pos="1588"/>
        <w:tab w:val="clear" w:pos="1985"/>
      </w:tabs>
      <w:overflowPunct/>
      <w:autoSpaceDE/>
      <w:autoSpaceDN/>
      <w:adjustRightInd/>
      <w:spacing w:after="120"/>
      <w:jc w:val="center"/>
      <w:textAlignment w:val="auto"/>
    </w:pPr>
    <w:rPr>
      <w:b/>
      <w:bCs/>
      <w:lang w:val="en-US"/>
    </w:rPr>
  </w:style>
  <w:style w:type="paragraph" w:customStyle="1" w:styleId="Tables">
    <w:name w:val="Tables"/>
    <w:basedOn w:val="Normal"/>
    <w:link w:val="TablesChar"/>
    <w:qFormat/>
    <w:rsid w:val="00073646"/>
    <w:pPr>
      <w:tabs>
        <w:tab w:val="clear" w:pos="794"/>
        <w:tab w:val="clear" w:pos="1191"/>
        <w:tab w:val="clear" w:pos="1588"/>
        <w:tab w:val="clear" w:pos="1985"/>
      </w:tabs>
      <w:overflowPunct/>
      <w:autoSpaceDE/>
      <w:autoSpaceDN/>
      <w:adjustRightInd/>
      <w:spacing w:before="0"/>
      <w:jc w:val="left"/>
      <w:textAlignment w:val="auto"/>
    </w:pPr>
    <w:rPr>
      <w:rFonts w:eastAsia="Batang"/>
      <w:sz w:val="20"/>
      <w:lang w:val="en-US"/>
    </w:rPr>
  </w:style>
  <w:style w:type="character" w:customStyle="1" w:styleId="TablesChar">
    <w:name w:val="Tables Char"/>
    <w:basedOn w:val="DefaultParagraphFont"/>
    <w:link w:val="Tables"/>
    <w:rsid w:val="00073646"/>
    <w:rPr>
      <w:rFonts w:eastAsia="Batang"/>
      <w:lang w:eastAsia="en-US"/>
    </w:rPr>
  </w:style>
  <w:style w:type="paragraph" w:styleId="EndnoteText">
    <w:name w:val="endnote text"/>
    <w:basedOn w:val="Normal"/>
    <w:link w:val="EndnoteTextChar"/>
    <w:uiPriority w:val="99"/>
    <w:unhideWhenUsed/>
    <w:rsid w:val="00073646"/>
    <w:pPr>
      <w:tabs>
        <w:tab w:val="clear" w:pos="794"/>
        <w:tab w:val="clear" w:pos="1191"/>
        <w:tab w:val="clear" w:pos="1588"/>
        <w:tab w:val="clear" w:pos="1985"/>
      </w:tabs>
      <w:overflowPunct/>
      <w:autoSpaceDE/>
      <w:autoSpaceDN/>
      <w:adjustRightInd/>
      <w:spacing w:before="0"/>
      <w:ind w:firstLine="720"/>
      <w:jc w:val="left"/>
      <w:textAlignment w:val="auto"/>
    </w:pPr>
    <w:rPr>
      <w:rFonts w:eastAsia="Batang"/>
      <w:sz w:val="20"/>
      <w:lang w:val="en-US"/>
    </w:rPr>
  </w:style>
  <w:style w:type="character" w:customStyle="1" w:styleId="EndnoteTextChar">
    <w:name w:val="Endnote Text Char"/>
    <w:basedOn w:val="DefaultParagraphFont"/>
    <w:link w:val="EndnoteText"/>
    <w:uiPriority w:val="99"/>
    <w:rsid w:val="00073646"/>
    <w:rPr>
      <w:rFonts w:eastAsia="Batang"/>
      <w:lang w:eastAsia="en-US"/>
    </w:rPr>
  </w:style>
  <w:style w:type="paragraph" w:customStyle="1" w:styleId="indent1">
    <w:name w:val="indent1"/>
    <w:basedOn w:val="Normal"/>
    <w:uiPriority w:val="99"/>
    <w:rsid w:val="0007364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qFormat/>
    <w:rsid w:val="00073646"/>
    <w:rPr>
      <w:i/>
      <w:iCs/>
    </w:rPr>
  </w:style>
  <w:style w:type="paragraph" w:customStyle="1" w:styleId="Default">
    <w:name w:val="Default"/>
    <w:uiPriority w:val="99"/>
    <w:rsid w:val="00073646"/>
    <w:pPr>
      <w:autoSpaceDE w:val="0"/>
      <w:autoSpaceDN w:val="0"/>
      <w:adjustRightInd w:val="0"/>
    </w:pPr>
    <w:rPr>
      <w:rFonts w:ascii="Calibri" w:eastAsiaTheme="minorHAnsi" w:hAnsi="Calibri" w:cs="Calibri"/>
      <w:color w:val="000000"/>
      <w:sz w:val="24"/>
      <w:szCs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uiPriority w:val="35"/>
    <w:rsid w:val="00073646"/>
    <w:rPr>
      <w:b/>
      <w:bCs/>
      <w:sz w:val="24"/>
      <w:lang w:eastAsia="en-US"/>
    </w:rPr>
  </w:style>
  <w:style w:type="character" w:customStyle="1" w:styleId="st1">
    <w:name w:val="st1"/>
    <w:basedOn w:val="DefaultParagraphFont"/>
    <w:rsid w:val="00073646"/>
  </w:style>
  <w:style w:type="paragraph" w:customStyle="1" w:styleId="MTDisplayEquation">
    <w:name w:val="MTDisplayEquation"/>
    <w:basedOn w:val="Normal"/>
    <w:next w:val="Normal"/>
    <w:link w:val="MTDisplayEquationChar"/>
    <w:rsid w:val="00073646"/>
    <w:pPr>
      <w:tabs>
        <w:tab w:val="clear" w:pos="794"/>
        <w:tab w:val="clear" w:pos="1191"/>
        <w:tab w:val="clear" w:pos="1588"/>
        <w:tab w:val="clear" w:pos="1985"/>
        <w:tab w:val="center" w:pos="4320"/>
        <w:tab w:val="right" w:pos="8640"/>
      </w:tabs>
      <w:overflowPunct/>
      <w:autoSpaceDE/>
      <w:autoSpaceDN/>
      <w:adjustRightInd/>
      <w:spacing w:before="0"/>
      <w:ind w:firstLine="720"/>
      <w:jc w:val="left"/>
      <w:textAlignment w:val="auto"/>
    </w:pPr>
    <w:rPr>
      <w:rFonts w:eastAsia="MS Mincho"/>
      <w:szCs w:val="24"/>
      <w:lang w:val="en-US" w:eastAsia="ja-JP"/>
    </w:rPr>
  </w:style>
  <w:style w:type="character" w:customStyle="1" w:styleId="MTDisplayEquationChar">
    <w:name w:val="MTDisplayEquation Char"/>
    <w:basedOn w:val="DefaultParagraphFont"/>
    <w:link w:val="MTDisplayEquation"/>
    <w:rsid w:val="00073646"/>
    <w:rPr>
      <w:rFonts w:eastAsia="MS Mincho"/>
      <w:sz w:val="24"/>
      <w:szCs w:val="24"/>
      <w:lang w:eastAsia="ja-JP"/>
    </w:rPr>
  </w:style>
  <w:style w:type="paragraph" w:customStyle="1" w:styleId="CoverTitle">
    <w:name w:val="Cover: Title"/>
    <w:basedOn w:val="Title"/>
    <w:link w:val="CoverTitleChar"/>
    <w:qFormat/>
    <w:rsid w:val="00073646"/>
    <w:pPr>
      <w:pBdr>
        <w:bottom w:val="none" w:sz="0" w:space="0" w:color="auto"/>
      </w:pBdr>
      <w:spacing w:before="960" w:after="0"/>
      <w:jc w:val="right"/>
    </w:pPr>
    <w:rPr>
      <w:rFonts w:ascii="Arial" w:hAnsi="Arial" w:cs="Arial"/>
      <w:b/>
      <w:color w:val="auto"/>
      <w:spacing w:val="0"/>
      <w:sz w:val="48"/>
      <w:szCs w:val="48"/>
    </w:rPr>
  </w:style>
  <w:style w:type="character" w:customStyle="1" w:styleId="CoverTitleChar">
    <w:name w:val="Cover: Title Char"/>
    <w:basedOn w:val="DefaultParagraphFont"/>
    <w:link w:val="CoverTitle"/>
    <w:rsid w:val="00073646"/>
    <w:rPr>
      <w:rFonts w:ascii="Arial" w:eastAsiaTheme="majorEastAsia" w:hAnsi="Arial" w:cs="Arial"/>
      <w:b/>
      <w:kern w:val="28"/>
      <w:sz w:val="48"/>
      <w:szCs w:val="48"/>
      <w:lang w:eastAsia="en-US"/>
    </w:rPr>
  </w:style>
  <w:style w:type="paragraph" w:styleId="Title">
    <w:name w:val="Title"/>
    <w:basedOn w:val="Normal"/>
    <w:next w:val="Normal"/>
    <w:link w:val="TitleChar"/>
    <w:uiPriority w:val="10"/>
    <w:qFormat/>
    <w:rsid w:val="00073646"/>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07364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ppendix2">
    <w:name w:val="Appendix 2"/>
    <w:basedOn w:val="Normal"/>
    <w:next w:val="Normal"/>
    <w:link w:val="Appendix2Char"/>
    <w:qFormat/>
    <w:rsid w:val="00073646"/>
    <w:pPr>
      <w:tabs>
        <w:tab w:val="clear" w:pos="794"/>
        <w:tab w:val="clear" w:pos="1191"/>
        <w:tab w:val="clear" w:pos="1588"/>
        <w:tab w:val="clear" w:pos="1985"/>
        <w:tab w:val="left" w:pos="720"/>
      </w:tabs>
      <w:overflowPunct/>
      <w:autoSpaceDE/>
      <w:autoSpaceDN/>
      <w:adjustRightInd/>
      <w:spacing w:before="240" w:after="60"/>
      <w:ind w:left="936" w:hanging="576"/>
      <w:jc w:val="left"/>
      <w:textAlignment w:val="auto"/>
      <w:outlineLvl w:val="0"/>
    </w:pPr>
    <w:rPr>
      <w:rFonts w:ascii="Arial" w:eastAsiaTheme="majorEastAsia" w:hAnsi="Arial" w:cstheme="majorBidi"/>
      <w:b/>
      <w:bCs/>
      <w:caps/>
      <w:sz w:val="28"/>
      <w:szCs w:val="26"/>
      <w:lang w:val="en-US"/>
    </w:rPr>
  </w:style>
  <w:style w:type="character" w:customStyle="1" w:styleId="Appendix2Char">
    <w:name w:val="Appendix 2 Char"/>
    <w:basedOn w:val="DefaultParagraphFont"/>
    <w:link w:val="Appendix2"/>
    <w:rsid w:val="00073646"/>
    <w:rPr>
      <w:rFonts w:ascii="Arial" w:eastAsiaTheme="majorEastAsia" w:hAnsi="Arial" w:cstheme="majorBidi"/>
      <w:b/>
      <w:bCs/>
      <w:caps/>
      <w:sz w:val="28"/>
      <w:szCs w:val="26"/>
      <w:lang w:eastAsia="en-US"/>
    </w:rPr>
  </w:style>
  <w:style w:type="paragraph" w:customStyle="1" w:styleId="Appendix3">
    <w:name w:val="Appendix 3"/>
    <w:basedOn w:val="Normal"/>
    <w:next w:val="Normal"/>
    <w:uiPriority w:val="99"/>
    <w:qFormat/>
    <w:rsid w:val="00073646"/>
    <w:pPr>
      <w:tabs>
        <w:tab w:val="clear" w:pos="794"/>
        <w:tab w:val="clear" w:pos="1191"/>
        <w:tab w:val="clear" w:pos="1588"/>
        <w:tab w:val="clear" w:pos="1985"/>
        <w:tab w:val="left" w:pos="1080"/>
      </w:tabs>
      <w:overflowPunct/>
      <w:autoSpaceDE/>
      <w:autoSpaceDN/>
      <w:adjustRightInd/>
      <w:spacing w:before="240" w:after="60"/>
      <w:ind w:left="720" w:hanging="720"/>
      <w:jc w:val="left"/>
      <w:textAlignment w:val="auto"/>
      <w:outlineLvl w:val="0"/>
    </w:pPr>
    <w:rPr>
      <w:rFonts w:ascii="Arial" w:eastAsiaTheme="minorEastAsia" w:hAnsi="Arial" w:cstheme="majorBidi"/>
      <w:b/>
      <w:bCs/>
      <w:sz w:val="28"/>
      <w:szCs w:val="22"/>
      <w:lang w:val="en-US"/>
    </w:rPr>
  </w:style>
  <w:style w:type="paragraph" w:customStyle="1" w:styleId="Appendix4">
    <w:name w:val="Appendix 4"/>
    <w:basedOn w:val="Normal"/>
    <w:next w:val="Normal"/>
    <w:uiPriority w:val="99"/>
    <w:qFormat/>
    <w:rsid w:val="00073646"/>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bCs/>
      <w:iCs/>
      <w:sz w:val="28"/>
      <w:szCs w:val="24"/>
      <w:lang w:val="en-US"/>
    </w:rPr>
  </w:style>
  <w:style w:type="paragraph" w:customStyle="1" w:styleId="Appendix5">
    <w:name w:val="Appendix 5"/>
    <w:basedOn w:val="Normal"/>
    <w:next w:val="Normal"/>
    <w:uiPriority w:val="99"/>
    <w:qFormat/>
    <w:rsid w:val="00073646"/>
    <w:pPr>
      <w:tabs>
        <w:tab w:val="clear" w:pos="794"/>
        <w:tab w:val="clear" w:pos="1191"/>
        <w:tab w:val="clear" w:pos="1588"/>
        <w:tab w:val="clear" w:pos="1985"/>
        <w:tab w:val="left" w:pos="1440"/>
      </w:tabs>
      <w:overflowPunct/>
      <w:autoSpaceDE/>
      <w:autoSpaceDN/>
      <w:adjustRightInd/>
      <w:spacing w:before="240" w:after="60"/>
      <w:ind w:left="1440" w:hanging="1440"/>
      <w:jc w:val="left"/>
      <w:textAlignment w:val="auto"/>
      <w:outlineLvl w:val="0"/>
    </w:pPr>
    <w:rPr>
      <w:rFonts w:ascii="Arial" w:eastAsiaTheme="minorEastAsia" w:hAnsi="Arial" w:cstheme="majorBidi"/>
      <w:b/>
      <w:sz w:val="28"/>
      <w:szCs w:val="24"/>
      <w:lang w:val="en-US"/>
    </w:rPr>
  </w:style>
  <w:style w:type="paragraph" w:customStyle="1" w:styleId="Appendix6">
    <w:name w:val="Appendix 6"/>
    <w:basedOn w:val="Normal"/>
    <w:next w:val="Normal"/>
    <w:uiPriority w:val="99"/>
    <w:qFormat/>
    <w:rsid w:val="00073646"/>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7">
    <w:name w:val="Appendix 7"/>
    <w:basedOn w:val="Normal"/>
    <w:next w:val="Normal"/>
    <w:uiPriority w:val="99"/>
    <w:qFormat/>
    <w:rsid w:val="00073646"/>
    <w:pPr>
      <w:tabs>
        <w:tab w:val="clear" w:pos="794"/>
        <w:tab w:val="clear" w:pos="1191"/>
        <w:tab w:val="clear" w:pos="1588"/>
        <w:tab w:val="clear" w:pos="1985"/>
        <w:tab w:val="left" w:pos="1800"/>
      </w:tabs>
      <w:overflowPunct/>
      <w:autoSpaceDE/>
      <w:autoSpaceDN/>
      <w:adjustRightInd/>
      <w:spacing w:before="240" w:after="60"/>
      <w:ind w:left="1800" w:hanging="1800"/>
      <w:jc w:val="left"/>
      <w:textAlignment w:val="auto"/>
      <w:outlineLvl w:val="0"/>
    </w:pPr>
    <w:rPr>
      <w:rFonts w:ascii="Arial" w:eastAsiaTheme="minorEastAsia" w:hAnsi="Arial" w:cstheme="majorBidi"/>
      <w:b/>
      <w:bCs/>
      <w:sz w:val="28"/>
      <w:szCs w:val="26"/>
      <w:lang w:val="en-US"/>
    </w:rPr>
  </w:style>
  <w:style w:type="paragraph" w:customStyle="1" w:styleId="Appendix8">
    <w:name w:val="Appendix 8"/>
    <w:basedOn w:val="Normal"/>
    <w:next w:val="Normal"/>
    <w:uiPriority w:val="99"/>
    <w:qFormat/>
    <w:rsid w:val="00073646"/>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Appendix9">
    <w:name w:val="Appendix 9"/>
    <w:basedOn w:val="Normal"/>
    <w:next w:val="Normal"/>
    <w:uiPriority w:val="99"/>
    <w:qFormat/>
    <w:rsid w:val="00073646"/>
    <w:pPr>
      <w:tabs>
        <w:tab w:val="clear" w:pos="794"/>
        <w:tab w:val="clear" w:pos="1191"/>
        <w:tab w:val="clear" w:pos="1588"/>
        <w:tab w:val="clear" w:pos="1985"/>
        <w:tab w:val="left" w:pos="2160"/>
      </w:tabs>
      <w:overflowPunct/>
      <w:autoSpaceDE/>
      <w:autoSpaceDN/>
      <w:adjustRightInd/>
      <w:spacing w:before="240" w:after="60"/>
      <w:ind w:left="2160" w:hanging="2160"/>
      <w:jc w:val="left"/>
      <w:textAlignment w:val="auto"/>
      <w:outlineLvl w:val="0"/>
    </w:pPr>
    <w:rPr>
      <w:rFonts w:ascii="Arial" w:eastAsiaTheme="minorEastAsia" w:hAnsi="Arial" w:cstheme="majorBidi"/>
      <w:b/>
      <w:bCs/>
      <w:sz w:val="28"/>
      <w:szCs w:val="26"/>
      <w:lang w:val="en-US"/>
    </w:rPr>
  </w:style>
  <w:style w:type="paragraph" w:customStyle="1" w:styleId="Pa1">
    <w:name w:val="Pa1"/>
    <w:basedOn w:val="Normal"/>
    <w:next w:val="Normal"/>
    <w:uiPriority w:val="99"/>
    <w:rsid w:val="00073646"/>
    <w:pPr>
      <w:tabs>
        <w:tab w:val="clear" w:pos="794"/>
        <w:tab w:val="clear" w:pos="1191"/>
        <w:tab w:val="clear" w:pos="1588"/>
        <w:tab w:val="clear" w:pos="1985"/>
      </w:tabs>
      <w:overflowPunct/>
      <w:spacing w:before="0" w:line="241" w:lineRule="atLeast"/>
      <w:jc w:val="left"/>
      <w:textAlignment w:val="auto"/>
    </w:pPr>
    <w:rPr>
      <w:rFonts w:eastAsiaTheme="minorHAnsi"/>
      <w:szCs w:val="24"/>
      <w:lang w:val="en-US"/>
    </w:rPr>
  </w:style>
  <w:style w:type="character" w:customStyle="1" w:styleId="A2">
    <w:name w:val="A2"/>
    <w:uiPriority w:val="99"/>
    <w:rsid w:val="00073646"/>
    <w:rPr>
      <w:color w:val="000000"/>
      <w:sz w:val="20"/>
      <w:szCs w:val="20"/>
    </w:rPr>
  </w:style>
  <w:style w:type="paragraph" w:styleId="BodyText">
    <w:name w:val="Body Text"/>
    <w:basedOn w:val="Normal"/>
    <w:link w:val="BodyTextChar"/>
    <w:uiPriority w:val="99"/>
    <w:unhideWhenUsed/>
    <w:rsid w:val="00073646"/>
    <w:pPr>
      <w:tabs>
        <w:tab w:val="clear" w:pos="794"/>
        <w:tab w:val="clear" w:pos="1191"/>
        <w:tab w:val="clear" w:pos="1588"/>
        <w:tab w:val="clear" w:pos="1985"/>
      </w:tabs>
      <w:overflowPunct/>
      <w:autoSpaceDE/>
      <w:autoSpaceDN/>
      <w:adjustRightInd/>
      <w:spacing w:before="0" w:after="120" w:line="276" w:lineRule="auto"/>
      <w:jc w:val="left"/>
      <w:textAlignment w:val="auto"/>
    </w:pPr>
    <w:rPr>
      <w:rFonts w:eastAsiaTheme="minorHAnsi" w:cstheme="minorBidi"/>
      <w:szCs w:val="22"/>
      <w:lang w:val="en-US"/>
    </w:rPr>
  </w:style>
  <w:style w:type="character" w:customStyle="1" w:styleId="BodyTextChar">
    <w:name w:val="Body Text Char"/>
    <w:basedOn w:val="DefaultParagraphFont"/>
    <w:link w:val="BodyText"/>
    <w:uiPriority w:val="99"/>
    <w:rsid w:val="00073646"/>
    <w:rPr>
      <w:rFonts w:eastAsiaTheme="minorHAnsi" w:cstheme="minorBidi"/>
      <w:sz w:val="24"/>
      <w:szCs w:val="22"/>
      <w:lang w:eastAsia="en-US"/>
    </w:rPr>
  </w:style>
  <w:style w:type="paragraph" w:customStyle="1" w:styleId="MainBody2">
    <w:name w:val="Main Body 2"/>
    <w:next w:val="Normal"/>
    <w:uiPriority w:val="99"/>
    <w:qFormat/>
    <w:rsid w:val="00073646"/>
    <w:pPr>
      <w:tabs>
        <w:tab w:val="num" w:pos="720"/>
      </w:tabs>
      <w:spacing w:before="240" w:after="60"/>
      <w:ind w:left="720" w:hanging="720"/>
      <w:outlineLvl w:val="0"/>
    </w:pPr>
    <w:rPr>
      <w:rFonts w:ascii="Arial" w:eastAsiaTheme="majorEastAsia" w:hAnsi="Arial" w:cstheme="majorBidi"/>
      <w:b/>
      <w:bCs/>
      <w:caps/>
      <w:sz w:val="28"/>
      <w:szCs w:val="26"/>
      <w:lang w:eastAsia="en-US"/>
    </w:rPr>
  </w:style>
  <w:style w:type="paragraph" w:customStyle="1" w:styleId="MainBody3">
    <w:name w:val="Main Body 3"/>
    <w:next w:val="Normal"/>
    <w:link w:val="MainBody3Char"/>
    <w:uiPriority w:val="99"/>
    <w:qFormat/>
    <w:rsid w:val="00073646"/>
    <w:pPr>
      <w:spacing w:before="240" w:after="60"/>
      <w:ind w:left="1080" w:hanging="1080"/>
      <w:outlineLvl w:val="0"/>
    </w:pPr>
    <w:rPr>
      <w:rFonts w:ascii="Arial" w:eastAsiaTheme="minorEastAsia" w:hAnsi="Arial" w:cstheme="majorBidi"/>
      <w:b/>
      <w:bCs/>
      <w:sz w:val="28"/>
      <w:szCs w:val="22"/>
      <w:lang w:eastAsia="en-US"/>
    </w:rPr>
  </w:style>
  <w:style w:type="paragraph" w:customStyle="1" w:styleId="MainBody4">
    <w:name w:val="Main Body 4"/>
    <w:next w:val="Normal"/>
    <w:link w:val="MainBody4Char"/>
    <w:uiPriority w:val="99"/>
    <w:qFormat/>
    <w:rsid w:val="00073646"/>
    <w:pPr>
      <w:spacing w:before="240" w:after="60"/>
      <w:ind w:left="1440" w:hanging="1440"/>
      <w:outlineLvl w:val="0"/>
    </w:pPr>
    <w:rPr>
      <w:rFonts w:ascii="Arial" w:eastAsiaTheme="minorEastAsia" w:hAnsi="Arial" w:cstheme="majorBidi"/>
      <w:b/>
      <w:bCs/>
      <w:iCs/>
      <w:sz w:val="28"/>
      <w:szCs w:val="24"/>
      <w:lang w:eastAsia="en-US"/>
    </w:rPr>
  </w:style>
  <w:style w:type="paragraph" w:customStyle="1" w:styleId="MainBody5">
    <w:name w:val="Main Body 5"/>
    <w:next w:val="Normal"/>
    <w:uiPriority w:val="99"/>
    <w:qFormat/>
    <w:rsid w:val="00073646"/>
    <w:pPr>
      <w:tabs>
        <w:tab w:val="left" w:pos="1440"/>
      </w:tabs>
      <w:spacing w:before="240" w:after="60"/>
      <w:ind w:left="1440" w:hanging="1440"/>
      <w:outlineLvl w:val="0"/>
    </w:pPr>
    <w:rPr>
      <w:rFonts w:ascii="Arial" w:eastAsiaTheme="minorEastAsia" w:hAnsi="Arial" w:cstheme="majorBidi"/>
      <w:b/>
      <w:sz w:val="28"/>
      <w:szCs w:val="24"/>
      <w:lang w:eastAsia="en-US"/>
    </w:rPr>
  </w:style>
  <w:style w:type="paragraph" w:customStyle="1" w:styleId="MainBody6">
    <w:name w:val="Main Body 6"/>
    <w:next w:val="Normal"/>
    <w:uiPriority w:val="99"/>
    <w:qFormat/>
    <w:rsid w:val="00073646"/>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7">
    <w:name w:val="Main Body 7"/>
    <w:next w:val="Normal"/>
    <w:uiPriority w:val="99"/>
    <w:qFormat/>
    <w:rsid w:val="00073646"/>
    <w:pPr>
      <w:tabs>
        <w:tab w:val="left" w:pos="1800"/>
      </w:tabs>
      <w:spacing w:before="240" w:after="60"/>
      <w:ind w:left="1800" w:hanging="1800"/>
      <w:outlineLvl w:val="0"/>
    </w:pPr>
    <w:rPr>
      <w:rFonts w:ascii="Arial" w:eastAsiaTheme="minorEastAsia" w:hAnsi="Arial" w:cstheme="majorBidi"/>
      <w:b/>
      <w:bCs/>
      <w:sz w:val="28"/>
      <w:szCs w:val="26"/>
      <w:lang w:eastAsia="en-US"/>
    </w:rPr>
  </w:style>
  <w:style w:type="paragraph" w:customStyle="1" w:styleId="MainBody8">
    <w:name w:val="Main Body 8"/>
    <w:next w:val="Normal"/>
    <w:uiPriority w:val="99"/>
    <w:qFormat/>
    <w:rsid w:val="00073646"/>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paragraph" w:customStyle="1" w:styleId="MainBody9">
    <w:name w:val="Main Body 9"/>
    <w:next w:val="Normal"/>
    <w:uiPriority w:val="99"/>
    <w:qFormat/>
    <w:rsid w:val="00073646"/>
    <w:pPr>
      <w:tabs>
        <w:tab w:val="left" w:pos="2160"/>
      </w:tabs>
      <w:spacing w:before="240" w:after="60"/>
      <w:ind w:left="2160" w:hanging="2160"/>
      <w:outlineLvl w:val="0"/>
    </w:pPr>
    <w:rPr>
      <w:rFonts w:ascii="Arial" w:eastAsiaTheme="minorEastAsia" w:hAnsi="Arial" w:cstheme="majorBidi"/>
      <w:b/>
      <w:bCs/>
      <w:sz w:val="28"/>
      <w:szCs w:val="26"/>
      <w:lang w:eastAsia="en-US"/>
    </w:rPr>
  </w:style>
  <w:style w:type="character" w:customStyle="1" w:styleId="MainBody3Char">
    <w:name w:val="Main Body 3 Char"/>
    <w:basedOn w:val="DefaultParagraphFont"/>
    <w:link w:val="MainBody3"/>
    <w:uiPriority w:val="99"/>
    <w:rsid w:val="00073646"/>
    <w:rPr>
      <w:rFonts w:ascii="Arial" w:eastAsiaTheme="minorEastAsia" w:hAnsi="Arial" w:cstheme="majorBidi"/>
      <w:b/>
      <w:bCs/>
      <w:sz w:val="28"/>
      <w:szCs w:val="22"/>
      <w:lang w:eastAsia="en-US"/>
    </w:rPr>
  </w:style>
  <w:style w:type="character" w:customStyle="1" w:styleId="MainBody4Char">
    <w:name w:val="Main Body 4 Char"/>
    <w:basedOn w:val="DefaultParagraphFont"/>
    <w:link w:val="MainBody4"/>
    <w:uiPriority w:val="99"/>
    <w:rsid w:val="00073646"/>
    <w:rPr>
      <w:rFonts w:ascii="Arial" w:eastAsiaTheme="minorEastAsia" w:hAnsi="Arial" w:cstheme="majorBidi"/>
      <w:b/>
      <w:bCs/>
      <w:iCs/>
      <w:sz w:val="28"/>
      <w:szCs w:val="24"/>
      <w:lang w:eastAsia="en-US"/>
    </w:rPr>
  </w:style>
  <w:style w:type="character" w:customStyle="1" w:styleId="ndesc">
    <w:name w:val="ndesc"/>
    <w:basedOn w:val="DefaultParagraphFont"/>
    <w:rsid w:val="00073646"/>
  </w:style>
  <w:style w:type="character" w:styleId="CommentReference">
    <w:name w:val="annotation reference"/>
    <w:basedOn w:val="DefaultParagraphFont"/>
    <w:uiPriority w:val="99"/>
    <w:unhideWhenUsed/>
    <w:rsid w:val="00073646"/>
    <w:rPr>
      <w:sz w:val="16"/>
      <w:szCs w:val="16"/>
    </w:rPr>
  </w:style>
  <w:style w:type="paragraph" w:styleId="CommentText">
    <w:name w:val="annotation text"/>
    <w:basedOn w:val="Normal"/>
    <w:link w:val="CommentTextChar"/>
    <w:uiPriority w:val="99"/>
    <w:unhideWhenUsed/>
    <w:rsid w:val="00073646"/>
    <w:pPr>
      <w:tabs>
        <w:tab w:val="clear" w:pos="794"/>
        <w:tab w:val="clear" w:pos="1191"/>
        <w:tab w:val="clear" w:pos="1588"/>
        <w:tab w:val="clear" w:pos="1985"/>
      </w:tabs>
      <w:overflowPunct/>
      <w:autoSpaceDE/>
      <w:autoSpaceDN/>
      <w:adjustRightInd/>
      <w:spacing w:before="0" w:after="200"/>
      <w:jc w:val="left"/>
      <w:textAlignment w:val="auto"/>
    </w:pPr>
    <w:rPr>
      <w:rFonts w:eastAsiaTheme="minorHAnsi" w:cstheme="minorBidi"/>
      <w:sz w:val="20"/>
      <w:lang w:val="en-US"/>
    </w:rPr>
  </w:style>
  <w:style w:type="character" w:customStyle="1" w:styleId="CommentTextChar">
    <w:name w:val="Comment Text Char"/>
    <w:basedOn w:val="DefaultParagraphFont"/>
    <w:link w:val="CommentText"/>
    <w:uiPriority w:val="99"/>
    <w:rsid w:val="00073646"/>
    <w:rPr>
      <w:rFonts w:eastAsiaTheme="minorHAnsi" w:cstheme="minorBidi"/>
      <w:lang w:eastAsia="en-US"/>
    </w:rPr>
  </w:style>
  <w:style w:type="paragraph" w:styleId="CommentSubject">
    <w:name w:val="annotation subject"/>
    <w:basedOn w:val="CommentText"/>
    <w:next w:val="CommentText"/>
    <w:link w:val="CommentSubjectChar"/>
    <w:uiPriority w:val="99"/>
    <w:unhideWhenUsed/>
    <w:rsid w:val="00073646"/>
    <w:rPr>
      <w:b/>
      <w:bCs/>
    </w:rPr>
  </w:style>
  <w:style w:type="character" w:customStyle="1" w:styleId="CommentSubjectChar">
    <w:name w:val="Comment Subject Char"/>
    <w:basedOn w:val="CommentTextChar"/>
    <w:link w:val="CommentSubject"/>
    <w:uiPriority w:val="99"/>
    <w:rsid w:val="00073646"/>
    <w:rPr>
      <w:rFonts w:eastAsiaTheme="minorHAnsi" w:cstheme="minorBidi"/>
      <w:b/>
      <w:bCs/>
      <w:lang w:eastAsia="en-US"/>
    </w:rPr>
  </w:style>
  <w:style w:type="paragraph" w:styleId="Revision">
    <w:name w:val="Revision"/>
    <w:hidden/>
    <w:uiPriority w:val="99"/>
    <w:semiHidden/>
    <w:rsid w:val="00073646"/>
    <w:rPr>
      <w:rFonts w:asciiTheme="minorHAnsi" w:eastAsiaTheme="minorHAnsi" w:hAnsiTheme="minorHAnsi" w:cstheme="minorBidi"/>
      <w:sz w:val="22"/>
      <w:szCs w:val="22"/>
      <w:lang w:eastAsia="en-US"/>
    </w:rPr>
  </w:style>
  <w:style w:type="paragraph" w:styleId="TOC9">
    <w:name w:val="toc 9"/>
    <w:basedOn w:val="Normal"/>
    <w:next w:val="Normal"/>
    <w:autoRedefine/>
    <w:uiPriority w:val="39"/>
    <w:unhideWhenUsed/>
    <w:rsid w:val="00073646"/>
    <w:pPr>
      <w:tabs>
        <w:tab w:val="clear" w:pos="794"/>
        <w:tab w:val="clear" w:pos="1191"/>
        <w:tab w:val="clear" w:pos="1588"/>
        <w:tab w:val="clear" w:pos="1985"/>
      </w:tabs>
      <w:overflowPunct/>
      <w:autoSpaceDE/>
      <w:autoSpaceDN/>
      <w:adjustRightInd/>
      <w:spacing w:before="0" w:line="276" w:lineRule="auto"/>
      <w:ind w:left="1920"/>
      <w:jc w:val="left"/>
      <w:textAlignment w:val="auto"/>
    </w:pPr>
    <w:rPr>
      <w:rFonts w:asciiTheme="minorHAnsi" w:eastAsiaTheme="minorHAnsi" w:hAnsiTheme="minorHAnsi" w:cstheme="minorBidi"/>
      <w:sz w:val="18"/>
      <w:szCs w:val="18"/>
      <w:lang w:val="en-US"/>
    </w:rPr>
  </w:style>
  <w:style w:type="numbering" w:customStyle="1" w:styleId="Style1">
    <w:name w:val="Style1"/>
    <w:uiPriority w:val="99"/>
    <w:rsid w:val="00073646"/>
    <w:pPr>
      <w:numPr>
        <w:numId w:val="41"/>
      </w:numPr>
    </w:pPr>
  </w:style>
  <w:style w:type="character" w:styleId="Strong">
    <w:name w:val="Strong"/>
    <w:basedOn w:val="DefaultParagraphFont"/>
    <w:uiPriority w:val="22"/>
    <w:qFormat/>
    <w:rsid w:val="00073646"/>
    <w:rPr>
      <w:b/>
      <w:bCs/>
    </w:rPr>
  </w:style>
  <w:style w:type="paragraph" w:customStyle="1" w:styleId="TH">
    <w:name w:val="TH"/>
    <w:basedOn w:val="Normal"/>
    <w:link w:val="THChar"/>
    <w:rsid w:val="00073646"/>
    <w:pPr>
      <w:keepNext/>
      <w:keepLines/>
      <w:tabs>
        <w:tab w:val="clear" w:pos="794"/>
        <w:tab w:val="clear" w:pos="1191"/>
        <w:tab w:val="clear" w:pos="1588"/>
        <w:tab w:val="clear" w:pos="1985"/>
      </w:tabs>
      <w:spacing w:before="60" w:after="180"/>
      <w:jc w:val="center"/>
    </w:pPr>
    <w:rPr>
      <w:rFonts w:ascii="Arial" w:hAnsi="Arial"/>
      <w:b/>
      <w:sz w:val="20"/>
      <w:lang w:val="en-GB" w:eastAsia="ja-JP"/>
    </w:rPr>
  </w:style>
  <w:style w:type="character" w:customStyle="1" w:styleId="THChar">
    <w:name w:val="TH Char"/>
    <w:basedOn w:val="DefaultParagraphFont"/>
    <w:link w:val="TH"/>
    <w:rsid w:val="00073646"/>
    <w:rPr>
      <w:rFonts w:ascii="Arial" w:hAnsi="Arial"/>
      <w:b/>
      <w:lang w:val="en-GB" w:eastAsia="ja-JP"/>
    </w:rPr>
  </w:style>
  <w:style w:type="paragraph" w:customStyle="1" w:styleId="TableText0">
    <w:name w:val="TableText"/>
    <w:basedOn w:val="BodyTextIndent"/>
    <w:uiPriority w:val="99"/>
    <w:rsid w:val="00073646"/>
    <w:pPr>
      <w:keepNext/>
      <w:keepLines/>
      <w:overflowPunct w:val="0"/>
      <w:autoSpaceDE w:val="0"/>
      <w:autoSpaceDN w:val="0"/>
      <w:adjustRightInd w:val="0"/>
      <w:spacing w:after="180" w:line="240" w:lineRule="auto"/>
      <w:ind w:left="0"/>
      <w:jc w:val="center"/>
      <w:textAlignment w:val="baseline"/>
    </w:pPr>
    <w:rPr>
      <w:rFonts w:eastAsia="Times New Roman" w:cs="Times New Roman"/>
      <w:snapToGrid w:val="0"/>
      <w:kern w:val="2"/>
      <w:sz w:val="20"/>
      <w:szCs w:val="20"/>
      <w:lang w:val="en-GB"/>
    </w:rPr>
  </w:style>
  <w:style w:type="paragraph" w:styleId="BodyTextIndent">
    <w:name w:val="Body Text Indent"/>
    <w:basedOn w:val="Normal"/>
    <w:link w:val="BodyTextIndentChar"/>
    <w:uiPriority w:val="99"/>
    <w:unhideWhenUsed/>
    <w:rsid w:val="00073646"/>
    <w:pPr>
      <w:tabs>
        <w:tab w:val="clear" w:pos="794"/>
        <w:tab w:val="clear" w:pos="1191"/>
        <w:tab w:val="clear" w:pos="1588"/>
        <w:tab w:val="clear" w:pos="1985"/>
      </w:tabs>
      <w:overflowPunct/>
      <w:autoSpaceDE/>
      <w:autoSpaceDN/>
      <w:adjustRightInd/>
      <w:spacing w:before="0" w:after="120" w:line="276" w:lineRule="auto"/>
      <w:ind w:left="360"/>
      <w:jc w:val="left"/>
      <w:textAlignment w:val="auto"/>
    </w:pPr>
    <w:rPr>
      <w:rFonts w:eastAsiaTheme="minorHAnsi" w:cstheme="minorBidi"/>
      <w:szCs w:val="22"/>
      <w:lang w:val="en-US"/>
    </w:rPr>
  </w:style>
  <w:style w:type="character" w:customStyle="1" w:styleId="BodyTextIndentChar">
    <w:name w:val="Body Text Indent Char"/>
    <w:basedOn w:val="DefaultParagraphFont"/>
    <w:link w:val="BodyTextIndent"/>
    <w:uiPriority w:val="99"/>
    <w:rsid w:val="00073646"/>
    <w:rPr>
      <w:rFonts w:eastAsiaTheme="minorHAnsi" w:cstheme="minorBidi"/>
      <w:sz w:val="24"/>
      <w:szCs w:val="22"/>
      <w:lang w:eastAsia="en-US"/>
    </w:rPr>
  </w:style>
  <w:style w:type="character" w:customStyle="1" w:styleId="hcp5">
    <w:name w:val="hcp5"/>
    <w:basedOn w:val="DefaultParagraphFont"/>
    <w:rsid w:val="00073646"/>
    <w:rPr>
      <w:rFonts w:ascii="Symbol" w:hAnsi="Symbol" w:hint="default"/>
      <w:caps/>
    </w:rPr>
  </w:style>
  <w:style w:type="paragraph" w:customStyle="1" w:styleId="p">
    <w:name w:val="p"/>
    <w:basedOn w:val="Normal"/>
    <w:uiPriority w:val="99"/>
    <w:rsid w:val="0007364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TOCHeading">
    <w:name w:val="TOC Heading"/>
    <w:basedOn w:val="Heading1"/>
    <w:next w:val="Normal"/>
    <w:uiPriority w:val="39"/>
    <w:unhideWhenUsed/>
    <w:qFormat/>
    <w:rsid w:val="00073646"/>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paragraph" w:customStyle="1" w:styleId="t3">
    <w:name w:val="t3"/>
    <w:basedOn w:val="Normal"/>
    <w:rsid w:val="00073646"/>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Note2">
    <w:name w:val="Note2"/>
    <w:basedOn w:val="Normal"/>
    <w:link w:val="Note2Char"/>
    <w:qFormat/>
    <w:rsid w:val="00073646"/>
    <w:pPr>
      <w:tabs>
        <w:tab w:val="clear" w:pos="794"/>
        <w:tab w:val="clear" w:pos="1191"/>
        <w:tab w:val="clear" w:pos="1588"/>
        <w:tab w:val="clear" w:pos="1985"/>
        <w:tab w:val="left" w:pos="284"/>
        <w:tab w:val="left" w:pos="1134"/>
        <w:tab w:val="left" w:pos="1871"/>
        <w:tab w:val="left" w:pos="2268"/>
      </w:tabs>
      <w:spacing w:before="80"/>
    </w:pPr>
    <w:rPr>
      <w:sz w:val="20"/>
      <w:szCs w:val="16"/>
      <w:lang w:val="en-GB"/>
    </w:rPr>
  </w:style>
  <w:style w:type="character" w:customStyle="1" w:styleId="Note2Char">
    <w:name w:val="Note2 Char"/>
    <w:basedOn w:val="DefaultParagraphFont"/>
    <w:link w:val="Note2"/>
    <w:rsid w:val="00073646"/>
    <w:rPr>
      <w:szCs w:val="16"/>
      <w:lang w:val="en-GB" w:eastAsia="en-US"/>
    </w:rPr>
  </w:style>
  <w:style w:type="table" w:customStyle="1" w:styleId="LightList-Accent11">
    <w:name w:val="Light List - Accent 11"/>
    <w:basedOn w:val="TableNormal"/>
    <w:uiPriority w:val="61"/>
    <w:rsid w:val="00073646"/>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073646"/>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ableheadChar">
    <w:name w:val="Table_head Char"/>
    <w:link w:val="Tablehead"/>
    <w:locked/>
    <w:rsid w:val="00073646"/>
    <w:rPr>
      <w:b/>
      <w:sz w:val="22"/>
      <w:lang w:val="fr-FR" w:eastAsia="en-US"/>
    </w:rPr>
  </w:style>
  <w:style w:type="character" w:styleId="FollowedHyperlink">
    <w:name w:val="FollowedHyperlink"/>
    <w:basedOn w:val="DefaultParagraphFont"/>
    <w:uiPriority w:val="99"/>
    <w:rsid w:val="00073646"/>
    <w:rPr>
      <w:color w:val="800080" w:themeColor="followedHyperlink"/>
      <w:u w:val="single"/>
    </w:rPr>
  </w:style>
  <w:style w:type="character" w:customStyle="1" w:styleId="InternetLink">
    <w:name w:val="Internet Link"/>
    <w:basedOn w:val="DefaultParagraphFont"/>
    <w:rsid w:val="00073646"/>
    <w:rPr>
      <w:color w:val="0000FF"/>
      <w:u w:val="single"/>
      <w:lang w:val="en-US" w:eastAsia="en-US" w:bidi="en-US"/>
    </w:rPr>
  </w:style>
  <w:style w:type="character" w:customStyle="1" w:styleId="FooterChar1">
    <w:name w:val="Footer Char1"/>
    <w:aliases w:val="pie de página Char1,footer odd Char1,fo Char1,footer1 Char1,footer odd1 Char1,footer5 Char1,footer odd4 Char1,footer odd2 Char1,footer2 Char1,footer odd3 Char1,footer11 Char1,footer odd11 Char1,footer51 Char1,footer odd41 Char1"/>
    <w:basedOn w:val="DefaultParagraphFont"/>
    <w:rsid w:val="00073646"/>
    <w:rPr>
      <w:rFonts w:ascii="Times New Roman" w:hAnsi="Times New Roman"/>
      <w:caps/>
      <w:noProof/>
      <w:sz w:val="16"/>
      <w:lang w:val="en-GB" w:eastAsia="en-US"/>
    </w:rPr>
  </w:style>
  <w:style w:type="paragraph" w:customStyle="1" w:styleId="11">
    <w:name w:val="标题 11"/>
    <w:basedOn w:val="Normal"/>
    <w:next w:val="Normal"/>
    <w:rsid w:val="00073646"/>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pPr>
    <w:rPr>
      <w:rFonts w:eastAsia="SimSun"/>
      <w:b/>
      <w:sz w:val="28"/>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fn Char"/>
    <w:basedOn w:val="DefaultParagraphFont"/>
    <w:uiPriority w:val="99"/>
    <w:semiHidden/>
    <w:rsid w:val="00073646"/>
    <w:rPr>
      <w:rFonts w:ascii="Times New Roman" w:hAnsi="Times New Roman"/>
      <w:lang w:val="en-GB" w:eastAsia="en-US"/>
    </w:rPr>
  </w:style>
  <w:style w:type="table" w:customStyle="1" w:styleId="TableGrid1">
    <w:name w:val="Table Grid1"/>
    <w:basedOn w:val="TableNormal"/>
    <w:next w:val="TableGrid"/>
    <w:uiPriority w:val="59"/>
    <w:rsid w:val="00073646"/>
    <w:rPr>
      <w:rFonts w:asciiTheme="minorHAnsi" w:eastAsiaTheme="minorHAnsi" w:hAnsiTheme="minorHAnsi" w:cstheme="minorBidi"/>
      <w:sz w:val="22"/>
      <w:szCs w:val="22"/>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07364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sz w:val="22"/>
      <w:szCs w:val="22"/>
      <w:lang w:val="en-US"/>
    </w:rPr>
  </w:style>
  <w:style w:type="character" w:customStyle="1" w:styleId="PlainTextChar">
    <w:name w:val="Plain Text Char"/>
    <w:basedOn w:val="DefaultParagraphFont"/>
    <w:link w:val="PlainText"/>
    <w:uiPriority w:val="99"/>
    <w:rsid w:val="00073646"/>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220</TotalTime>
  <Pages>17</Pages>
  <Words>4378</Words>
  <Characters>27457</Characters>
  <Application>Microsoft Office Word</Application>
  <DocSecurity>0</DocSecurity>
  <Lines>946</Lines>
  <Paragraphs>82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31753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Yonga Omondi, Rose</cp:lastModifiedBy>
  <cp:revision>78</cp:revision>
  <cp:lastPrinted>2015-03-12T15:25:00Z</cp:lastPrinted>
  <dcterms:created xsi:type="dcterms:W3CDTF">2015-03-11T10:07:00Z</dcterms:created>
  <dcterms:modified xsi:type="dcterms:W3CDTF">2015-03-12T15:34:00Z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