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B2B4" w14:textId="77777777" w:rsidR="00FE79FE" w:rsidRDefault="00FE79FE"/>
    <w:p w14:paraId="53139BBA" w14:textId="77777777" w:rsidR="00013002" w:rsidRDefault="00013002" w:rsidP="00DE5556">
      <w:pPr>
        <w:tabs>
          <w:tab w:val="clear" w:pos="794"/>
          <w:tab w:val="clear" w:pos="1191"/>
          <w:tab w:val="clear" w:pos="1588"/>
          <w:tab w:val="clear" w:pos="1985"/>
        </w:tabs>
      </w:pPr>
    </w:p>
    <w:p w14:paraId="3249FD79" w14:textId="56BE7112" w:rsidR="00D5024B" w:rsidRPr="004A6FEB" w:rsidRDefault="00E97A57" w:rsidP="00D5024B">
      <w:pPr>
        <w:pStyle w:val="CoverNumber"/>
      </w:pPr>
      <w:r w:rsidRPr="00E97A57">
        <w:t xml:space="preserve">Report ITU-R </w:t>
      </w:r>
      <w:r w:rsidR="00A314E2">
        <w:t>R</w:t>
      </w:r>
      <w:r w:rsidR="00422C27">
        <w:t>S</w:t>
      </w:r>
      <w:r w:rsidRPr="00E97A57">
        <w:t>.</w:t>
      </w:r>
      <w:bookmarkStart w:id="0" w:name="_Hlk150787607"/>
      <w:r w:rsidR="003244CE">
        <w:t>2537-0</w:t>
      </w:r>
      <w:bookmarkEnd w:id="0"/>
    </w:p>
    <w:p w14:paraId="5B8DC8B2" w14:textId="29D73D3B" w:rsidR="00D5024B" w:rsidRPr="004A6FEB" w:rsidRDefault="00D5024B" w:rsidP="00D5024B">
      <w:pPr>
        <w:pStyle w:val="CoverDate"/>
      </w:pPr>
      <w:r w:rsidRPr="004A6FEB">
        <w:t>(</w:t>
      </w:r>
      <w:r w:rsidR="003244CE">
        <w:t>09</w:t>
      </w:r>
      <w:r w:rsidRPr="004A6FEB">
        <w:t>/</w:t>
      </w:r>
      <w:r w:rsidR="003244CE">
        <w:t>2023</w:t>
      </w:r>
      <w:r w:rsidRPr="004A6FEB">
        <w:t>)</w:t>
      </w:r>
    </w:p>
    <w:p w14:paraId="69594847" w14:textId="77777777" w:rsidR="00D5024B" w:rsidRPr="004A6FEB" w:rsidRDefault="00A314E2" w:rsidP="00D5024B">
      <w:pPr>
        <w:pStyle w:val="CoverSeries"/>
      </w:pPr>
      <w:r>
        <w:t>R</w:t>
      </w:r>
      <w:r w:rsidR="00422C27">
        <w:t>S</w:t>
      </w:r>
      <w:r w:rsidR="00E97A57" w:rsidRPr="00E97A57">
        <w:t xml:space="preserve"> Series: </w:t>
      </w:r>
      <w:r w:rsidR="00422C27" w:rsidRPr="003244CE">
        <w:rPr>
          <w:iCs/>
          <w:lang w:val="en-GB"/>
        </w:rPr>
        <w:t>Remote sensing systems</w:t>
      </w:r>
    </w:p>
    <w:p w14:paraId="2136B00D" w14:textId="55D3DC3F" w:rsidR="00D5024B" w:rsidRPr="004A6FEB" w:rsidRDefault="00D55D91" w:rsidP="00E97A57">
      <w:pPr>
        <w:pStyle w:val="CoverTitle"/>
      </w:pPr>
      <w:r w:rsidRPr="00D55D91">
        <w:rPr>
          <w:lang w:val="en-GB"/>
        </w:rPr>
        <w:t>Representative system characteristics and examples of evaluating interference into receiving earth stations in the radionavigation-satellite service (space-to-Earth) from spaceborne synthetic aperture radar sensors in the Earth exploration-satellite (active) service</w:t>
      </w:r>
      <w:r w:rsidR="003D0C4F">
        <w:rPr>
          <w:lang w:val="en-GB"/>
        </w:rPr>
        <w:t xml:space="preserve"> </w:t>
      </w:r>
      <w:r w:rsidRPr="00D55D91">
        <w:rPr>
          <w:lang w:val="en-GB"/>
        </w:rPr>
        <w:t>in the 1 215-1 300 MHz band</w:t>
      </w:r>
    </w:p>
    <w:p w14:paraId="601EB1DF" w14:textId="77777777" w:rsidR="00A71FE5" w:rsidRPr="005373E0" w:rsidRDefault="00A71FE5" w:rsidP="005373E0"/>
    <w:p w14:paraId="149A93F4" w14:textId="77777777" w:rsidR="00EE47C4" w:rsidRPr="005373E0" w:rsidRDefault="00EE47C4" w:rsidP="005373E0">
      <w:pPr>
        <w:sectPr w:rsidR="00EE47C4" w:rsidRPr="005373E0"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092AA640" w14:textId="77777777" w:rsidR="00B975C4" w:rsidRDefault="00B975C4" w:rsidP="00B975C4">
      <w:pPr>
        <w:pStyle w:val="Tablehead"/>
        <w:tabs>
          <w:tab w:val="clear" w:pos="284"/>
          <w:tab w:val="clear" w:pos="567"/>
          <w:tab w:val="clear" w:pos="851"/>
          <w:tab w:val="clear" w:pos="1134"/>
          <w:tab w:val="clear" w:pos="1418"/>
          <w:tab w:val="clear" w:pos="1701"/>
          <w:tab w:val="left" w:pos="794"/>
          <w:tab w:val="left" w:pos="1191"/>
          <w:tab w:val="left" w:pos="1588"/>
        </w:tabs>
        <w:spacing w:before="240" w:after="0"/>
        <w:rPr>
          <w:bCs/>
          <w:sz w:val="24"/>
          <w:szCs w:val="24"/>
          <w:lang w:val="en-US"/>
        </w:rPr>
      </w:pPr>
      <w:bookmarkStart w:id="1" w:name="c2tope"/>
      <w:bookmarkEnd w:id="1"/>
      <w:r>
        <w:rPr>
          <w:bCs/>
          <w:sz w:val="24"/>
          <w:szCs w:val="24"/>
          <w:lang w:val="en-US"/>
        </w:rPr>
        <w:lastRenderedPageBreak/>
        <w:t>Foreword</w:t>
      </w:r>
    </w:p>
    <w:p w14:paraId="443897FA" w14:textId="77777777" w:rsidR="00B975C4" w:rsidRDefault="00B975C4" w:rsidP="00B975C4">
      <w:pPr>
        <w:spacing w:before="240"/>
        <w:rPr>
          <w:sz w:val="20"/>
          <w:lang w:val="en-US"/>
        </w:rPr>
      </w:pPr>
      <w:r>
        <w:rPr>
          <w:sz w:val="20"/>
          <w:lang w:val="en-US"/>
        </w:rPr>
        <w:t xml:space="preserve">The role of the Radiocommunication Sector is to ensure the rational, equitable, </w:t>
      </w:r>
      <w:proofErr w:type="gramStart"/>
      <w:r>
        <w:rPr>
          <w:sz w:val="20"/>
          <w:lang w:val="en-US"/>
        </w:rPr>
        <w:t>efficient</w:t>
      </w:r>
      <w:proofErr w:type="gramEnd"/>
      <w:r>
        <w:rPr>
          <w:sz w:val="20"/>
          <w:lang w:val="en-US"/>
        </w:rPr>
        <w:t xml:space="preserve"> and economical use of the radio-frequency spectrum by all radiocommunication services, including satellite services, and carry out studies without limit of frequency range on the basis of which Recommendations are adopted.</w:t>
      </w:r>
    </w:p>
    <w:p w14:paraId="4A2B2A89" w14:textId="77777777" w:rsidR="00B975C4" w:rsidRDefault="00B975C4" w:rsidP="00B975C4">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750BA601" w14:textId="77777777" w:rsidR="00B975C4" w:rsidRDefault="00B975C4" w:rsidP="00B975C4">
      <w:pPr>
        <w:pStyle w:val="Heading1"/>
        <w:spacing w:before="400"/>
        <w:jc w:val="center"/>
        <w:rPr>
          <w:szCs w:val="24"/>
          <w:lang w:val="en-US"/>
        </w:rPr>
      </w:pPr>
    </w:p>
    <w:p w14:paraId="5AEC6534" w14:textId="77777777" w:rsidR="00B975C4" w:rsidRDefault="00B975C4" w:rsidP="00B975C4">
      <w:pPr>
        <w:pStyle w:val="Heading1"/>
        <w:spacing w:before="540"/>
        <w:jc w:val="center"/>
        <w:rPr>
          <w:szCs w:val="24"/>
          <w:lang w:val="en-US"/>
        </w:rPr>
      </w:pPr>
      <w:r>
        <w:rPr>
          <w:szCs w:val="24"/>
          <w:lang w:val="en-US"/>
        </w:rPr>
        <w:t>Policy on Intellectual Property Right (IPR)</w:t>
      </w:r>
    </w:p>
    <w:p w14:paraId="39F36B03" w14:textId="77777777" w:rsidR="00B975C4" w:rsidRDefault="00B975C4" w:rsidP="00B975C4">
      <w:pPr>
        <w:tabs>
          <w:tab w:val="left" w:pos="720"/>
        </w:tabs>
        <w:spacing w:before="240"/>
        <w:rPr>
          <w:sz w:val="20"/>
          <w:lang w:val="en-US"/>
        </w:rPr>
      </w:pPr>
      <w:r>
        <w:rPr>
          <w:sz w:val="20"/>
          <w:lang w:val="en-US"/>
        </w:rPr>
        <w:t>ITU-R policy on IPR is described in the Common Patent Policy for ITU-T/ITU-R/ISO/IEC referenced in Resolution ITU</w:t>
      </w:r>
      <w:r w:rsidR="006F003F">
        <w:rPr>
          <w:sz w:val="20"/>
          <w:lang w:val="en-US"/>
        </w:rPr>
        <w:noBreakHyphen/>
      </w:r>
      <w:r>
        <w:rPr>
          <w:sz w:val="20"/>
          <w:lang w:val="en-US"/>
        </w:rPr>
        <w:t xml:space="preserve">R 1. Forms to be used for the submission of patent statements and licensing declarations by patent holders are available from </w:t>
      </w:r>
      <w:hyperlink r:id="rId10" w:history="1">
        <w:r>
          <w:rPr>
            <w:rStyle w:val="Hyperlink"/>
            <w:sz w:val="20"/>
            <w:lang w:val="en-US"/>
          </w:rPr>
          <w:t>http://www.itu.int/ITU-R/go/patents/en</w:t>
        </w:r>
      </w:hyperlink>
      <w:r>
        <w:rPr>
          <w:sz w:val="20"/>
          <w:lang w:val="en-US"/>
        </w:rPr>
        <w:t xml:space="preserve"> where the Guidelines for Implementation of the Common Patent Policy for ITU</w:t>
      </w:r>
      <w:r>
        <w:rPr>
          <w:sz w:val="20"/>
          <w:lang w:val="en-US"/>
        </w:rPr>
        <w:noBreakHyphen/>
        <w:t>T/ITU</w:t>
      </w:r>
      <w:r>
        <w:rPr>
          <w:sz w:val="20"/>
          <w:lang w:val="en-US"/>
        </w:rPr>
        <w:noBreakHyphen/>
        <w:t xml:space="preserve">R/ISO/IEC and the ITU-R patent information database can also be found. </w:t>
      </w:r>
    </w:p>
    <w:p w14:paraId="4A5D13E0" w14:textId="77777777" w:rsidR="00B975C4" w:rsidRDefault="00B975C4" w:rsidP="00B975C4">
      <w:pPr>
        <w:jc w:val="center"/>
        <w:rPr>
          <w:sz w:val="22"/>
          <w:lang w:val="en-US"/>
        </w:rPr>
      </w:pPr>
    </w:p>
    <w:p w14:paraId="6FD064A5" w14:textId="77777777" w:rsidR="00B975C4" w:rsidRDefault="00B975C4" w:rsidP="00B975C4">
      <w:pPr>
        <w:jc w:val="center"/>
        <w:rPr>
          <w:sz w:val="22"/>
          <w:lang w:val="en-US"/>
        </w:rPr>
      </w:pPr>
    </w:p>
    <w:p w14:paraId="28B1F9D7" w14:textId="77777777" w:rsidR="00B975C4" w:rsidRDefault="00B975C4" w:rsidP="00B975C4">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B975C4" w:rsidRPr="003C6718" w14:paraId="236A8360" w14:textId="77777777" w:rsidTr="00B975C4">
        <w:tc>
          <w:tcPr>
            <w:tcW w:w="9360" w:type="dxa"/>
            <w:gridSpan w:val="2"/>
            <w:tcBorders>
              <w:top w:val="single" w:sz="12" w:space="0" w:color="000080"/>
              <w:left w:val="single" w:sz="12" w:space="0" w:color="000080"/>
              <w:bottom w:val="nil"/>
              <w:right w:val="single" w:sz="12" w:space="0" w:color="000080"/>
            </w:tcBorders>
          </w:tcPr>
          <w:p w14:paraId="4ECA7629" w14:textId="77777777" w:rsidR="00B975C4" w:rsidRPr="00C7761D" w:rsidRDefault="00B975C4" w:rsidP="000B4BD9">
            <w:pPr>
              <w:pStyle w:val="ChapNo"/>
              <w:spacing w:before="240"/>
              <w:rPr>
                <w:sz w:val="22"/>
                <w:szCs w:val="22"/>
                <w:lang w:val="en-US"/>
              </w:rPr>
            </w:pPr>
            <w:r w:rsidRPr="00C7761D">
              <w:rPr>
                <w:sz w:val="22"/>
                <w:szCs w:val="22"/>
                <w:lang w:val="en-US"/>
              </w:rPr>
              <w:t xml:space="preserve">Series of ITU-R Reports </w:t>
            </w:r>
          </w:p>
          <w:p w14:paraId="4823E08E" w14:textId="77777777" w:rsidR="00B975C4" w:rsidRDefault="00B975C4" w:rsidP="000B4BD9">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18"/>
                <w:szCs w:val="18"/>
                <w:lang w:val="en-US"/>
              </w:rPr>
            </w:pPr>
            <w:r w:rsidRPr="00F103A9">
              <w:rPr>
                <w:b w:val="0"/>
                <w:sz w:val="18"/>
                <w:szCs w:val="18"/>
                <w:lang w:val="en-US"/>
              </w:rPr>
              <w:t>(</w:t>
            </w:r>
            <w:r>
              <w:rPr>
                <w:b w:val="0"/>
                <w:sz w:val="18"/>
                <w:szCs w:val="18"/>
                <w:lang w:val="en-US"/>
              </w:rPr>
              <w:t xml:space="preserve">Also available online at </w:t>
            </w:r>
            <w:hyperlink r:id="rId11" w:history="1">
              <w:r w:rsidR="00892092">
                <w:rPr>
                  <w:rStyle w:val="Hyperlink"/>
                  <w:b w:val="0"/>
                  <w:bCs/>
                  <w:sz w:val="18"/>
                  <w:szCs w:val="18"/>
                  <w:lang w:val="en-US"/>
                </w:rPr>
                <w:t>https://www.itu.int/publ/R-REP/en</w:t>
              </w:r>
            </w:hyperlink>
            <w:r w:rsidRPr="00F103A9">
              <w:rPr>
                <w:b w:val="0"/>
                <w:sz w:val="18"/>
                <w:szCs w:val="18"/>
                <w:lang w:val="en-US"/>
              </w:rPr>
              <w:t>)</w:t>
            </w:r>
          </w:p>
        </w:tc>
      </w:tr>
      <w:tr w:rsidR="00B975C4" w14:paraId="5AF61000" w14:textId="77777777" w:rsidTr="00B975C4">
        <w:tc>
          <w:tcPr>
            <w:tcW w:w="1140" w:type="dxa"/>
            <w:tcBorders>
              <w:top w:val="nil"/>
              <w:left w:val="single" w:sz="12" w:space="0" w:color="000080"/>
              <w:bottom w:val="nil"/>
              <w:right w:val="nil"/>
            </w:tcBorders>
            <w:vAlign w:val="bottom"/>
          </w:tcPr>
          <w:p w14:paraId="483EC0E8" w14:textId="77777777" w:rsidR="00B975C4" w:rsidRDefault="00B975C4" w:rsidP="00B975C4">
            <w:pPr>
              <w:spacing w:before="200" w:after="100"/>
              <w:ind w:left="57"/>
              <w:jc w:val="left"/>
              <w:rPr>
                <w:b/>
                <w:bCs/>
                <w:sz w:val="20"/>
                <w:lang w:val="en-US"/>
              </w:rPr>
            </w:pPr>
            <w:r>
              <w:rPr>
                <w:b/>
                <w:bCs/>
                <w:sz w:val="20"/>
                <w:lang w:val="en-US"/>
              </w:rPr>
              <w:t>Series</w:t>
            </w:r>
          </w:p>
        </w:tc>
        <w:tc>
          <w:tcPr>
            <w:tcW w:w="8220" w:type="dxa"/>
            <w:tcBorders>
              <w:top w:val="nil"/>
              <w:left w:val="nil"/>
              <w:bottom w:val="nil"/>
              <w:right w:val="single" w:sz="12" w:space="0" w:color="000080"/>
            </w:tcBorders>
            <w:vAlign w:val="bottom"/>
          </w:tcPr>
          <w:p w14:paraId="2A7B659D" w14:textId="77777777" w:rsidR="00B975C4" w:rsidRDefault="00B975C4" w:rsidP="00B975C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rPr>
                <w:bCs/>
                <w:sz w:val="20"/>
                <w:lang w:val="en-US"/>
              </w:rPr>
            </w:pPr>
            <w:r>
              <w:rPr>
                <w:bCs/>
                <w:sz w:val="20"/>
                <w:lang w:val="en-US"/>
              </w:rPr>
              <w:t>Title</w:t>
            </w:r>
          </w:p>
        </w:tc>
      </w:tr>
      <w:tr w:rsidR="00B975C4" w14:paraId="441EBFE8" w14:textId="77777777" w:rsidTr="00BD3887">
        <w:tc>
          <w:tcPr>
            <w:tcW w:w="1140" w:type="dxa"/>
            <w:tcBorders>
              <w:top w:val="nil"/>
              <w:left w:val="single" w:sz="12" w:space="0" w:color="000080"/>
              <w:bottom w:val="nil"/>
              <w:right w:val="nil"/>
            </w:tcBorders>
            <w:shd w:val="clear" w:color="auto" w:fill="F2F2F2" w:themeFill="background1" w:themeFillShade="F2"/>
          </w:tcPr>
          <w:p w14:paraId="2CD0B348" w14:textId="77777777" w:rsidR="00B975C4" w:rsidRPr="00BD3887" w:rsidRDefault="00B975C4" w:rsidP="000B4BD9">
            <w:pPr>
              <w:spacing w:before="30" w:after="30"/>
              <w:ind w:left="57"/>
              <w:jc w:val="left"/>
              <w:rPr>
                <w:rFonts w:ascii="Times New Roman Bold" w:hAnsi="Times New Roman Bold" w:cs="Times New Roman Bold"/>
                <w:b/>
                <w:bCs/>
                <w:sz w:val="20"/>
                <w:lang w:val="en-US"/>
              </w:rPr>
            </w:pPr>
            <w:r w:rsidRPr="00BD3887">
              <w:rPr>
                <w:rFonts w:ascii="Times New Roman Bold" w:hAnsi="Times New Roman Bold" w:cs="Times New Roman Bold"/>
                <w:b/>
                <w:bCs/>
                <w:sz w:val="20"/>
                <w:lang w:val="en-US"/>
              </w:rPr>
              <w:t>BO</w:t>
            </w:r>
          </w:p>
        </w:tc>
        <w:tc>
          <w:tcPr>
            <w:tcW w:w="8220" w:type="dxa"/>
            <w:tcBorders>
              <w:top w:val="nil"/>
              <w:left w:val="nil"/>
              <w:bottom w:val="nil"/>
              <w:right w:val="single" w:sz="12" w:space="0" w:color="000080"/>
            </w:tcBorders>
            <w:shd w:val="clear" w:color="auto" w:fill="F2F2F2" w:themeFill="background1" w:themeFillShade="F2"/>
          </w:tcPr>
          <w:p w14:paraId="5D7A9E7B" w14:textId="77777777" w:rsidR="00B975C4" w:rsidRPr="00BD3887" w:rsidRDefault="00B975C4" w:rsidP="00BD3887">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BD3887">
              <w:rPr>
                <w:b w:val="0"/>
                <w:sz w:val="20"/>
                <w:lang w:val="en-US"/>
              </w:rPr>
              <w:t>Satellite delivery</w:t>
            </w:r>
          </w:p>
        </w:tc>
      </w:tr>
      <w:tr w:rsidR="00B975C4" w:rsidRPr="003C6718" w14:paraId="40BA0342" w14:textId="77777777" w:rsidTr="00D606E1">
        <w:tc>
          <w:tcPr>
            <w:tcW w:w="1140" w:type="dxa"/>
            <w:tcBorders>
              <w:top w:val="nil"/>
              <w:left w:val="single" w:sz="12" w:space="0" w:color="000080"/>
              <w:bottom w:val="nil"/>
              <w:right w:val="nil"/>
            </w:tcBorders>
            <w:shd w:val="clear" w:color="auto" w:fill="FFFFFF" w:themeFill="background1"/>
          </w:tcPr>
          <w:p w14:paraId="6AB4FE58" w14:textId="77777777" w:rsidR="00B975C4" w:rsidRPr="00BD3887" w:rsidRDefault="00B975C4" w:rsidP="000B4BD9">
            <w:pPr>
              <w:spacing w:before="30" w:after="30"/>
              <w:ind w:left="57"/>
              <w:jc w:val="left"/>
              <w:rPr>
                <w:b/>
                <w:bCs/>
                <w:color w:val="000080"/>
                <w:sz w:val="20"/>
                <w:lang w:val="en-US"/>
              </w:rPr>
            </w:pPr>
            <w:r w:rsidRPr="00D606E1">
              <w:rPr>
                <w:rFonts w:ascii="Times New Roman Bold" w:hAnsi="Times New Roman Bold" w:cs="Times New Roman Bold"/>
                <w:b/>
                <w:bCs/>
                <w:sz w:val="20"/>
                <w:lang w:val="en-US"/>
              </w:rPr>
              <w:t>BR</w:t>
            </w:r>
          </w:p>
        </w:tc>
        <w:tc>
          <w:tcPr>
            <w:tcW w:w="8220" w:type="dxa"/>
            <w:tcBorders>
              <w:top w:val="nil"/>
              <w:left w:val="nil"/>
              <w:bottom w:val="nil"/>
              <w:right w:val="single" w:sz="12" w:space="0" w:color="000080"/>
            </w:tcBorders>
            <w:shd w:val="clear" w:color="auto" w:fill="FFFFFF" w:themeFill="background1"/>
          </w:tcPr>
          <w:p w14:paraId="3C8E78B8" w14:textId="77777777" w:rsidR="00B975C4" w:rsidRPr="00BD3887" w:rsidRDefault="00B975C4" w:rsidP="00D606E1">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bCs/>
                <w:color w:val="000080"/>
                <w:sz w:val="20"/>
                <w:lang w:val="en-US"/>
              </w:rPr>
            </w:pPr>
            <w:r w:rsidRPr="00D606E1">
              <w:rPr>
                <w:b w:val="0"/>
                <w:sz w:val="20"/>
                <w:lang w:val="en-US"/>
              </w:rPr>
              <w:t>Recording for production, archival and play-out; film for television</w:t>
            </w:r>
          </w:p>
        </w:tc>
      </w:tr>
      <w:tr w:rsidR="00B975C4" w:rsidRPr="00D55B55" w14:paraId="3F0B172A" w14:textId="77777777" w:rsidTr="00F06F93">
        <w:tc>
          <w:tcPr>
            <w:tcW w:w="1140" w:type="dxa"/>
            <w:tcBorders>
              <w:top w:val="nil"/>
              <w:left w:val="single" w:sz="12" w:space="0" w:color="000080"/>
              <w:bottom w:val="nil"/>
              <w:right w:val="nil"/>
            </w:tcBorders>
            <w:shd w:val="clear" w:color="auto" w:fill="FFFFFF" w:themeFill="background1"/>
          </w:tcPr>
          <w:p w14:paraId="3B1BE1B4" w14:textId="77777777" w:rsidR="00B975C4" w:rsidRPr="00F06F93" w:rsidRDefault="00B975C4" w:rsidP="000B4BD9">
            <w:pPr>
              <w:spacing w:before="30" w:after="30"/>
              <w:ind w:left="57"/>
              <w:jc w:val="left"/>
              <w:rPr>
                <w:rFonts w:ascii="Times New Roman Bold" w:hAnsi="Times New Roman Bold" w:cs="Times New Roman Bold"/>
                <w:b/>
                <w:bCs/>
                <w:sz w:val="20"/>
                <w:lang w:val="en-US"/>
              </w:rPr>
            </w:pPr>
            <w:r w:rsidRPr="00F06F93">
              <w:rPr>
                <w:rFonts w:ascii="Times New Roman Bold" w:hAnsi="Times New Roman Bold" w:cs="Times New Roman Bold"/>
                <w:b/>
                <w:bCs/>
                <w:sz w:val="20"/>
                <w:lang w:val="en-US"/>
              </w:rPr>
              <w:t>BS</w:t>
            </w:r>
          </w:p>
        </w:tc>
        <w:tc>
          <w:tcPr>
            <w:tcW w:w="8220" w:type="dxa"/>
            <w:tcBorders>
              <w:top w:val="nil"/>
              <w:left w:val="nil"/>
              <w:bottom w:val="nil"/>
              <w:right w:val="single" w:sz="12" w:space="0" w:color="000080"/>
            </w:tcBorders>
            <w:shd w:val="clear" w:color="auto" w:fill="FFFFFF" w:themeFill="background1"/>
          </w:tcPr>
          <w:p w14:paraId="37AE915B" w14:textId="77777777" w:rsidR="00B975C4" w:rsidRPr="00D606E1" w:rsidRDefault="00B975C4" w:rsidP="00D606E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bCs/>
                <w:color w:val="000080"/>
                <w:sz w:val="20"/>
                <w:lang w:val="en-US"/>
              </w:rPr>
            </w:pPr>
            <w:r w:rsidRPr="00F06F93">
              <w:rPr>
                <w:sz w:val="20"/>
                <w:lang w:val="fr-CH"/>
              </w:rPr>
              <w:t>Broadcasting service (</w:t>
            </w:r>
            <w:proofErr w:type="spellStart"/>
            <w:r w:rsidRPr="00F06F93">
              <w:rPr>
                <w:sz w:val="20"/>
                <w:lang w:val="fr-CH"/>
              </w:rPr>
              <w:t>sound</w:t>
            </w:r>
            <w:proofErr w:type="spellEnd"/>
            <w:r w:rsidRPr="00F06F93">
              <w:rPr>
                <w:sz w:val="20"/>
                <w:lang w:val="fr-CH"/>
              </w:rPr>
              <w:t>)</w:t>
            </w:r>
          </w:p>
        </w:tc>
      </w:tr>
      <w:tr w:rsidR="00B975C4" w:rsidRPr="00BD3F5C" w14:paraId="622C6A66" w14:textId="77777777" w:rsidTr="000C0798">
        <w:tc>
          <w:tcPr>
            <w:tcW w:w="1140" w:type="dxa"/>
            <w:tcBorders>
              <w:top w:val="nil"/>
              <w:left w:val="single" w:sz="12" w:space="0" w:color="000080"/>
              <w:bottom w:val="nil"/>
              <w:right w:val="nil"/>
            </w:tcBorders>
            <w:shd w:val="clear" w:color="auto" w:fill="FFFFFF" w:themeFill="background1"/>
          </w:tcPr>
          <w:p w14:paraId="27848E8F" w14:textId="77777777" w:rsidR="00B975C4" w:rsidRPr="000C0798" w:rsidRDefault="00B975C4" w:rsidP="006B56A3">
            <w:pPr>
              <w:spacing w:before="30" w:after="30"/>
              <w:ind w:left="57"/>
              <w:jc w:val="left"/>
              <w:rPr>
                <w:sz w:val="20"/>
                <w:lang w:val="fr-CH"/>
              </w:rPr>
            </w:pPr>
            <w:r w:rsidRPr="006B56A3">
              <w:rPr>
                <w:rFonts w:ascii="Times New Roman Bold" w:hAnsi="Times New Roman Bold" w:cs="Times New Roman Bold"/>
                <w:b/>
                <w:bCs/>
                <w:sz w:val="20"/>
                <w:lang w:val="en-US"/>
              </w:rPr>
              <w:t>BT</w:t>
            </w:r>
          </w:p>
        </w:tc>
        <w:tc>
          <w:tcPr>
            <w:tcW w:w="8220" w:type="dxa"/>
            <w:tcBorders>
              <w:top w:val="nil"/>
              <w:left w:val="nil"/>
              <w:bottom w:val="nil"/>
              <w:right w:val="single" w:sz="12" w:space="0" w:color="000080"/>
            </w:tcBorders>
            <w:shd w:val="clear" w:color="auto" w:fill="FFFFFF" w:themeFill="background1"/>
          </w:tcPr>
          <w:p w14:paraId="235DD7CC" w14:textId="77777777" w:rsidR="00B975C4" w:rsidRPr="000C0798" w:rsidRDefault="00B975C4" w:rsidP="000C0798">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rPr>
            </w:pPr>
            <w:r w:rsidRPr="000C0798">
              <w:rPr>
                <w:sz w:val="20"/>
                <w:lang w:val="fr-CH"/>
              </w:rPr>
              <w:t>Broadcasting service (</w:t>
            </w:r>
            <w:proofErr w:type="spellStart"/>
            <w:r w:rsidRPr="000C0798">
              <w:rPr>
                <w:sz w:val="20"/>
                <w:lang w:val="fr-CH"/>
              </w:rPr>
              <w:t>television</w:t>
            </w:r>
            <w:proofErr w:type="spellEnd"/>
            <w:r w:rsidRPr="000C0798">
              <w:rPr>
                <w:sz w:val="20"/>
                <w:lang w:val="fr-CH"/>
              </w:rPr>
              <w:t>)</w:t>
            </w:r>
          </w:p>
        </w:tc>
      </w:tr>
      <w:tr w:rsidR="00B975C4" w:rsidRPr="00D069F2" w14:paraId="402F5918" w14:textId="77777777" w:rsidTr="006B56A3">
        <w:tc>
          <w:tcPr>
            <w:tcW w:w="1140" w:type="dxa"/>
            <w:tcBorders>
              <w:top w:val="nil"/>
              <w:left w:val="single" w:sz="12" w:space="0" w:color="000080"/>
              <w:bottom w:val="nil"/>
              <w:right w:val="nil"/>
            </w:tcBorders>
            <w:shd w:val="clear" w:color="auto" w:fill="FFFFFF" w:themeFill="background1"/>
          </w:tcPr>
          <w:p w14:paraId="5CFABB39" w14:textId="77777777" w:rsidR="00B975C4" w:rsidRPr="006B56A3" w:rsidRDefault="00B975C4" w:rsidP="000B4BD9">
            <w:pPr>
              <w:spacing w:before="30" w:after="30"/>
              <w:ind w:left="57"/>
              <w:jc w:val="left"/>
              <w:rPr>
                <w:b/>
                <w:bCs/>
                <w:sz w:val="20"/>
                <w:lang w:val="fr-CH"/>
              </w:rPr>
            </w:pPr>
            <w:r w:rsidRPr="006B56A3">
              <w:rPr>
                <w:b/>
                <w:bCs/>
                <w:sz w:val="20"/>
                <w:lang w:val="fr-CH"/>
              </w:rPr>
              <w:t>F</w:t>
            </w:r>
          </w:p>
        </w:tc>
        <w:tc>
          <w:tcPr>
            <w:tcW w:w="8220" w:type="dxa"/>
            <w:tcBorders>
              <w:top w:val="nil"/>
              <w:left w:val="nil"/>
              <w:bottom w:val="nil"/>
              <w:right w:val="single" w:sz="12" w:space="0" w:color="000080"/>
            </w:tcBorders>
            <w:shd w:val="clear" w:color="auto" w:fill="FFFFFF" w:themeFill="background1"/>
          </w:tcPr>
          <w:p w14:paraId="19ED5054" w14:textId="77777777" w:rsidR="00B975C4" w:rsidRPr="00D069F2" w:rsidRDefault="00B975C4" w:rsidP="000B4BD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rPr>
            </w:pPr>
            <w:proofErr w:type="spellStart"/>
            <w:r w:rsidRPr="006B56A3">
              <w:rPr>
                <w:sz w:val="20"/>
                <w:lang w:val="fr-CH"/>
              </w:rPr>
              <w:t>Fixed</w:t>
            </w:r>
            <w:proofErr w:type="spellEnd"/>
            <w:r w:rsidRPr="006B56A3">
              <w:rPr>
                <w:sz w:val="20"/>
                <w:lang w:val="fr-CH"/>
              </w:rPr>
              <w:t xml:space="preserve"> service</w:t>
            </w:r>
          </w:p>
        </w:tc>
      </w:tr>
      <w:tr w:rsidR="00B975C4" w:rsidRPr="008D3D8D" w14:paraId="022EAB35" w14:textId="77777777" w:rsidTr="00684602">
        <w:tc>
          <w:tcPr>
            <w:tcW w:w="1140" w:type="dxa"/>
            <w:tcBorders>
              <w:top w:val="nil"/>
              <w:left w:val="single" w:sz="12" w:space="0" w:color="000080"/>
              <w:bottom w:val="nil"/>
              <w:right w:val="nil"/>
            </w:tcBorders>
            <w:shd w:val="clear" w:color="auto" w:fill="FFFFFF" w:themeFill="background1"/>
          </w:tcPr>
          <w:p w14:paraId="7379B87F" w14:textId="77777777" w:rsidR="00B975C4" w:rsidRPr="008D3D8D" w:rsidRDefault="00B975C4" w:rsidP="000B4BD9">
            <w:pPr>
              <w:spacing w:before="30" w:after="30"/>
              <w:ind w:left="57"/>
              <w:jc w:val="left"/>
              <w:rPr>
                <w:b/>
                <w:bCs/>
                <w:sz w:val="20"/>
                <w:lang w:val="en-US"/>
              </w:rPr>
            </w:pPr>
            <w:r w:rsidRPr="00684602">
              <w:rPr>
                <w:b/>
                <w:bCs/>
                <w:sz w:val="20"/>
                <w:lang w:val="fr-CH"/>
              </w:rPr>
              <w:t>M</w:t>
            </w:r>
          </w:p>
        </w:tc>
        <w:tc>
          <w:tcPr>
            <w:tcW w:w="8220" w:type="dxa"/>
            <w:tcBorders>
              <w:top w:val="nil"/>
              <w:left w:val="nil"/>
              <w:bottom w:val="nil"/>
              <w:right w:val="single" w:sz="12" w:space="0" w:color="000080"/>
            </w:tcBorders>
            <w:shd w:val="clear" w:color="auto" w:fill="FFFFFF" w:themeFill="background1"/>
          </w:tcPr>
          <w:p w14:paraId="1FA7C49E" w14:textId="77777777" w:rsidR="00B975C4" w:rsidRPr="008D3D8D" w:rsidRDefault="00B975C4" w:rsidP="006B56A3">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sz w:val="20"/>
                <w:lang w:val="en-US"/>
              </w:rPr>
            </w:pPr>
            <w:r w:rsidRPr="00684602">
              <w:rPr>
                <w:sz w:val="20"/>
                <w:lang w:val="fr-CH"/>
              </w:rPr>
              <w:t xml:space="preserve">Mobile, </w:t>
            </w:r>
            <w:proofErr w:type="spellStart"/>
            <w:r w:rsidRPr="00684602">
              <w:rPr>
                <w:sz w:val="20"/>
                <w:lang w:val="fr-CH"/>
              </w:rPr>
              <w:t>radiodetermination</w:t>
            </w:r>
            <w:proofErr w:type="spellEnd"/>
            <w:r w:rsidRPr="00684602">
              <w:rPr>
                <w:sz w:val="20"/>
                <w:lang w:val="fr-CH"/>
              </w:rPr>
              <w:t xml:space="preserve">, amateur and </w:t>
            </w:r>
            <w:proofErr w:type="spellStart"/>
            <w:r w:rsidRPr="00684602">
              <w:rPr>
                <w:sz w:val="20"/>
                <w:lang w:val="fr-CH"/>
              </w:rPr>
              <w:t>related</w:t>
            </w:r>
            <w:proofErr w:type="spellEnd"/>
            <w:r w:rsidRPr="00684602">
              <w:rPr>
                <w:sz w:val="20"/>
                <w:lang w:val="fr-CH"/>
              </w:rPr>
              <w:t xml:space="preserve"> satellite services</w:t>
            </w:r>
          </w:p>
        </w:tc>
      </w:tr>
      <w:tr w:rsidR="00B975C4" w:rsidRPr="002D77AF" w14:paraId="50DA9767" w14:textId="77777777" w:rsidTr="00A314E2">
        <w:tc>
          <w:tcPr>
            <w:tcW w:w="1140" w:type="dxa"/>
            <w:tcBorders>
              <w:top w:val="nil"/>
              <w:left w:val="single" w:sz="12" w:space="0" w:color="000080"/>
              <w:bottom w:val="nil"/>
              <w:right w:val="nil"/>
            </w:tcBorders>
            <w:shd w:val="clear" w:color="auto" w:fill="FFFFFF" w:themeFill="background1"/>
          </w:tcPr>
          <w:p w14:paraId="536AC082" w14:textId="77777777" w:rsidR="00B975C4" w:rsidRPr="00A314E2" w:rsidRDefault="00B975C4" w:rsidP="000B4BD9">
            <w:pPr>
              <w:spacing w:before="30" w:after="30"/>
              <w:ind w:left="57"/>
              <w:jc w:val="left"/>
              <w:rPr>
                <w:rFonts w:ascii="Times New Roman Bold" w:hAnsi="Times New Roman Bold" w:cs="Times New Roman Bold"/>
                <w:b/>
                <w:bCs/>
                <w:sz w:val="20"/>
                <w:lang w:val="en-US"/>
              </w:rPr>
            </w:pPr>
            <w:r w:rsidRPr="00A314E2">
              <w:rPr>
                <w:rFonts w:ascii="Times New Roman Bold" w:hAnsi="Times New Roman Bold" w:cs="Times New Roman Bold"/>
                <w:b/>
                <w:bCs/>
                <w:sz w:val="20"/>
                <w:lang w:val="en-US"/>
              </w:rPr>
              <w:t>P</w:t>
            </w:r>
          </w:p>
        </w:tc>
        <w:tc>
          <w:tcPr>
            <w:tcW w:w="8220" w:type="dxa"/>
            <w:tcBorders>
              <w:top w:val="nil"/>
              <w:left w:val="nil"/>
              <w:bottom w:val="nil"/>
              <w:right w:val="single" w:sz="12" w:space="0" w:color="000080"/>
            </w:tcBorders>
            <w:shd w:val="clear" w:color="auto" w:fill="FFFFFF" w:themeFill="background1"/>
          </w:tcPr>
          <w:p w14:paraId="4168142B" w14:textId="77777777" w:rsidR="00B975C4" w:rsidRPr="00A314E2" w:rsidRDefault="00B975C4" w:rsidP="00A314E2">
            <w:pPr>
              <w:spacing w:before="30" w:after="30"/>
              <w:jc w:val="left"/>
              <w:rPr>
                <w:sz w:val="20"/>
                <w:lang w:val="en-US"/>
              </w:rPr>
            </w:pPr>
            <w:proofErr w:type="spellStart"/>
            <w:r w:rsidRPr="00A314E2">
              <w:rPr>
                <w:sz w:val="20"/>
                <w:lang w:val="en-US"/>
              </w:rPr>
              <w:t>Radiowave</w:t>
            </w:r>
            <w:proofErr w:type="spellEnd"/>
            <w:r w:rsidRPr="00A314E2">
              <w:rPr>
                <w:sz w:val="20"/>
                <w:lang w:val="en-US"/>
              </w:rPr>
              <w:t xml:space="preserve"> propagation</w:t>
            </w:r>
          </w:p>
        </w:tc>
      </w:tr>
      <w:tr w:rsidR="00B975C4" w:rsidRPr="003B4EE8" w14:paraId="4E616E79" w14:textId="77777777" w:rsidTr="00422C27">
        <w:tc>
          <w:tcPr>
            <w:tcW w:w="1140" w:type="dxa"/>
            <w:tcBorders>
              <w:top w:val="nil"/>
              <w:left w:val="single" w:sz="12" w:space="0" w:color="000080"/>
              <w:bottom w:val="nil"/>
              <w:right w:val="nil"/>
            </w:tcBorders>
            <w:shd w:val="clear" w:color="auto" w:fill="FFFFFF" w:themeFill="background1"/>
          </w:tcPr>
          <w:p w14:paraId="6CEF25D4" w14:textId="77777777" w:rsidR="00B975C4" w:rsidRPr="00422C27" w:rsidRDefault="00B975C4" w:rsidP="000B4BD9">
            <w:pPr>
              <w:spacing w:before="30" w:after="30"/>
              <w:ind w:left="57"/>
              <w:jc w:val="left"/>
              <w:rPr>
                <w:rFonts w:ascii="Times New Roman Bold" w:hAnsi="Times New Roman Bold" w:cs="Times New Roman Bold"/>
                <w:b/>
                <w:bCs/>
                <w:sz w:val="20"/>
                <w:lang w:val="en-US"/>
              </w:rPr>
            </w:pPr>
            <w:r w:rsidRPr="00422C27">
              <w:rPr>
                <w:rFonts w:ascii="Times New Roman Bold" w:hAnsi="Times New Roman Bold" w:cs="Times New Roman Bold"/>
                <w:b/>
                <w:bCs/>
                <w:sz w:val="20"/>
                <w:lang w:val="en-US"/>
              </w:rPr>
              <w:t>RA</w:t>
            </w:r>
          </w:p>
        </w:tc>
        <w:tc>
          <w:tcPr>
            <w:tcW w:w="8220" w:type="dxa"/>
            <w:tcBorders>
              <w:top w:val="nil"/>
              <w:left w:val="nil"/>
              <w:bottom w:val="nil"/>
              <w:right w:val="single" w:sz="12" w:space="0" w:color="000080"/>
            </w:tcBorders>
            <w:shd w:val="clear" w:color="auto" w:fill="FFFFFF" w:themeFill="background1"/>
          </w:tcPr>
          <w:p w14:paraId="2D8B26EF" w14:textId="77777777" w:rsidR="00B975C4" w:rsidRPr="00422C27" w:rsidRDefault="00B975C4" w:rsidP="000B4BD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rPr>
            </w:pPr>
            <w:r w:rsidRPr="00422C27">
              <w:rPr>
                <w:sz w:val="20"/>
                <w:lang w:val="fr-CH"/>
              </w:rPr>
              <w:t xml:space="preserve">Radio </w:t>
            </w:r>
            <w:proofErr w:type="spellStart"/>
            <w:r w:rsidRPr="00422C27">
              <w:rPr>
                <w:sz w:val="20"/>
                <w:lang w:val="fr-CH"/>
              </w:rPr>
              <w:t>astronomy</w:t>
            </w:r>
            <w:proofErr w:type="spellEnd"/>
          </w:p>
        </w:tc>
      </w:tr>
      <w:tr w:rsidR="00B975C4" w:rsidRPr="003B4EE8" w14:paraId="2FECCB58" w14:textId="77777777" w:rsidTr="00422C27">
        <w:tc>
          <w:tcPr>
            <w:tcW w:w="1140" w:type="dxa"/>
            <w:tcBorders>
              <w:top w:val="nil"/>
              <w:left w:val="single" w:sz="12" w:space="0" w:color="000080"/>
              <w:bottom w:val="nil"/>
              <w:right w:val="nil"/>
            </w:tcBorders>
            <w:shd w:val="clear" w:color="auto" w:fill="D9D9D9" w:themeFill="background1" w:themeFillShade="D9"/>
          </w:tcPr>
          <w:p w14:paraId="0AD7F506" w14:textId="77777777" w:rsidR="00B975C4" w:rsidRPr="00422C27" w:rsidRDefault="00B975C4" w:rsidP="000B4BD9">
            <w:pPr>
              <w:spacing w:before="30" w:after="30"/>
              <w:ind w:left="57"/>
              <w:jc w:val="left"/>
              <w:rPr>
                <w:b/>
                <w:bCs/>
                <w:color w:val="000080"/>
                <w:sz w:val="20"/>
                <w:lang w:val="en-US"/>
              </w:rPr>
            </w:pPr>
            <w:r w:rsidRPr="00422C27">
              <w:rPr>
                <w:b/>
                <w:bCs/>
                <w:color w:val="000080"/>
                <w:sz w:val="20"/>
                <w:lang w:val="en-US"/>
              </w:rPr>
              <w:t>RS</w:t>
            </w:r>
          </w:p>
        </w:tc>
        <w:tc>
          <w:tcPr>
            <w:tcW w:w="8220" w:type="dxa"/>
            <w:tcBorders>
              <w:top w:val="nil"/>
              <w:left w:val="nil"/>
              <w:bottom w:val="nil"/>
              <w:right w:val="single" w:sz="12" w:space="0" w:color="000080"/>
            </w:tcBorders>
            <w:shd w:val="clear" w:color="auto" w:fill="D9D9D9" w:themeFill="background1" w:themeFillShade="D9"/>
          </w:tcPr>
          <w:p w14:paraId="19DF8B39" w14:textId="77777777" w:rsidR="00B975C4" w:rsidRPr="00422C27" w:rsidRDefault="00B975C4" w:rsidP="00422C27">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bCs/>
                <w:color w:val="000080"/>
                <w:sz w:val="20"/>
                <w:lang w:val="en-US"/>
              </w:rPr>
            </w:pPr>
            <w:r w:rsidRPr="00422C27">
              <w:rPr>
                <w:b/>
                <w:bCs/>
                <w:color w:val="000080"/>
                <w:sz w:val="20"/>
                <w:lang w:val="en-US"/>
              </w:rPr>
              <w:t>Remote sensing systems</w:t>
            </w:r>
          </w:p>
        </w:tc>
      </w:tr>
      <w:tr w:rsidR="00B975C4" w14:paraId="4AADDBD7" w14:textId="77777777" w:rsidTr="00B975C4">
        <w:tc>
          <w:tcPr>
            <w:tcW w:w="1140" w:type="dxa"/>
            <w:tcBorders>
              <w:top w:val="nil"/>
              <w:left w:val="single" w:sz="12" w:space="0" w:color="000080"/>
              <w:bottom w:val="nil"/>
              <w:right w:val="nil"/>
            </w:tcBorders>
          </w:tcPr>
          <w:p w14:paraId="2A41CD4E" w14:textId="77777777" w:rsidR="00B975C4" w:rsidRDefault="00B975C4" w:rsidP="000B4BD9">
            <w:pPr>
              <w:spacing w:before="30" w:after="30"/>
              <w:ind w:left="57"/>
              <w:jc w:val="left"/>
              <w:rPr>
                <w:b/>
                <w:bCs/>
                <w:sz w:val="20"/>
                <w:lang w:val="en-US"/>
              </w:rPr>
            </w:pPr>
            <w:r>
              <w:rPr>
                <w:b/>
                <w:bCs/>
                <w:sz w:val="20"/>
                <w:lang w:val="en-US"/>
              </w:rPr>
              <w:t>S</w:t>
            </w:r>
          </w:p>
        </w:tc>
        <w:tc>
          <w:tcPr>
            <w:tcW w:w="8220" w:type="dxa"/>
            <w:tcBorders>
              <w:top w:val="nil"/>
              <w:left w:val="nil"/>
              <w:bottom w:val="nil"/>
              <w:right w:val="single" w:sz="12" w:space="0" w:color="000080"/>
            </w:tcBorders>
          </w:tcPr>
          <w:p w14:paraId="396DF71D" w14:textId="77777777" w:rsidR="00B975C4" w:rsidRDefault="00B975C4" w:rsidP="000B4BD9">
            <w:pPr>
              <w:spacing w:before="30" w:after="30"/>
              <w:jc w:val="left"/>
              <w:rPr>
                <w:sz w:val="20"/>
                <w:lang w:val="en-US"/>
              </w:rPr>
            </w:pPr>
            <w:r>
              <w:rPr>
                <w:sz w:val="20"/>
                <w:lang w:val="en-US"/>
              </w:rPr>
              <w:t>Fixed-satellite service</w:t>
            </w:r>
          </w:p>
        </w:tc>
      </w:tr>
      <w:tr w:rsidR="00B975C4" w14:paraId="4F648F07" w14:textId="77777777" w:rsidTr="00B975C4">
        <w:tc>
          <w:tcPr>
            <w:tcW w:w="1140" w:type="dxa"/>
            <w:tcBorders>
              <w:top w:val="nil"/>
              <w:left w:val="single" w:sz="12" w:space="0" w:color="000080"/>
              <w:bottom w:val="nil"/>
              <w:right w:val="nil"/>
            </w:tcBorders>
          </w:tcPr>
          <w:p w14:paraId="0AD7ABD0" w14:textId="77777777" w:rsidR="00B975C4" w:rsidRDefault="00B975C4" w:rsidP="000B4BD9">
            <w:pPr>
              <w:spacing w:before="30" w:after="30"/>
              <w:ind w:left="57"/>
              <w:jc w:val="left"/>
              <w:rPr>
                <w:b/>
                <w:bCs/>
                <w:sz w:val="20"/>
                <w:lang w:val="en-US"/>
              </w:rPr>
            </w:pPr>
            <w:r>
              <w:rPr>
                <w:b/>
                <w:bCs/>
                <w:sz w:val="20"/>
                <w:lang w:val="en-US"/>
              </w:rPr>
              <w:t>SA</w:t>
            </w:r>
          </w:p>
        </w:tc>
        <w:tc>
          <w:tcPr>
            <w:tcW w:w="8220" w:type="dxa"/>
            <w:tcBorders>
              <w:top w:val="nil"/>
              <w:left w:val="nil"/>
              <w:bottom w:val="nil"/>
              <w:right w:val="single" w:sz="12" w:space="0" w:color="000080"/>
            </w:tcBorders>
          </w:tcPr>
          <w:p w14:paraId="0EE702D6" w14:textId="77777777" w:rsidR="00B975C4" w:rsidRDefault="00B975C4" w:rsidP="000B4BD9">
            <w:pPr>
              <w:spacing w:before="30" w:after="30"/>
              <w:jc w:val="left"/>
              <w:rPr>
                <w:sz w:val="20"/>
                <w:lang w:val="en-US"/>
              </w:rPr>
            </w:pPr>
            <w:r>
              <w:rPr>
                <w:sz w:val="20"/>
                <w:lang w:val="en-US"/>
              </w:rPr>
              <w:t>Space applications and meteorology</w:t>
            </w:r>
          </w:p>
        </w:tc>
      </w:tr>
      <w:tr w:rsidR="00B975C4" w:rsidRPr="003C6718" w14:paraId="1995927B" w14:textId="77777777" w:rsidTr="00B975C4">
        <w:tc>
          <w:tcPr>
            <w:tcW w:w="1140" w:type="dxa"/>
            <w:tcBorders>
              <w:top w:val="nil"/>
              <w:left w:val="single" w:sz="12" w:space="0" w:color="000080"/>
              <w:bottom w:val="nil"/>
              <w:right w:val="nil"/>
            </w:tcBorders>
          </w:tcPr>
          <w:p w14:paraId="5FCFDDBA" w14:textId="77777777" w:rsidR="00B975C4" w:rsidRDefault="00B975C4" w:rsidP="000B4BD9">
            <w:pPr>
              <w:spacing w:before="30" w:after="30"/>
              <w:ind w:left="57"/>
              <w:jc w:val="left"/>
              <w:rPr>
                <w:b/>
                <w:bCs/>
                <w:sz w:val="20"/>
                <w:lang w:val="en-US"/>
              </w:rPr>
            </w:pPr>
            <w:r>
              <w:rPr>
                <w:b/>
                <w:bCs/>
                <w:sz w:val="20"/>
                <w:lang w:val="en-US"/>
              </w:rPr>
              <w:t>SF</w:t>
            </w:r>
          </w:p>
        </w:tc>
        <w:tc>
          <w:tcPr>
            <w:tcW w:w="8220" w:type="dxa"/>
            <w:tcBorders>
              <w:top w:val="nil"/>
              <w:left w:val="nil"/>
              <w:bottom w:val="nil"/>
              <w:right w:val="single" w:sz="12" w:space="0" w:color="000080"/>
            </w:tcBorders>
          </w:tcPr>
          <w:p w14:paraId="447A0EC6" w14:textId="77777777" w:rsidR="00B975C4" w:rsidRDefault="00B975C4" w:rsidP="000B4BD9">
            <w:pPr>
              <w:spacing w:before="30" w:after="30"/>
              <w:jc w:val="left"/>
              <w:rPr>
                <w:sz w:val="20"/>
                <w:lang w:val="en-US"/>
              </w:rPr>
            </w:pPr>
            <w:r>
              <w:rPr>
                <w:sz w:val="20"/>
                <w:lang w:val="en-US"/>
              </w:rPr>
              <w:t>Frequency sharing and coordination between fixed-satellite and fixed service systems</w:t>
            </w:r>
          </w:p>
        </w:tc>
      </w:tr>
      <w:tr w:rsidR="00EA0CFE" w:rsidRPr="003C6718" w14:paraId="3E33554E" w14:textId="77777777" w:rsidTr="00B975C4">
        <w:tc>
          <w:tcPr>
            <w:tcW w:w="1140" w:type="dxa"/>
            <w:tcBorders>
              <w:top w:val="nil"/>
              <w:left w:val="single" w:sz="12" w:space="0" w:color="000080"/>
              <w:bottom w:val="nil"/>
              <w:right w:val="nil"/>
            </w:tcBorders>
          </w:tcPr>
          <w:p w14:paraId="1A213647" w14:textId="77777777" w:rsidR="00EA0CFE" w:rsidRDefault="00EA0CFE" w:rsidP="000B4BD9">
            <w:pPr>
              <w:spacing w:before="30" w:after="30"/>
              <w:ind w:left="57"/>
              <w:jc w:val="left"/>
              <w:rPr>
                <w:b/>
                <w:bCs/>
                <w:sz w:val="20"/>
                <w:lang w:val="en-US"/>
              </w:rPr>
            </w:pPr>
            <w:r>
              <w:rPr>
                <w:b/>
                <w:bCs/>
                <w:sz w:val="20"/>
                <w:lang w:val="en-US"/>
              </w:rPr>
              <w:t>SM</w:t>
            </w:r>
          </w:p>
        </w:tc>
        <w:tc>
          <w:tcPr>
            <w:tcW w:w="8220" w:type="dxa"/>
            <w:tcBorders>
              <w:top w:val="nil"/>
              <w:left w:val="nil"/>
              <w:bottom w:val="nil"/>
              <w:right w:val="single" w:sz="12" w:space="0" w:color="000080"/>
            </w:tcBorders>
          </w:tcPr>
          <w:p w14:paraId="072C011C" w14:textId="77777777" w:rsidR="00EA0CFE" w:rsidRDefault="00EA0CFE" w:rsidP="000B4BD9">
            <w:pPr>
              <w:spacing w:before="30" w:after="30"/>
              <w:jc w:val="left"/>
              <w:rPr>
                <w:sz w:val="20"/>
                <w:lang w:val="en-US"/>
              </w:rPr>
            </w:pPr>
            <w:r>
              <w:rPr>
                <w:sz w:val="20"/>
                <w:lang w:val="en-US"/>
              </w:rPr>
              <w:t>Spectrum management</w:t>
            </w:r>
          </w:p>
        </w:tc>
      </w:tr>
      <w:tr w:rsidR="00B975C4" w14:paraId="054B3B56" w14:textId="77777777" w:rsidTr="00B975C4">
        <w:tc>
          <w:tcPr>
            <w:tcW w:w="1140" w:type="dxa"/>
            <w:tcBorders>
              <w:top w:val="nil"/>
              <w:left w:val="single" w:sz="12" w:space="0" w:color="000080"/>
              <w:bottom w:val="single" w:sz="12" w:space="0" w:color="000080"/>
              <w:right w:val="nil"/>
            </w:tcBorders>
          </w:tcPr>
          <w:p w14:paraId="525C6BC6" w14:textId="77777777" w:rsidR="00B975C4" w:rsidRDefault="00EA0CFE" w:rsidP="000B4BD9">
            <w:pPr>
              <w:spacing w:before="30" w:after="30"/>
              <w:ind w:left="57"/>
              <w:jc w:val="left"/>
              <w:rPr>
                <w:b/>
                <w:bCs/>
                <w:sz w:val="20"/>
                <w:lang w:val="en-US"/>
              </w:rPr>
            </w:pPr>
            <w:r>
              <w:rPr>
                <w:b/>
                <w:bCs/>
                <w:sz w:val="20"/>
                <w:lang w:val="en-US"/>
              </w:rPr>
              <w:t>TF</w:t>
            </w:r>
          </w:p>
        </w:tc>
        <w:tc>
          <w:tcPr>
            <w:tcW w:w="8220" w:type="dxa"/>
            <w:tcBorders>
              <w:top w:val="nil"/>
              <w:left w:val="nil"/>
              <w:bottom w:val="single" w:sz="12" w:space="0" w:color="000080"/>
              <w:right w:val="single" w:sz="12" w:space="0" w:color="000080"/>
            </w:tcBorders>
          </w:tcPr>
          <w:p w14:paraId="3E9F6DFC" w14:textId="77777777" w:rsidR="00B975C4" w:rsidRDefault="00EA0CFE" w:rsidP="000B4BD9">
            <w:pPr>
              <w:spacing w:before="30" w:after="180"/>
              <w:jc w:val="left"/>
              <w:rPr>
                <w:sz w:val="20"/>
                <w:lang w:val="en-US"/>
              </w:rPr>
            </w:pPr>
            <w:r w:rsidRPr="000F1EC4">
              <w:rPr>
                <w:sz w:val="20"/>
                <w:lang w:val="en-US"/>
              </w:rPr>
              <w:t>Time signals and frequency standards emissions</w:t>
            </w:r>
          </w:p>
        </w:tc>
      </w:tr>
    </w:tbl>
    <w:p w14:paraId="322FFD1A" w14:textId="77777777" w:rsidR="00B975C4" w:rsidRDefault="00B975C4" w:rsidP="00B975C4">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B975C4" w14:paraId="046850EC" w14:textId="77777777" w:rsidTr="000B4BD9">
        <w:tc>
          <w:tcPr>
            <w:tcW w:w="720" w:type="dxa"/>
          </w:tcPr>
          <w:p w14:paraId="760DA463" w14:textId="77777777" w:rsidR="00B975C4" w:rsidRDefault="00B975C4" w:rsidP="000B4BD9">
            <w:pPr>
              <w:jc w:val="center"/>
              <w:rPr>
                <w:sz w:val="22"/>
                <w:lang w:val="en-US"/>
              </w:rPr>
            </w:pPr>
          </w:p>
        </w:tc>
      </w:tr>
    </w:tbl>
    <w:p w14:paraId="30F51107" w14:textId="77777777" w:rsidR="00B975C4" w:rsidRDefault="00B975C4" w:rsidP="00B975C4">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609"/>
      </w:tblGrid>
      <w:tr w:rsidR="00B975C4" w:rsidRPr="003C6718" w14:paraId="09B125E5" w14:textId="77777777" w:rsidTr="00B975C4">
        <w:tc>
          <w:tcPr>
            <w:tcW w:w="9360" w:type="dxa"/>
            <w:tcBorders>
              <w:top w:val="single" w:sz="12" w:space="0" w:color="000080"/>
              <w:left w:val="single" w:sz="12" w:space="0" w:color="000080"/>
              <w:bottom w:val="single" w:sz="12" w:space="0" w:color="000080"/>
              <w:right w:val="single" w:sz="12" w:space="0" w:color="000080"/>
            </w:tcBorders>
          </w:tcPr>
          <w:p w14:paraId="449B0239" w14:textId="77777777" w:rsidR="00B975C4" w:rsidRPr="00517190" w:rsidRDefault="00B975C4" w:rsidP="004941AC">
            <w:pPr>
              <w:spacing w:after="120"/>
              <w:rPr>
                <w:b/>
                <w:bCs/>
                <w:sz w:val="20"/>
                <w:lang w:val="en-US"/>
              </w:rPr>
            </w:pPr>
            <w:r w:rsidRPr="00517190">
              <w:rPr>
                <w:b/>
                <w:bCs/>
                <w:i/>
                <w:iCs/>
                <w:sz w:val="20"/>
                <w:lang w:val="en-US"/>
              </w:rPr>
              <w:t>Note</w:t>
            </w:r>
            <w:r w:rsidRPr="00517190">
              <w:rPr>
                <w:i/>
                <w:iCs/>
                <w:sz w:val="20"/>
                <w:lang w:val="en-US"/>
              </w:rPr>
              <w:t>: This ITU-R Report was approved in English by the Study Group under the procedure detailed in Resolution</w:t>
            </w:r>
            <w:r w:rsidR="004941AC">
              <w:rPr>
                <w:i/>
                <w:iCs/>
                <w:sz w:val="20"/>
                <w:lang w:val="en-US"/>
              </w:rPr>
              <w:t xml:space="preserve"> </w:t>
            </w:r>
            <w:r w:rsidRPr="00517190">
              <w:rPr>
                <w:i/>
                <w:iCs/>
                <w:sz w:val="20"/>
                <w:lang w:val="en-US"/>
              </w:rPr>
              <w:t>ITU</w:t>
            </w:r>
            <w:r w:rsidR="004941AC">
              <w:rPr>
                <w:i/>
                <w:iCs/>
                <w:sz w:val="20"/>
                <w:lang w:val="en-US"/>
              </w:rPr>
              <w:noBreakHyphen/>
            </w:r>
            <w:r w:rsidRPr="00517190">
              <w:rPr>
                <w:i/>
                <w:iCs/>
                <w:sz w:val="20"/>
                <w:lang w:val="en-US"/>
              </w:rPr>
              <w:t>R 1.</w:t>
            </w:r>
          </w:p>
        </w:tc>
      </w:tr>
    </w:tbl>
    <w:p w14:paraId="6C0765DB" w14:textId="77777777" w:rsidR="00B975C4" w:rsidRDefault="00B975C4" w:rsidP="00B975C4">
      <w:pPr>
        <w:spacing w:before="0"/>
        <w:jc w:val="center"/>
        <w:rPr>
          <w:sz w:val="22"/>
          <w:lang w:val="en-US"/>
        </w:rPr>
      </w:pPr>
    </w:p>
    <w:p w14:paraId="72DB6E14" w14:textId="77777777" w:rsidR="00B975C4" w:rsidRDefault="00B975C4" w:rsidP="00B975C4">
      <w:pPr>
        <w:spacing w:before="0"/>
        <w:jc w:val="right"/>
        <w:rPr>
          <w:i/>
          <w:iCs/>
          <w:sz w:val="20"/>
          <w:lang w:val="en-US"/>
        </w:rPr>
      </w:pPr>
      <w:r>
        <w:rPr>
          <w:i/>
          <w:iCs/>
          <w:sz w:val="20"/>
          <w:lang w:val="en-US"/>
        </w:rPr>
        <w:t>Electronic Publication</w:t>
      </w:r>
    </w:p>
    <w:p w14:paraId="671AE847" w14:textId="77777777" w:rsidR="00B975C4" w:rsidRDefault="00B975C4" w:rsidP="00B975C4">
      <w:pPr>
        <w:spacing w:before="0"/>
        <w:jc w:val="right"/>
        <w:rPr>
          <w:sz w:val="20"/>
          <w:lang w:val="en-US"/>
        </w:rPr>
      </w:pPr>
      <w:smartTag w:uri="urn:schemas-microsoft-com:office:smarttags" w:element="State">
        <w:smartTag w:uri="urn:schemas-microsoft-com:office:smarttags" w:element="place">
          <w:r>
            <w:rPr>
              <w:sz w:val="20"/>
              <w:lang w:val="en-US"/>
            </w:rPr>
            <w:t>Geneva</w:t>
          </w:r>
        </w:smartTag>
      </w:smartTag>
      <w:r>
        <w:rPr>
          <w:sz w:val="20"/>
          <w:lang w:val="en-US"/>
        </w:rPr>
        <w:t>, 2023</w:t>
      </w:r>
    </w:p>
    <w:p w14:paraId="0E4DE51B" w14:textId="77777777" w:rsidR="00B975C4" w:rsidRDefault="00B975C4" w:rsidP="00B975C4">
      <w:pPr>
        <w:jc w:val="center"/>
        <w:rPr>
          <w:sz w:val="20"/>
          <w:lang w:val="en-US"/>
        </w:rPr>
      </w:pPr>
      <w:r>
        <w:rPr>
          <w:sz w:val="20"/>
          <w:lang w:val="en-US"/>
        </w:rPr>
        <w:sym w:font="Symbol" w:char="00E3"/>
      </w:r>
      <w:r>
        <w:rPr>
          <w:sz w:val="20"/>
          <w:lang w:val="en-US"/>
        </w:rPr>
        <w:t xml:space="preserve"> ITU </w:t>
      </w:r>
      <w:bookmarkStart w:id="2" w:name="iiannee"/>
      <w:bookmarkEnd w:id="2"/>
      <w:r>
        <w:rPr>
          <w:sz w:val="20"/>
          <w:lang w:val="en-US"/>
        </w:rPr>
        <w:t>2023</w:t>
      </w:r>
    </w:p>
    <w:p w14:paraId="5D5AF334" w14:textId="77777777" w:rsidR="00D5024B" w:rsidRPr="00470E28" w:rsidRDefault="00B975C4" w:rsidP="00B975C4">
      <w:pPr>
        <w:rPr>
          <w:sz w:val="18"/>
          <w:szCs w:val="18"/>
          <w:lang w:val="en-US"/>
        </w:rPr>
      </w:pPr>
      <w:r>
        <w:rPr>
          <w:sz w:val="18"/>
          <w:szCs w:val="18"/>
          <w:lang w:val="en-US"/>
        </w:rPr>
        <w:t>All rights reserved. No part of this publication may be reproduced, by any means whatsoever, without written permission of ITU.</w:t>
      </w:r>
    </w:p>
    <w:p w14:paraId="05310D27" w14:textId="77777777" w:rsidR="007565CC" w:rsidRDefault="007565CC" w:rsidP="00A971A1">
      <w:pPr>
        <w:spacing w:before="160"/>
        <w:rPr>
          <w:i/>
          <w:sz w:val="20"/>
          <w:lang w:val="en-US"/>
        </w:rPr>
        <w:sectPr w:rsidR="007565CC"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45D23CED" w14:textId="1494DF31" w:rsidR="00B874C6" w:rsidRPr="00B874C6" w:rsidRDefault="00B874C6" w:rsidP="00A936CB">
      <w:pPr>
        <w:pStyle w:val="RecNo"/>
        <w:spacing w:before="0"/>
        <w:rPr>
          <w:lang w:val="en-US"/>
        </w:rPr>
      </w:pPr>
      <w:bookmarkStart w:id="3" w:name="irecnoe"/>
      <w:bookmarkEnd w:id="3"/>
      <w:proofErr w:type="gramStart"/>
      <w:r w:rsidRPr="00BF487A">
        <w:lastRenderedPageBreak/>
        <w:t>RE</w:t>
      </w:r>
      <w:r w:rsidR="00B975C4">
        <w:t>PORT</w:t>
      </w:r>
      <w:r w:rsidRPr="00BF487A">
        <w:t xml:space="preserve">  </w:t>
      </w:r>
      <w:r w:rsidRPr="00BF487A">
        <w:rPr>
          <w:rStyle w:val="href"/>
          <w:lang w:val="en-US"/>
        </w:rPr>
        <w:t>ITU</w:t>
      </w:r>
      <w:proofErr w:type="gramEnd"/>
      <w:r w:rsidRPr="00BF487A">
        <w:rPr>
          <w:rStyle w:val="href"/>
          <w:lang w:val="en-US"/>
        </w:rPr>
        <w:t xml:space="preserve">-R  </w:t>
      </w:r>
      <w:r w:rsidR="00A314E2">
        <w:rPr>
          <w:rStyle w:val="href"/>
          <w:lang w:val="en-US"/>
        </w:rPr>
        <w:t>R</w:t>
      </w:r>
      <w:r w:rsidR="00422C27">
        <w:rPr>
          <w:rStyle w:val="href"/>
          <w:lang w:val="en-US"/>
        </w:rPr>
        <w:t>S</w:t>
      </w:r>
      <w:r w:rsidRPr="00BF487A">
        <w:rPr>
          <w:rStyle w:val="href"/>
          <w:lang w:val="en-US"/>
        </w:rPr>
        <w:t>.</w:t>
      </w:r>
      <w:r w:rsidR="003244CE">
        <w:rPr>
          <w:rStyle w:val="href"/>
          <w:lang w:val="en-US"/>
        </w:rPr>
        <w:t>2537-0</w:t>
      </w:r>
    </w:p>
    <w:p w14:paraId="138B6D4E" w14:textId="77777777" w:rsidR="003244CE" w:rsidRPr="00A73A1E" w:rsidRDefault="003244CE" w:rsidP="003244CE">
      <w:pPr>
        <w:pStyle w:val="Reptitle"/>
      </w:pPr>
      <w:bookmarkStart w:id="4" w:name="_Hlk116372972"/>
      <w:r w:rsidRPr="00A73A1E">
        <w:t xml:space="preserve">Representative system characteristics and examples of evaluating interference into receiving earth stations in the radionavigation-satellite service </w:t>
      </w:r>
      <w:r w:rsidRPr="00A73A1E">
        <w:br/>
        <w:t xml:space="preserve">(space-to-Earth) from spaceborne synthetic aperture radar sensors </w:t>
      </w:r>
      <w:r w:rsidRPr="00A73A1E">
        <w:br/>
        <w:t>in the Earth exploration-satellite (active) service</w:t>
      </w:r>
      <w:r w:rsidRPr="00A73A1E">
        <w:br/>
        <w:t>in the 1 215-1 300 MHz band</w:t>
      </w:r>
      <w:bookmarkEnd w:id="4"/>
    </w:p>
    <w:p w14:paraId="4D2E3830" w14:textId="1ED2F1C3" w:rsidR="003244CE" w:rsidRPr="00A73A1E" w:rsidRDefault="003244CE" w:rsidP="003244CE">
      <w:pPr>
        <w:pStyle w:val="Repref"/>
        <w:rPr>
          <w:rFonts w:eastAsia="MS Mincho"/>
          <w:szCs w:val="24"/>
        </w:rPr>
      </w:pPr>
      <w:r w:rsidRPr="00A73A1E">
        <w:t xml:space="preserve">(Question </w:t>
      </w:r>
      <w:hyperlink r:id="rId14" w:history="1">
        <w:r w:rsidRPr="0031214F">
          <w:rPr>
            <w:rStyle w:val="Hyperlink"/>
            <w:color w:val="auto"/>
            <w:u w:val="none"/>
          </w:rPr>
          <w:t>ITU-R 234/7</w:t>
        </w:r>
      </w:hyperlink>
      <w:r w:rsidRPr="00A73A1E">
        <w:rPr>
          <w:rFonts w:eastAsia="MS Mincho"/>
          <w:szCs w:val="24"/>
        </w:rPr>
        <w:t>)</w:t>
      </w:r>
    </w:p>
    <w:p w14:paraId="012E5E69" w14:textId="77777777" w:rsidR="003244CE" w:rsidRPr="00A73A1E" w:rsidRDefault="003244CE" w:rsidP="003244CE">
      <w:pPr>
        <w:pStyle w:val="Repdate"/>
        <w:rPr>
          <w:rFonts w:eastAsia="MS Mincho"/>
        </w:rPr>
      </w:pPr>
      <w:r w:rsidRPr="00A73A1E">
        <w:rPr>
          <w:rFonts w:eastAsia="MS Mincho"/>
        </w:rPr>
        <w:t>(2023)</w:t>
      </w:r>
    </w:p>
    <w:p w14:paraId="3BC6FB46" w14:textId="77777777" w:rsidR="003244CE" w:rsidRPr="00F51BE4" w:rsidRDefault="003244CE" w:rsidP="00F51BE4">
      <w:pPr>
        <w:pStyle w:val="HeadingSum"/>
        <w:rPr>
          <w:rFonts w:eastAsia="MS Mincho"/>
          <w:lang w:val="en-GB"/>
        </w:rPr>
      </w:pPr>
      <w:r w:rsidRPr="00F51BE4">
        <w:rPr>
          <w:rFonts w:eastAsia="MS Mincho"/>
          <w:lang w:val="en-GB"/>
        </w:rPr>
        <w:t>Scope</w:t>
      </w:r>
    </w:p>
    <w:p w14:paraId="5BA27675" w14:textId="77777777" w:rsidR="003244CE" w:rsidRPr="005B0F53" w:rsidRDefault="003244CE" w:rsidP="00F51BE4">
      <w:pPr>
        <w:pStyle w:val="Summary"/>
        <w:rPr>
          <w:lang w:val="en-GB"/>
        </w:rPr>
      </w:pPr>
      <w:r w:rsidRPr="00F02281">
        <w:rPr>
          <w:lang w:val="en-GB"/>
        </w:rPr>
        <w:t xml:space="preserve">Recommendation ITU-R RS.2160 recommends that the methodology of Recommendation </w:t>
      </w:r>
      <w:r w:rsidR="00F7477C">
        <w:fldChar w:fldCharType="begin"/>
      </w:r>
      <w:r w:rsidR="00F7477C" w:rsidRPr="00F7477C">
        <w:rPr>
          <w:lang w:val="en-GB"/>
        </w:rPr>
        <w:instrText>HYPERLINK "http://www.itu.int/rec/R-REC-M.2030/en"</w:instrText>
      </w:r>
      <w:r w:rsidR="00F7477C">
        <w:fldChar w:fldCharType="separate"/>
      </w:r>
      <w:r w:rsidRPr="00F02281">
        <w:rPr>
          <w:lang w:val="en-GB"/>
        </w:rPr>
        <w:t>ITU-R M.2030</w:t>
      </w:r>
      <w:r w:rsidR="00F7477C">
        <w:rPr>
          <w:lang w:val="en-GB"/>
        </w:rPr>
        <w:fldChar w:fldCharType="end"/>
      </w:r>
      <w:r w:rsidRPr="00F02281">
        <w:rPr>
          <w:lang w:val="en-GB"/>
        </w:rPr>
        <w:t xml:space="preserve"> be used for performing a preliminary evaluation of the interference from one of the planned and future Earth exploration-satellite service (active) (EESS (active)) spaceborne synthetic aperture radars (SARs) to the receiving earth stations in the radionavigation-satellite service (RNSS) (space-to-Earth) operating in the frequency band 1 215-1 300 </w:t>
      </w:r>
      <w:proofErr w:type="spellStart"/>
      <w:r w:rsidRPr="00F02281">
        <w:rPr>
          <w:lang w:val="en-GB"/>
        </w:rPr>
        <w:t>MHz.</w:t>
      </w:r>
      <w:proofErr w:type="spellEnd"/>
      <w:r w:rsidRPr="00F02281">
        <w:rPr>
          <w:lang w:val="en-GB"/>
        </w:rPr>
        <w:t xml:space="preserve"> </w:t>
      </w:r>
      <w:r w:rsidRPr="005B0F53">
        <w:rPr>
          <w:lang w:val="en-GB"/>
        </w:rPr>
        <w:t xml:space="preserve">This Report presents examples of applying the methodology of Recommendation </w:t>
      </w:r>
      <w:r w:rsidR="00F7477C">
        <w:fldChar w:fldCharType="begin"/>
      </w:r>
      <w:r w:rsidR="00F7477C" w:rsidRPr="00F7477C">
        <w:rPr>
          <w:lang w:val="en-GB"/>
        </w:rPr>
        <w:instrText>HYPERLINK "http://www.itu.int/rec/R-REC-M.2030/en"</w:instrText>
      </w:r>
      <w:r w:rsidR="00F7477C">
        <w:fldChar w:fldCharType="separate"/>
      </w:r>
      <w:r w:rsidRPr="005B0F53">
        <w:rPr>
          <w:lang w:val="en-GB"/>
        </w:rPr>
        <w:t>ITU-R M.2030</w:t>
      </w:r>
      <w:r w:rsidR="00F7477C">
        <w:rPr>
          <w:lang w:val="en-GB"/>
        </w:rPr>
        <w:fldChar w:fldCharType="end"/>
      </w:r>
      <w:r w:rsidRPr="005B0F53">
        <w:rPr>
          <w:lang w:val="en-GB"/>
        </w:rPr>
        <w:t xml:space="preserve"> in a preliminary evaluation of the interference from one of the spaceborne synthetic aperture radars in the EESS (active) into receiving earth stations in the RNSS (space-to-Earth) operating in the 1 215-1 300 MHz frequency band. This Report has not been evaluated for application to RNSS (space</w:t>
      </w:r>
      <w:r w:rsidRPr="005B0F53">
        <w:rPr>
          <w:lang w:val="en-GB"/>
        </w:rPr>
        <w:noBreakHyphen/>
        <w:t>to-space) receivers on board spacecraft. Annex 1 contains technical characteristics for representative EESS spaceborne SARs and characteristics and protection criteria for RNSS receiving earth stations based on Recommendation</w:t>
      </w:r>
      <w:r w:rsidRPr="005B0F53">
        <w:rPr>
          <w:spacing w:val="-4"/>
          <w:lang w:val="en-GB"/>
        </w:rPr>
        <w:t xml:space="preserve"> </w:t>
      </w:r>
      <w:r w:rsidR="00F7477C">
        <w:fldChar w:fldCharType="begin"/>
      </w:r>
      <w:r w:rsidR="00F7477C" w:rsidRPr="00F7477C">
        <w:rPr>
          <w:lang w:val="en-GB"/>
        </w:rPr>
        <w:instrText>HYPERLINK "http://www.itu.int/rec/R-REC-M.1902/en"</w:instrText>
      </w:r>
      <w:r w:rsidR="00F7477C">
        <w:fldChar w:fldCharType="separate"/>
      </w:r>
      <w:r w:rsidRPr="005B0F53">
        <w:rPr>
          <w:rStyle w:val="Hyperlink"/>
          <w:rFonts w:eastAsia="SimSun"/>
          <w:color w:val="auto"/>
          <w:szCs w:val="18"/>
          <w:u w:val="none"/>
          <w:lang w:val="en-GB"/>
        </w:rPr>
        <w:t>ITU</w:t>
      </w:r>
      <w:r w:rsidRPr="005B0F53">
        <w:rPr>
          <w:rStyle w:val="Hyperlink"/>
          <w:rFonts w:eastAsia="SimSun"/>
          <w:color w:val="auto"/>
          <w:szCs w:val="18"/>
          <w:u w:val="none"/>
          <w:lang w:val="en-GB"/>
        </w:rPr>
        <w:noBreakHyphen/>
        <w:t>R M.1902</w:t>
      </w:r>
      <w:r w:rsidR="00F7477C">
        <w:rPr>
          <w:rStyle w:val="Hyperlink"/>
          <w:rFonts w:eastAsia="SimSun"/>
          <w:color w:val="auto"/>
          <w:szCs w:val="18"/>
          <w:u w:val="none"/>
          <w:lang w:val="en-GB"/>
        </w:rPr>
        <w:fldChar w:fldCharType="end"/>
      </w:r>
      <w:r w:rsidRPr="005B0F53">
        <w:rPr>
          <w:spacing w:val="-4"/>
          <w:lang w:val="en-GB"/>
        </w:rPr>
        <w:t xml:space="preserve">. </w:t>
      </w:r>
      <w:r w:rsidRPr="005B0F53">
        <w:rPr>
          <w:lang w:val="en-GB"/>
        </w:rPr>
        <w:t xml:space="preserve">Annex 2 presents examples of applying the individual interference evaluation methodology for representative spaceborne SARs of Annex 1 with representative RNSS receivers. When the studies on </w:t>
      </w:r>
      <w:proofErr w:type="spellStart"/>
      <w:r w:rsidRPr="005B0F53">
        <w:rPr>
          <w:lang w:val="en-GB"/>
        </w:rPr>
        <w:t>scatterometers</w:t>
      </w:r>
      <w:proofErr w:type="spellEnd"/>
      <w:r w:rsidRPr="005B0F53">
        <w:rPr>
          <w:lang w:val="en-GB"/>
        </w:rPr>
        <w:t xml:space="preserve"> operating in the 1 215</w:t>
      </w:r>
      <w:r w:rsidRPr="005B0F53">
        <w:rPr>
          <w:lang w:val="en-GB"/>
        </w:rPr>
        <w:noBreakHyphen/>
        <w:t>1 300 MHz band are complete, relevant material could be included in a revision to this Report.</w:t>
      </w:r>
    </w:p>
    <w:p w14:paraId="02A75208" w14:textId="77777777" w:rsidR="003244CE" w:rsidRPr="00A73A1E" w:rsidRDefault="003244CE" w:rsidP="0031214F">
      <w:pPr>
        <w:pStyle w:val="Note"/>
        <w:rPr>
          <w:b/>
        </w:rPr>
      </w:pPr>
      <w:r w:rsidRPr="00F51BE4">
        <w:t xml:space="preserve">NOTE – Because there has been an increased number of satellite networks within the EESS (active) in recent years in the frequency band 1 215-1 300 MHz, including systems consisting of multiple, simultaneously-operating EESS (active) satellites, it is reasonable in future to continue the studies in order to take into account the influence of the aggregate interference from EESS (active) sources which can simultaneously affect the RNSS receiver. The need to take aggregate EESS (active) emissions’ impact on RNSS receivers into account is recognized in and essential to Recommendation ITU-R RS.2160, and study results on resolving potential or actual cases of aggregate interference from EESS (active) SAR sensors at levels that exceed the relevant RNSS degradation allowances can be reflected in a future revision to this Report. In the meantime, Report </w:t>
      </w:r>
      <w:hyperlink r:id="rId15" w:history="1">
        <w:r w:rsidRPr="00F51BE4">
          <w:rPr>
            <w:rStyle w:val="Hyperlink"/>
            <w:rFonts w:eastAsia="SimSun"/>
            <w:color w:val="auto"/>
            <w:u w:val="none"/>
          </w:rPr>
          <w:t>ITU-R M.2305</w:t>
        </w:r>
      </w:hyperlink>
      <w:r w:rsidRPr="00F51BE4">
        <w:t xml:space="preserve">, addressing consideration of aggregate radio frequency interference event potentials from multiple </w:t>
      </w:r>
      <w:r w:rsidRPr="00A73A1E">
        <w:t>Earth exploration-satellite service systems on radionavigation-satellite service receivers operating in the frequency band 1 215-1 300 MHz, could be consulted for guidance.</w:t>
      </w:r>
    </w:p>
    <w:p w14:paraId="6802A31E" w14:textId="77777777" w:rsidR="003244CE" w:rsidRPr="00A73A1E" w:rsidRDefault="003244CE" w:rsidP="003244CE">
      <w:pPr>
        <w:pStyle w:val="Headingb"/>
      </w:pPr>
      <w:r w:rsidRPr="00A73A1E">
        <w:t>Keywords</w:t>
      </w:r>
    </w:p>
    <w:p w14:paraId="4838A82B" w14:textId="77777777" w:rsidR="003244CE" w:rsidRPr="00A73A1E" w:rsidRDefault="003244CE" w:rsidP="003244CE">
      <w:pPr>
        <w:rPr>
          <w:szCs w:val="24"/>
        </w:rPr>
      </w:pPr>
      <w:r w:rsidRPr="00A73A1E">
        <w:t>EESS, pulsed RF interference, RNSS, spaceborne active sensor, spaceborne synthetic aperture radar</w:t>
      </w:r>
      <w:r w:rsidRPr="00A73A1E">
        <w:rPr>
          <w:bCs/>
          <w:szCs w:val="24"/>
        </w:rPr>
        <w:t>,</w:t>
      </w:r>
      <w:r w:rsidRPr="00A73A1E">
        <w:rPr>
          <w:szCs w:val="24"/>
        </w:rPr>
        <w:t xml:space="preserve"> </w:t>
      </w:r>
      <w:proofErr w:type="spellStart"/>
      <w:r w:rsidRPr="00A73A1E">
        <w:rPr>
          <w:szCs w:val="24"/>
        </w:rPr>
        <w:t>scatterometer</w:t>
      </w:r>
      <w:proofErr w:type="spellEnd"/>
    </w:p>
    <w:p w14:paraId="4098442D" w14:textId="4670BA72" w:rsidR="003244CE" w:rsidRPr="00A73A1E" w:rsidRDefault="003244CE" w:rsidP="00831215">
      <w:pPr>
        <w:pStyle w:val="Headingb"/>
      </w:pPr>
      <w:r w:rsidRPr="00831215">
        <w:t>Abbreviations</w:t>
      </w:r>
      <w:r w:rsidRPr="00A73A1E">
        <w:t>/glossary</w:t>
      </w:r>
    </w:p>
    <w:p w14:paraId="1949F310" w14:textId="3513E9B5" w:rsidR="00F51BE4" w:rsidRPr="00831215" w:rsidRDefault="00F51BE4" w:rsidP="00F51BE4">
      <w:pPr>
        <w:tabs>
          <w:tab w:val="clear" w:pos="794"/>
          <w:tab w:val="clear" w:pos="1191"/>
        </w:tabs>
      </w:pPr>
      <w:r w:rsidRPr="00831215">
        <w:t>GPS</w:t>
      </w:r>
      <w:r w:rsidRPr="00831215">
        <w:tab/>
        <w:t>(NAVSTAR) Global positioning system</w:t>
      </w:r>
    </w:p>
    <w:p w14:paraId="44FE7977" w14:textId="3D4031A8" w:rsidR="00F51BE4" w:rsidRPr="00831215" w:rsidRDefault="00F51BE4" w:rsidP="00F51BE4">
      <w:pPr>
        <w:tabs>
          <w:tab w:val="clear" w:pos="794"/>
          <w:tab w:val="clear" w:pos="1191"/>
        </w:tabs>
      </w:pPr>
      <w:r w:rsidRPr="00831215">
        <w:t>GLONASS</w:t>
      </w:r>
      <w:r w:rsidRPr="00831215">
        <w:tab/>
        <w:t>Global navigation satellite system</w:t>
      </w:r>
    </w:p>
    <w:p w14:paraId="7186A89A" w14:textId="178ADCA4" w:rsidR="00F51BE4" w:rsidRPr="00831215" w:rsidRDefault="00F51BE4" w:rsidP="00F51BE4">
      <w:pPr>
        <w:tabs>
          <w:tab w:val="clear" w:pos="794"/>
          <w:tab w:val="clear" w:pos="1191"/>
        </w:tabs>
      </w:pPr>
      <w:r w:rsidRPr="00831215">
        <w:t>QZSS</w:t>
      </w:r>
      <w:r w:rsidRPr="00831215">
        <w:tab/>
        <w:t>Quasi-Zenith satellite system</w:t>
      </w:r>
    </w:p>
    <w:p w14:paraId="55FF0059" w14:textId="08ADB847" w:rsidR="00F51BE4" w:rsidRPr="00F7477C" w:rsidRDefault="00F51BE4" w:rsidP="00F51BE4">
      <w:pPr>
        <w:tabs>
          <w:tab w:val="clear" w:pos="794"/>
          <w:tab w:val="clear" w:pos="1191"/>
        </w:tabs>
        <w:rPr>
          <w:lang w:val="fr-CH"/>
        </w:rPr>
      </w:pPr>
      <w:r w:rsidRPr="00F7477C">
        <w:rPr>
          <w:lang w:val="fr-CH"/>
        </w:rPr>
        <w:t>SAR</w:t>
      </w:r>
      <w:r w:rsidRPr="00F7477C">
        <w:rPr>
          <w:lang w:val="fr-CH"/>
        </w:rPr>
        <w:tab/>
        <w:t>Synthetic aperture radar</w:t>
      </w:r>
    </w:p>
    <w:p w14:paraId="32BD3F75" w14:textId="425D4A24" w:rsidR="00F51BE4" w:rsidRPr="00F7477C" w:rsidRDefault="00F51BE4" w:rsidP="00F51BE4">
      <w:pPr>
        <w:tabs>
          <w:tab w:val="clear" w:pos="794"/>
          <w:tab w:val="clear" w:pos="1191"/>
        </w:tabs>
        <w:rPr>
          <w:lang w:val="fr-CH"/>
        </w:rPr>
      </w:pPr>
      <w:r w:rsidRPr="00F7477C">
        <w:rPr>
          <w:lang w:val="fr-CH"/>
        </w:rPr>
        <w:t>SBAS</w:t>
      </w:r>
      <w:r w:rsidRPr="00F7477C">
        <w:rPr>
          <w:lang w:val="fr-CH"/>
        </w:rPr>
        <w:tab/>
        <w:t>Satellite-based augmentation system</w:t>
      </w:r>
    </w:p>
    <w:p w14:paraId="3863AF8C" w14:textId="77777777" w:rsidR="003244CE" w:rsidRDefault="003244CE" w:rsidP="009B79C2">
      <w:pPr>
        <w:pStyle w:val="Headingb"/>
        <w:rPr>
          <w:rFonts w:eastAsia="Batang"/>
        </w:rPr>
      </w:pPr>
      <w:r w:rsidRPr="00A73A1E">
        <w:rPr>
          <w:rFonts w:eastAsia="Batang"/>
        </w:rPr>
        <w:lastRenderedPageBreak/>
        <w:t xml:space="preserve">Related ITU </w:t>
      </w:r>
      <w:r w:rsidRPr="009B79C2">
        <w:rPr>
          <w:rFonts w:eastAsia="Batang"/>
        </w:rPr>
        <w:t>Recommendations</w:t>
      </w:r>
      <w:r w:rsidRPr="00A73A1E">
        <w:rPr>
          <w:rFonts w:eastAsia="Batang"/>
        </w:rPr>
        <w:t>, Reports</w:t>
      </w:r>
    </w:p>
    <w:p w14:paraId="63526932" w14:textId="00F5BACE" w:rsidR="003244CE" w:rsidRPr="00F51BE4" w:rsidRDefault="003244CE" w:rsidP="00F51BE4">
      <w:pPr>
        <w:pStyle w:val="Reftext"/>
        <w:rPr>
          <w:rFonts w:eastAsia="SimSun"/>
          <w:lang w:eastAsia="zh-CN"/>
        </w:rPr>
      </w:pPr>
      <w:r w:rsidRPr="00F51BE4">
        <w:rPr>
          <w:rFonts w:eastAsia="SimSun"/>
          <w:lang w:eastAsia="zh-CN"/>
        </w:rPr>
        <w:t xml:space="preserve">Recommendation </w:t>
      </w:r>
      <w:hyperlink r:id="rId16" w:history="1">
        <w:r w:rsidRPr="00F51BE4">
          <w:rPr>
            <w:rFonts w:eastAsia="SimSun"/>
            <w:lang w:eastAsia="zh-CN"/>
          </w:rPr>
          <w:t>ITU-R RS.1347</w:t>
        </w:r>
      </w:hyperlink>
      <w:r w:rsidRPr="00F51BE4">
        <w:rPr>
          <w:rFonts w:eastAsia="SimSun"/>
          <w:lang w:eastAsia="zh-CN"/>
        </w:rPr>
        <w:t xml:space="preserve"> – Feasibility of sharing between radionavigation-satellite service receivers and the Earth exploration-satellite (active) and space research (active) services in the 1</w:t>
      </w:r>
      <w:r w:rsidR="00F51BE4">
        <w:rPr>
          <w:rFonts w:eastAsia="SimSun"/>
          <w:lang w:eastAsia="zh-CN"/>
        </w:rPr>
        <w:t> </w:t>
      </w:r>
      <w:r w:rsidRPr="00F51BE4">
        <w:rPr>
          <w:rFonts w:eastAsia="SimSun"/>
          <w:lang w:eastAsia="zh-CN"/>
        </w:rPr>
        <w:t>215</w:t>
      </w:r>
      <w:r w:rsidR="00F51BE4">
        <w:rPr>
          <w:rFonts w:eastAsia="SimSun"/>
          <w:lang w:eastAsia="zh-CN"/>
        </w:rPr>
        <w:noBreakHyphen/>
      </w:r>
      <w:r w:rsidRPr="00F51BE4">
        <w:rPr>
          <w:rFonts w:eastAsia="SimSun"/>
          <w:lang w:eastAsia="zh-CN"/>
        </w:rPr>
        <w:t>1</w:t>
      </w:r>
      <w:r w:rsidR="00F51BE4">
        <w:rPr>
          <w:rFonts w:eastAsia="SimSun"/>
          <w:lang w:eastAsia="zh-CN"/>
        </w:rPr>
        <w:t> </w:t>
      </w:r>
      <w:r w:rsidRPr="00F51BE4">
        <w:rPr>
          <w:rFonts w:eastAsia="SimSun"/>
          <w:lang w:eastAsia="zh-CN"/>
        </w:rPr>
        <w:t>260</w:t>
      </w:r>
      <w:r w:rsidR="00F51BE4">
        <w:rPr>
          <w:rFonts w:eastAsia="SimSun"/>
          <w:lang w:eastAsia="zh-CN"/>
        </w:rPr>
        <w:t> </w:t>
      </w:r>
      <w:r w:rsidRPr="00F51BE4">
        <w:rPr>
          <w:rFonts w:eastAsia="SimSun"/>
          <w:lang w:eastAsia="zh-CN"/>
        </w:rPr>
        <w:t>MHz band</w:t>
      </w:r>
    </w:p>
    <w:p w14:paraId="6B9A8D1C" w14:textId="77777777" w:rsidR="003244CE" w:rsidRPr="00F51BE4" w:rsidRDefault="003244CE" w:rsidP="00F51BE4">
      <w:pPr>
        <w:pStyle w:val="Reftext"/>
        <w:rPr>
          <w:rFonts w:eastAsia="SimSun"/>
          <w:lang w:eastAsia="zh-CN"/>
        </w:rPr>
      </w:pPr>
      <w:r w:rsidRPr="00F51BE4">
        <w:rPr>
          <w:rFonts w:eastAsia="SimSun"/>
          <w:lang w:eastAsia="zh-CN"/>
        </w:rPr>
        <w:t xml:space="preserve">Recommendation </w:t>
      </w:r>
      <w:hyperlink r:id="rId17" w:history="1">
        <w:r w:rsidRPr="00F51BE4">
          <w:rPr>
            <w:rStyle w:val="Hyperlink"/>
            <w:rFonts w:eastAsia="SimSun" w:cs="Arial"/>
            <w:color w:val="auto"/>
            <w:szCs w:val="22"/>
            <w:u w:val="none"/>
            <w:lang w:eastAsia="zh-CN"/>
          </w:rPr>
          <w:t>ITU-R RS.2160</w:t>
        </w:r>
      </w:hyperlink>
      <w:r w:rsidRPr="00F51BE4">
        <w:rPr>
          <w:rStyle w:val="Hyperlink"/>
          <w:rFonts w:eastAsia="SimSun" w:cs="Arial"/>
          <w:color w:val="auto"/>
          <w:szCs w:val="22"/>
          <w:u w:val="none"/>
          <w:lang w:eastAsia="zh-CN"/>
        </w:rPr>
        <w:t xml:space="preserve"> </w:t>
      </w:r>
      <w:r w:rsidRPr="00F51BE4">
        <w:rPr>
          <w:rStyle w:val="Hyperlink"/>
          <w:rFonts w:eastAsia="SimSun"/>
          <w:color w:val="auto"/>
          <w:szCs w:val="22"/>
          <w:u w:val="none"/>
          <w:lang w:eastAsia="zh-CN"/>
        </w:rPr>
        <w:t>–</w:t>
      </w:r>
      <w:r w:rsidRPr="00F51BE4">
        <w:rPr>
          <w:rStyle w:val="Hyperlink"/>
          <w:rFonts w:eastAsia="SimSun" w:cs="Arial"/>
          <w:color w:val="auto"/>
          <w:szCs w:val="22"/>
          <w:u w:val="none"/>
          <w:lang w:eastAsia="zh-CN"/>
        </w:rPr>
        <w:t xml:space="preserve"> </w:t>
      </w:r>
      <w:r w:rsidRPr="00F51BE4">
        <w:rPr>
          <w:rFonts w:eastAsia="SimSun"/>
          <w:lang w:eastAsia="zh-CN"/>
        </w:rPr>
        <w:t>Evaluation of the potential for pulsed interference from new spaceborne synthetic aperture radar sensors in the earth exploration-satellite (active) service to radionavigation-satellite service receivers in the 1 215-1 300 MHz band</w:t>
      </w:r>
    </w:p>
    <w:p w14:paraId="2324653B" w14:textId="51138B8B" w:rsidR="003244CE" w:rsidRPr="00F51BE4" w:rsidRDefault="003244CE" w:rsidP="00F51BE4">
      <w:pPr>
        <w:pStyle w:val="Reftext"/>
        <w:rPr>
          <w:rFonts w:eastAsia="SimSun"/>
          <w:lang w:eastAsia="zh-CN"/>
        </w:rPr>
      </w:pPr>
      <w:r w:rsidRPr="00F51BE4">
        <w:rPr>
          <w:rFonts w:eastAsia="SimSun"/>
          <w:lang w:eastAsia="zh-CN"/>
        </w:rPr>
        <w:t xml:space="preserve">Recommendation </w:t>
      </w:r>
      <w:hyperlink r:id="rId18" w:history="1">
        <w:r w:rsidRPr="00F51BE4">
          <w:rPr>
            <w:rFonts w:eastAsia="Calibri"/>
            <w:lang w:eastAsia="zh-CN"/>
          </w:rPr>
          <w:t>ITU-R M.1318</w:t>
        </w:r>
      </w:hyperlink>
      <w:r w:rsidRPr="00F51BE4">
        <w:rPr>
          <w:rStyle w:val="Hyperlink"/>
          <w:rFonts w:eastAsia="SimSun" w:cs="Arial"/>
          <w:color w:val="auto"/>
          <w:szCs w:val="22"/>
          <w:u w:val="none"/>
          <w:lang w:eastAsia="zh-CN"/>
        </w:rPr>
        <w:t xml:space="preserve"> </w:t>
      </w:r>
      <w:r w:rsidRPr="00F51BE4">
        <w:rPr>
          <w:rStyle w:val="Hyperlink"/>
          <w:rFonts w:eastAsia="SimSun"/>
          <w:color w:val="auto"/>
          <w:szCs w:val="22"/>
          <w:u w:val="none"/>
          <w:lang w:eastAsia="zh-CN"/>
        </w:rPr>
        <w:t xml:space="preserve">– </w:t>
      </w:r>
      <w:r w:rsidRPr="00F51BE4">
        <w:rPr>
          <w:rFonts w:eastAsia="SimSun"/>
          <w:lang w:eastAsia="zh-CN"/>
        </w:rPr>
        <w:t>Evaluation model for continuous interference from radio sources other than in the radionavigation-satellite service to the radionavigation-satellite service systems and networks operating in the 1 164-1 215 MHz, 1 215-1 300 MHz, 1 559-1 610 MHz and 5</w:t>
      </w:r>
      <w:r w:rsidR="00F51BE4">
        <w:rPr>
          <w:rFonts w:eastAsia="SimSun"/>
          <w:lang w:eastAsia="zh-CN"/>
        </w:rPr>
        <w:t> </w:t>
      </w:r>
      <w:r w:rsidRPr="00F51BE4">
        <w:rPr>
          <w:rFonts w:eastAsia="SimSun"/>
          <w:lang w:eastAsia="zh-CN"/>
        </w:rPr>
        <w:t>010</w:t>
      </w:r>
      <w:r w:rsidR="00F51BE4">
        <w:rPr>
          <w:rFonts w:eastAsia="SimSun"/>
          <w:lang w:eastAsia="zh-CN"/>
        </w:rPr>
        <w:noBreakHyphen/>
      </w:r>
      <w:r w:rsidRPr="00F51BE4">
        <w:rPr>
          <w:rFonts w:eastAsia="SimSun"/>
          <w:lang w:eastAsia="zh-CN"/>
        </w:rPr>
        <w:t>5</w:t>
      </w:r>
      <w:r w:rsidR="00F51BE4">
        <w:rPr>
          <w:rFonts w:eastAsia="SimSun"/>
          <w:lang w:eastAsia="zh-CN"/>
        </w:rPr>
        <w:t> </w:t>
      </w:r>
      <w:r w:rsidRPr="00F51BE4">
        <w:rPr>
          <w:rFonts w:eastAsia="SimSun"/>
          <w:lang w:eastAsia="zh-CN"/>
        </w:rPr>
        <w:t>030</w:t>
      </w:r>
      <w:r w:rsidR="00F51BE4">
        <w:rPr>
          <w:rFonts w:eastAsia="SimSun"/>
          <w:lang w:eastAsia="zh-CN"/>
        </w:rPr>
        <w:t> </w:t>
      </w:r>
      <w:r w:rsidRPr="00F51BE4">
        <w:rPr>
          <w:rFonts w:eastAsia="SimSun"/>
          <w:lang w:eastAsia="zh-CN"/>
        </w:rPr>
        <w:t>MHz bands</w:t>
      </w:r>
    </w:p>
    <w:p w14:paraId="464C5E3A" w14:textId="77777777" w:rsidR="003244CE" w:rsidRPr="00F51BE4" w:rsidRDefault="003244CE" w:rsidP="00F51BE4">
      <w:pPr>
        <w:pStyle w:val="Reftext"/>
        <w:rPr>
          <w:rFonts w:eastAsia="Batang"/>
          <w:lang w:eastAsia="zh-CN"/>
        </w:rPr>
      </w:pPr>
      <w:r w:rsidRPr="00F51BE4">
        <w:rPr>
          <w:rFonts w:eastAsia="SimSun"/>
          <w:lang w:eastAsia="zh-CN"/>
        </w:rPr>
        <w:t xml:space="preserve">Recommendation </w:t>
      </w:r>
      <w:hyperlink r:id="rId19" w:history="1">
        <w:r w:rsidRPr="00F51BE4">
          <w:rPr>
            <w:rStyle w:val="Hyperlink"/>
            <w:rFonts w:eastAsia="SimSun" w:cs="Arial"/>
            <w:color w:val="auto"/>
            <w:szCs w:val="22"/>
            <w:u w:val="none"/>
            <w:lang w:eastAsia="zh-CN"/>
          </w:rPr>
          <w:t>ITU-R M.1787</w:t>
        </w:r>
        <w:r w:rsidRPr="00F51BE4" w:rsidDel="00745E16">
          <w:rPr>
            <w:rStyle w:val="Hyperlink"/>
            <w:rFonts w:eastAsia="SimSun" w:cs="Arial"/>
            <w:color w:val="auto"/>
            <w:szCs w:val="22"/>
            <w:u w:val="none"/>
            <w:lang w:eastAsia="zh-CN"/>
          </w:rPr>
          <w:t xml:space="preserve"> </w:t>
        </w:r>
      </w:hyperlink>
      <w:r w:rsidRPr="00F51BE4">
        <w:rPr>
          <w:rStyle w:val="Hyperlink"/>
          <w:rFonts w:eastAsia="SimSun"/>
          <w:color w:val="auto"/>
          <w:szCs w:val="22"/>
          <w:u w:val="none"/>
          <w:lang w:eastAsia="zh-CN"/>
        </w:rPr>
        <w:t>–</w:t>
      </w:r>
      <w:r w:rsidRPr="00F51BE4">
        <w:rPr>
          <w:rStyle w:val="Hyperlink"/>
          <w:rFonts w:eastAsia="SimSun" w:cs="Arial"/>
          <w:color w:val="auto"/>
          <w:szCs w:val="22"/>
          <w:u w:val="none"/>
          <w:lang w:eastAsia="zh-CN"/>
        </w:rPr>
        <w:t xml:space="preserve"> </w:t>
      </w:r>
      <w:r w:rsidRPr="00F51BE4">
        <w:rPr>
          <w:rFonts w:eastAsia="SimSun"/>
          <w:lang w:eastAsia="zh-CN"/>
        </w:rPr>
        <w:t>Description of systems and networks in the radionavigation-satellite service (space-to-Earth and space-to-space) and technical characteristics of transmitting space stations operating in the bands 1 164-1 215 MHz, 1 215</w:t>
      </w:r>
      <w:r w:rsidRPr="00F51BE4">
        <w:rPr>
          <w:rFonts w:eastAsia="SimSun"/>
          <w:lang w:eastAsia="zh-CN"/>
        </w:rPr>
        <w:noBreakHyphen/>
        <w:t>1 300 MHz and 1 559-1 610 MHz</w:t>
      </w:r>
    </w:p>
    <w:p w14:paraId="7AC7B015" w14:textId="12BE6CE8" w:rsidR="003244CE" w:rsidRPr="00F51BE4" w:rsidRDefault="003244CE" w:rsidP="00F51BE4">
      <w:pPr>
        <w:pStyle w:val="Reftext"/>
        <w:rPr>
          <w:rFonts w:eastAsia="Batang"/>
          <w:lang w:eastAsia="zh-CN"/>
        </w:rPr>
      </w:pPr>
      <w:r w:rsidRPr="00F51BE4">
        <w:rPr>
          <w:rFonts w:eastAsia="SimSun"/>
          <w:lang w:eastAsia="zh-CN"/>
        </w:rPr>
        <w:t xml:space="preserve">Recommendation </w:t>
      </w:r>
      <w:hyperlink r:id="rId20" w:history="1">
        <w:r w:rsidRPr="00F51BE4">
          <w:rPr>
            <w:rStyle w:val="Hyperlink"/>
            <w:rFonts w:eastAsia="SimSun" w:cs="Arial"/>
            <w:color w:val="auto"/>
            <w:szCs w:val="22"/>
            <w:u w:val="none"/>
            <w:lang w:eastAsia="zh-CN"/>
          </w:rPr>
          <w:t>ITU-R M.1901</w:t>
        </w:r>
      </w:hyperlink>
      <w:r w:rsidRPr="00F51BE4">
        <w:rPr>
          <w:rStyle w:val="Hyperlink"/>
          <w:rFonts w:eastAsia="SimSun" w:cs="Arial"/>
          <w:color w:val="auto"/>
          <w:szCs w:val="22"/>
          <w:u w:val="none"/>
          <w:lang w:eastAsia="zh-CN"/>
        </w:rPr>
        <w:t xml:space="preserve"> </w:t>
      </w:r>
      <w:r w:rsidRPr="00F51BE4">
        <w:rPr>
          <w:rStyle w:val="Hyperlink"/>
          <w:rFonts w:eastAsia="SimSun"/>
          <w:color w:val="auto"/>
          <w:szCs w:val="22"/>
          <w:u w:val="none"/>
          <w:lang w:eastAsia="zh-CN"/>
        </w:rPr>
        <w:t>–</w:t>
      </w:r>
      <w:r w:rsidRPr="00F51BE4">
        <w:rPr>
          <w:rStyle w:val="Hyperlink"/>
          <w:rFonts w:eastAsia="SimSun" w:cs="Arial"/>
          <w:color w:val="auto"/>
          <w:szCs w:val="22"/>
          <w:u w:val="none"/>
          <w:lang w:eastAsia="zh-CN"/>
        </w:rPr>
        <w:t xml:space="preserve"> </w:t>
      </w:r>
      <w:r w:rsidRPr="00F51BE4">
        <w:rPr>
          <w:rFonts w:eastAsia="Calibri"/>
          <w:lang w:eastAsia="zh-CN"/>
        </w:rPr>
        <w:t>Guidance on ITU-R Recommendations related to systems and networks in the radionavigation-satellite service operating in the frequency bands 1 164-1 215 MHz, 1 215</w:t>
      </w:r>
      <w:r w:rsidRPr="00F51BE4">
        <w:rPr>
          <w:rFonts w:eastAsia="Calibri"/>
          <w:lang w:eastAsia="zh-CN"/>
        </w:rPr>
        <w:noBreakHyphen/>
        <w:t>1 300</w:t>
      </w:r>
      <w:r w:rsidR="00F51BE4">
        <w:rPr>
          <w:rFonts w:eastAsia="Calibri"/>
          <w:lang w:eastAsia="zh-CN"/>
        </w:rPr>
        <w:t> </w:t>
      </w:r>
      <w:r w:rsidRPr="00F51BE4">
        <w:rPr>
          <w:rFonts w:eastAsia="Calibri"/>
          <w:lang w:eastAsia="zh-CN"/>
        </w:rPr>
        <w:t>MHz, 1 559-1 610 MHz, 5 000-5 010 MHz and 5 010-5 030 MHz</w:t>
      </w:r>
    </w:p>
    <w:p w14:paraId="59BB0DBD" w14:textId="77777777" w:rsidR="003244CE" w:rsidRPr="00F51BE4" w:rsidRDefault="003244CE" w:rsidP="00F51BE4">
      <w:pPr>
        <w:pStyle w:val="Reftext"/>
        <w:rPr>
          <w:rFonts w:eastAsia="SimSun"/>
          <w:lang w:eastAsia="zh-CN"/>
        </w:rPr>
      </w:pPr>
      <w:r w:rsidRPr="00F51BE4">
        <w:rPr>
          <w:rFonts w:eastAsia="SimSun"/>
          <w:lang w:eastAsia="zh-CN"/>
        </w:rPr>
        <w:t xml:space="preserve">Recommendation </w:t>
      </w:r>
      <w:hyperlink r:id="rId21" w:history="1">
        <w:r w:rsidRPr="00F51BE4">
          <w:rPr>
            <w:rStyle w:val="Hyperlink"/>
            <w:rFonts w:eastAsia="SimSun"/>
            <w:color w:val="auto"/>
            <w:u w:val="none"/>
          </w:rPr>
          <w:t>ITU-R M.1902</w:t>
        </w:r>
      </w:hyperlink>
      <w:r w:rsidRPr="00F51BE4">
        <w:rPr>
          <w:rStyle w:val="Hyperlink"/>
          <w:rFonts w:eastAsia="SimSun"/>
          <w:color w:val="auto"/>
          <w:u w:val="none"/>
        </w:rPr>
        <w:t xml:space="preserve"> – </w:t>
      </w:r>
      <w:r w:rsidRPr="00F51BE4">
        <w:rPr>
          <w:rFonts w:eastAsia="SimSun"/>
          <w:lang w:eastAsia="zh-CN"/>
        </w:rPr>
        <w:t>Characteristics and protection criteria for receiving earth stations in the radionavigation-satellite service (space-to-Earth) operating in the band 1 215-1 300 MHz</w:t>
      </w:r>
    </w:p>
    <w:p w14:paraId="780AEC17" w14:textId="77777777" w:rsidR="003244CE" w:rsidRPr="00F51BE4" w:rsidRDefault="003244CE" w:rsidP="00F51BE4">
      <w:pPr>
        <w:pStyle w:val="Reftext"/>
        <w:rPr>
          <w:rFonts w:eastAsia="Batang"/>
          <w:lang w:eastAsia="zh-CN"/>
        </w:rPr>
      </w:pPr>
      <w:r w:rsidRPr="00F51BE4">
        <w:rPr>
          <w:rFonts w:eastAsia="SimSun"/>
          <w:lang w:eastAsia="zh-CN"/>
        </w:rPr>
        <w:t xml:space="preserve">Recommendation </w:t>
      </w:r>
      <w:hyperlink r:id="rId22" w:history="1">
        <w:r w:rsidRPr="00F51BE4">
          <w:rPr>
            <w:rFonts w:eastAsia="Calibri"/>
            <w:lang w:eastAsia="zh-CN"/>
          </w:rPr>
          <w:t>ITU-R M.2030</w:t>
        </w:r>
      </w:hyperlink>
      <w:r w:rsidRPr="00F51BE4">
        <w:rPr>
          <w:rFonts w:eastAsia="Calibri"/>
          <w:lang w:eastAsia="zh-CN"/>
        </w:rPr>
        <w:t xml:space="preserve"> – </w:t>
      </w:r>
      <w:r w:rsidRPr="00F51BE4">
        <w:rPr>
          <w:rFonts w:eastAsia="SimSun"/>
          <w:lang w:eastAsia="zh-CN"/>
        </w:rPr>
        <w:t>Evaluation method for pulsed interference from relevant radio sources other than in the radionavigation-satellite service to the radionavigation-satellite service systems and networks operating in the 1 164-1 215 MHz, 1 215</w:t>
      </w:r>
      <w:r w:rsidRPr="00F51BE4">
        <w:rPr>
          <w:rFonts w:eastAsia="SimSun"/>
          <w:lang w:eastAsia="zh-CN"/>
        </w:rPr>
        <w:noBreakHyphen/>
        <w:t>1 300 MHz and 1 559-1 610 MHz frequency bands</w:t>
      </w:r>
    </w:p>
    <w:p w14:paraId="561025CA" w14:textId="77777777" w:rsidR="003244CE" w:rsidRPr="00F51BE4" w:rsidRDefault="003244CE" w:rsidP="00F51BE4">
      <w:pPr>
        <w:pStyle w:val="Reftext"/>
        <w:rPr>
          <w:rFonts w:eastAsia="Batang"/>
          <w:lang w:eastAsia="zh-CN"/>
        </w:rPr>
      </w:pPr>
      <w:r w:rsidRPr="00F51BE4">
        <w:rPr>
          <w:rFonts w:eastAsia="SimSun"/>
          <w:szCs w:val="24"/>
          <w:lang w:eastAsia="zh-CN"/>
        </w:rPr>
        <w:t xml:space="preserve">Recommendation </w:t>
      </w:r>
      <w:hyperlink r:id="rId23" w:history="1">
        <w:r w:rsidRPr="00F51BE4">
          <w:rPr>
            <w:rFonts w:eastAsia="SimSun"/>
          </w:rPr>
          <w:t>ITU-R RS.2105</w:t>
        </w:r>
      </w:hyperlink>
      <w:r w:rsidRPr="00F51BE4">
        <w:rPr>
          <w:rFonts w:eastAsia="SimSun"/>
        </w:rPr>
        <w:t xml:space="preserve"> – </w:t>
      </w:r>
      <w:r w:rsidRPr="00F51BE4">
        <w:rPr>
          <w:rFonts w:eastAsia="SimSun"/>
          <w:szCs w:val="24"/>
          <w:lang w:eastAsia="zh-CN"/>
        </w:rPr>
        <w:t>Typical technical and operational characteristics of Earth exploration-satellite service (active) systems using allocations between 432 MHz and 238 GHz</w:t>
      </w:r>
    </w:p>
    <w:p w14:paraId="4486A4E7" w14:textId="77777777" w:rsidR="003244CE" w:rsidRPr="00F51BE4" w:rsidRDefault="003244CE" w:rsidP="00F51BE4">
      <w:pPr>
        <w:pStyle w:val="Reftext"/>
        <w:rPr>
          <w:rFonts w:eastAsia="Batang"/>
          <w:lang w:eastAsia="zh-CN"/>
        </w:rPr>
      </w:pPr>
      <w:r w:rsidRPr="00F51BE4">
        <w:rPr>
          <w:rFonts w:eastAsia="SimSun"/>
          <w:lang w:eastAsia="zh-CN"/>
        </w:rPr>
        <w:t xml:space="preserve">Report </w:t>
      </w:r>
      <w:hyperlink r:id="rId24" w:history="1">
        <w:r w:rsidRPr="00F51BE4">
          <w:rPr>
            <w:rFonts w:eastAsia="Calibri"/>
            <w:lang w:eastAsia="zh-CN"/>
          </w:rPr>
          <w:t>ITU-R M.2220</w:t>
        </w:r>
      </w:hyperlink>
      <w:r w:rsidRPr="00F51BE4">
        <w:rPr>
          <w:rFonts w:eastAsia="Calibri"/>
          <w:lang w:eastAsia="zh-CN"/>
        </w:rPr>
        <w:t xml:space="preserve"> – </w:t>
      </w:r>
      <w:r w:rsidRPr="00F51BE4">
        <w:rPr>
          <w:rFonts w:eastAsia="SimSun"/>
          <w:lang w:eastAsia="zh-CN"/>
        </w:rPr>
        <w:t>Calculation method to determine aggregate interference parameters of pulsed RF systems operating in and near the frequency bands 1 164-1 215 MHz and 1 215-1 300 MHz that may impact radionavigation satellite service airborne and ground-based receivers operating in those bands</w:t>
      </w:r>
    </w:p>
    <w:p w14:paraId="7C7108AE" w14:textId="77777777" w:rsidR="003244CE" w:rsidRPr="00F51BE4" w:rsidRDefault="003244CE" w:rsidP="00F51BE4">
      <w:pPr>
        <w:pStyle w:val="Reftext"/>
        <w:rPr>
          <w:rFonts w:eastAsia="Batang"/>
          <w:lang w:eastAsia="zh-CN"/>
        </w:rPr>
      </w:pPr>
      <w:r w:rsidRPr="00F51BE4">
        <w:rPr>
          <w:rFonts w:eastAsia="SimSun"/>
          <w:lang w:eastAsia="zh-CN"/>
        </w:rPr>
        <w:t xml:space="preserve">Report </w:t>
      </w:r>
      <w:hyperlink r:id="rId25" w:history="1">
        <w:r w:rsidRPr="00F51BE4">
          <w:rPr>
            <w:rStyle w:val="Hyperlink"/>
            <w:rFonts w:eastAsia="SimSun"/>
            <w:color w:val="auto"/>
            <w:u w:val="none"/>
          </w:rPr>
          <w:t>ITU-R M.2305</w:t>
        </w:r>
      </w:hyperlink>
      <w:r w:rsidRPr="00F51BE4">
        <w:rPr>
          <w:rStyle w:val="Hyperlink"/>
          <w:rFonts w:eastAsia="SimSun"/>
          <w:color w:val="auto"/>
          <w:u w:val="none"/>
        </w:rPr>
        <w:t xml:space="preserve"> – </w:t>
      </w:r>
      <w:r w:rsidRPr="00F51BE4">
        <w:rPr>
          <w:szCs w:val="24"/>
          <w:lang w:eastAsia="zh-CN"/>
        </w:rPr>
        <w:t>Consideration of aggregate radio frequency interference event potentials from multiple Earth exploration-satellite service systems on radionavigation-satellite service receivers operating in the 1 215-1 300 MHz frequency band</w:t>
      </w:r>
    </w:p>
    <w:p w14:paraId="17670874" w14:textId="77777777" w:rsidR="003244CE" w:rsidRPr="00A73A1E" w:rsidRDefault="003244CE" w:rsidP="003244CE">
      <w:pPr>
        <w:pStyle w:val="Heading1"/>
      </w:pPr>
      <w:bookmarkStart w:id="5" w:name="_Toc102659316"/>
      <w:bookmarkStart w:id="6" w:name="_Toc102659444"/>
      <w:bookmarkStart w:id="7" w:name="_Toc102659465"/>
      <w:r w:rsidRPr="00A73A1E">
        <w:t>1</w:t>
      </w:r>
      <w:r w:rsidRPr="00A73A1E">
        <w:tab/>
        <w:t>Introduction</w:t>
      </w:r>
      <w:bookmarkEnd w:id="5"/>
      <w:bookmarkEnd w:id="6"/>
      <w:bookmarkEnd w:id="7"/>
    </w:p>
    <w:p w14:paraId="66BC0CC0" w14:textId="77777777" w:rsidR="003244CE" w:rsidRPr="00A73A1E" w:rsidRDefault="003244CE" w:rsidP="003244CE">
      <w:r w:rsidRPr="00A73A1E">
        <w:t xml:space="preserve">The frequency band 1 215-1 300 MHz is allocated to the radionavigation-satellite service (RNSS) and is used by several systems including the </w:t>
      </w:r>
      <w:proofErr w:type="spellStart"/>
      <w:r w:rsidRPr="00A73A1E">
        <w:t>Navstar</w:t>
      </w:r>
      <w:proofErr w:type="spellEnd"/>
      <w:r w:rsidRPr="00A73A1E">
        <w:t xml:space="preserve"> Global Positioning System (GPS), the Global Navigation Satellite System (GLONASS-M), Galileo, QZSS, and COMPASS. The 1 215</w:t>
      </w:r>
      <w:r w:rsidRPr="00A73A1E">
        <w:noBreakHyphen/>
        <w:t xml:space="preserve">1 300 MHz band is also allocated on a primary basis to the EESS (active) for spaceborne active microwave sensors subject to the limitations of Nos. </w:t>
      </w:r>
      <w:r w:rsidRPr="00A73A1E">
        <w:rPr>
          <w:b/>
          <w:bCs/>
        </w:rPr>
        <w:t>5.332</w:t>
      </w:r>
      <w:r w:rsidRPr="00A73A1E">
        <w:t xml:space="preserve"> and </w:t>
      </w:r>
      <w:r w:rsidRPr="00A73A1E">
        <w:rPr>
          <w:b/>
          <w:bCs/>
        </w:rPr>
        <w:t>5.335A</w:t>
      </w:r>
      <w:r w:rsidRPr="00A73A1E">
        <w:t xml:space="preserve"> of the Radio Regulations</w:t>
      </w:r>
      <w:r>
        <w:t xml:space="preserve"> (RR)</w:t>
      </w:r>
      <w:r w:rsidRPr="00A73A1E">
        <w:t xml:space="preserve">. The types of spaceborne active sensors requiring use of this band include synthetic aperture radars (SAR) and </w:t>
      </w:r>
      <w:proofErr w:type="spellStart"/>
      <w:r w:rsidRPr="00A73A1E">
        <w:t>scatterometers</w:t>
      </w:r>
      <w:proofErr w:type="spellEnd"/>
      <w:r w:rsidRPr="00A73A1E">
        <w:t>.</w:t>
      </w:r>
    </w:p>
    <w:p w14:paraId="57420DF2" w14:textId="2A42B944" w:rsidR="003244CE" w:rsidRPr="00A73A1E" w:rsidRDefault="003244CE" w:rsidP="003244CE">
      <w:r w:rsidRPr="00A73A1E">
        <w:t xml:space="preserve">This Report contains material that may be useful for evaluation of pulsed interference from planned and future EESS (active) SAR sensors to RNSS receivers in the 1 215-1 300 MHz band per </w:t>
      </w:r>
      <w:r w:rsidRPr="00A73A1E">
        <w:rPr>
          <w:i/>
        </w:rPr>
        <w:t>recommends</w:t>
      </w:r>
      <w:r w:rsidRPr="00A73A1E">
        <w:t xml:space="preserve"> 1 to 4 of Recommendation </w:t>
      </w:r>
      <w:r>
        <w:t xml:space="preserve">ITU-R </w:t>
      </w:r>
      <w:r w:rsidRPr="00445678">
        <w:t>RS.2160</w:t>
      </w:r>
      <w:r w:rsidRPr="00A73A1E">
        <w:t>. Annex 1 contains representative technical characteristics for</w:t>
      </w:r>
      <w:r w:rsidRPr="00A73A1E">
        <w:rPr>
          <w:color w:val="92D050"/>
        </w:rPr>
        <w:t xml:space="preserve"> </w:t>
      </w:r>
      <w:r w:rsidRPr="00A73A1E">
        <w:t xml:space="preserve">EESS spaceborne active SAR sensors and characteristics (including protection </w:t>
      </w:r>
      <w:r w:rsidRPr="00F51BE4">
        <w:t xml:space="preserve">criteria) of RNSS receiving earth stations based on Recommendation </w:t>
      </w:r>
      <w:hyperlink r:id="rId26" w:history="1">
        <w:r w:rsidRPr="00F51BE4">
          <w:rPr>
            <w:rStyle w:val="Hyperlink"/>
            <w:rFonts w:eastAsia="SimSun"/>
            <w:color w:val="auto"/>
            <w:u w:val="none"/>
          </w:rPr>
          <w:t>ITU-R M.1902</w:t>
        </w:r>
      </w:hyperlink>
      <w:r w:rsidRPr="00F51BE4">
        <w:t xml:space="preserve">. Annex 1 also </w:t>
      </w:r>
      <w:r w:rsidRPr="00A73A1E">
        <w:t xml:space="preserve">includes in </w:t>
      </w:r>
      <w:r w:rsidR="00CA740D">
        <w:t>§</w:t>
      </w:r>
      <w:r w:rsidRPr="00A73A1E">
        <w:t xml:space="preserve"> 4 the methodology of Recommendation </w:t>
      </w:r>
      <w:hyperlink r:id="rId27" w:history="1">
        <w:r w:rsidRPr="00A73A1E">
          <w:rPr>
            <w:rFonts w:eastAsia="Calibri" w:cs="Arial"/>
            <w:szCs w:val="22"/>
            <w:lang w:eastAsia="zh-CN"/>
          </w:rPr>
          <w:t>ITU-R M.2030</w:t>
        </w:r>
      </w:hyperlink>
      <w:r w:rsidRPr="00A73A1E">
        <w:t xml:space="preserve"> for evaluating pulsed radio frequency interference (RFI) from spaceborne active sensors to RNSS receivers along with pulsed </w:t>
      </w:r>
      <w:r w:rsidRPr="00A73A1E">
        <w:lastRenderedPageBreak/>
        <w:t>RFI protection criteria for RNSS receivers.</w:t>
      </w:r>
      <w:r w:rsidRPr="00A73A1E">
        <w:rPr>
          <w:position w:val="6"/>
          <w:sz w:val="18"/>
        </w:rPr>
        <w:footnoteReference w:id="1"/>
      </w:r>
      <w:r w:rsidRPr="00A73A1E">
        <w:t xml:space="preserve"> Annex 2 presents examples of the interference analysis for representative spaceborne SARs provided in Annex 1 with representative RNSS receivers.</w:t>
      </w:r>
    </w:p>
    <w:p w14:paraId="1C1DE1D8" w14:textId="322A8CDC" w:rsidR="003244CE" w:rsidRDefault="003244CE" w:rsidP="00CA740D"/>
    <w:p w14:paraId="26AC625E" w14:textId="77777777" w:rsidR="00CA740D" w:rsidRPr="00A73A1E" w:rsidRDefault="00CA740D" w:rsidP="00CA740D"/>
    <w:p w14:paraId="3082DF3A" w14:textId="34154119" w:rsidR="003244CE" w:rsidRPr="00A73A1E" w:rsidRDefault="003244CE" w:rsidP="00CA740D">
      <w:pPr>
        <w:pStyle w:val="AnnexNoTitle"/>
      </w:pPr>
      <w:r w:rsidRPr="00A73A1E">
        <w:t>Annex 1</w:t>
      </w:r>
      <w:r w:rsidR="00CA740D">
        <w:br/>
      </w:r>
      <w:r w:rsidR="00CA740D">
        <w:br/>
      </w:r>
      <w:r w:rsidRPr="00A73A1E">
        <w:t>Representative technical characteristics of EESS (active) spaceborne synthetic aperture radar sensors and receiving earth stations in the RNSS and a general analytic method used in evaluating the potential for pulsed radio</w:t>
      </w:r>
      <w:r w:rsidRPr="00A73A1E">
        <w:br/>
        <w:t xml:space="preserve">frequency interference to </w:t>
      </w:r>
      <w:r w:rsidRPr="00A73A1E">
        <w:rPr>
          <w:lang w:eastAsia="ja-JP"/>
        </w:rPr>
        <w:t xml:space="preserve">receiving earth stations in </w:t>
      </w:r>
      <w:r w:rsidRPr="00A73A1E">
        <w:rPr>
          <w:lang w:eastAsia="ja-JP"/>
        </w:rPr>
        <w:br/>
        <w:t xml:space="preserve">the </w:t>
      </w:r>
      <w:r w:rsidRPr="00A73A1E">
        <w:t>RNSS in the 1 215-1 300 MHz band</w:t>
      </w:r>
    </w:p>
    <w:p w14:paraId="27BA9362" w14:textId="0D0B0521" w:rsidR="003244CE" w:rsidRPr="00A73A1E" w:rsidRDefault="00CA740D" w:rsidP="003244CE">
      <w:pPr>
        <w:pStyle w:val="Title3"/>
      </w:pPr>
      <w:r w:rsidRPr="00A73A1E">
        <w:t>TABLE OF CONTENTS</w:t>
      </w:r>
    </w:p>
    <w:p w14:paraId="3BB4CBE0" w14:textId="77777777" w:rsidR="003244CE" w:rsidRPr="00A73A1E" w:rsidRDefault="003244CE" w:rsidP="003244CE">
      <w:pPr>
        <w:pStyle w:val="toc0"/>
        <w:spacing w:before="0"/>
      </w:pPr>
      <w:r w:rsidRPr="00A73A1E">
        <w:tab/>
        <w:t>Page</w:t>
      </w:r>
    </w:p>
    <w:p w14:paraId="21FE2FD6" w14:textId="32B19C36" w:rsidR="003244CE" w:rsidRPr="00A73A1E" w:rsidRDefault="003244CE" w:rsidP="003244CE">
      <w:pPr>
        <w:pStyle w:val="TOC1"/>
        <w:rPr>
          <w:rFonts w:asciiTheme="minorHAnsi" w:eastAsiaTheme="minorEastAsia" w:hAnsiTheme="minorHAnsi" w:cstheme="minorBidi"/>
          <w:noProof/>
          <w:sz w:val="22"/>
          <w:szCs w:val="22"/>
          <w:lang w:eastAsia="en-GB"/>
        </w:rPr>
      </w:pPr>
      <w:r w:rsidRPr="00A73A1E">
        <w:fldChar w:fldCharType="begin"/>
      </w:r>
      <w:r w:rsidRPr="00A73A1E">
        <w:instrText xml:space="preserve"> TOC \o "1-1" \h \z \t "Heading 2,2,Method_heading2,2,Method_heading3,3" </w:instrText>
      </w:r>
      <w:r w:rsidRPr="00A73A1E">
        <w:fldChar w:fldCharType="separate"/>
      </w:r>
      <w:hyperlink w:anchor="_Toc102659317" w:history="1">
        <w:r w:rsidRPr="00A73A1E">
          <w:rPr>
            <w:rStyle w:val="Hyperlink"/>
            <w:noProof/>
          </w:rPr>
          <w:t>1</w:t>
        </w:r>
        <w:r w:rsidRPr="00A73A1E">
          <w:rPr>
            <w:rFonts w:asciiTheme="minorHAnsi" w:eastAsiaTheme="minorEastAsia" w:hAnsiTheme="minorHAnsi" w:cstheme="minorBidi"/>
            <w:noProof/>
            <w:sz w:val="22"/>
            <w:szCs w:val="22"/>
            <w:lang w:eastAsia="en-GB"/>
          </w:rPr>
          <w:tab/>
        </w:r>
        <w:r w:rsidRPr="00A73A1E">
          <w:rPr>
            <w:rStyle w:val="Hyperlink"/>
            <w:noProof/>
          </w:rPr>
          <w:t>Introduction</w:t>
        </w:r>
        <w:r w:rsidRPr="00A73A1E">
          <w:rPr>
            <w:noProof/>
            <w:webHidden/>
          </w:rPr>
          <w:tab/>
        </w:r>
        <w:r w:rsidRPr="00A73A1E">
          <w:rPr>
            <w:noProof/>
            <w:webHidden/>
          </w:rPr>
          <w:tab/>
        </w:r>
        <w:r w:rsidRPr="00A73A1E">
          <w:rPr>
            <w:noProof/>
            <w:webHidden/>
          </w:rPr>
          <w:fldChar w:fldCharType="begin"/>
        </w:r>
        <w:r w:rsidRPr="00A73A1E">
          <w:rPr>
            <w:noProof/>
            <w:webHidden/>
          </w:rPr>
          <w:instrText xml:space="preserve"> PAGEREF _Toc102659317 \h </w:instrText>
        </w:r>
        <w:r w:rsidRPr="00A73A1E">
          <w:rPr>
            <w:noProof/>
            <w:webHidden/>
          </w:rPr>
        </w:r>
        <w:r w:rsidRPr="00A73A1E">
          <w:rPr>
            <w:noProof/>
            <w:webHidden/>
          </w:rPr>
          <w:fldChar w:fldCharType="separate"/>
        </w:r>
        <w:r w:rsidR="00F7477C">
          <w:rPr>
            <w:noProof/>
            <w:webHidden/>
          </w:rPr>
          <w:t>3</w:t>
        </w:r>
        <w:r w:rsidRPr="00A73A1E">
          <w:rPr>
            <w:noProof/>
            <w:webHidden/>
          </w:rPr>
          <w:fldChar w:fldCharType="end"/>
        </w:r>
      </w:hyperlink>
    </w:p>
    <w:p w14:paraId="2F7DE7F4" w14:textId="242AB7B8" w:rsidR="003244CE" w:rsidRPr="00A73A1E" w:rsidRDefault="00F7477C" w:rsidP="003244CE">
      <w:pPr>
        <w:pStyle w:val="TOC1"/>
        <w:spacing w:before="120"/>
        <w:rPr>
          <w:rFonts w:asciiTheme="minorHAnsi" w:eastAsiaTheme="minorEastAsia" w:hAnsiTheme="minorHAnsi" w:cstheme="minorBidi"/>
          <w:noProof/>
          <w:sz w:val="22"/>
          <w:szCs w:val="22"/>
          <w:lang w:eastAsia="en-GB"/>
        </w:rPr>
      </w:pPr>
      <w:hyperlink w:anchor="_Toc102659318" w:history="1">
        <w:r w:rsidR="003244CE" w:rsidRPr="00A73A1E">
          <w:rPr>
            <w:rStyle w:val="Hyperlink"/>
            <w:noProof/>
          </w:rPr>
          <w:t>2</w:t>
        </w:r>
        <w:r w:rsidR="003244CE" w:rsidRPr="00A73A1E">
          <w:rPr>
            <w:rFonts w:asciiTheme="minorHAnsi" w:eastAsiaTheme="minorEastAsia" w:hAnsiTheme="minorHAnsi" w:cstheme="minorBidi"/>
            <w:noProof/>
            <w:sz w:val="22"/>
            <w:szCs w:val="22"/>
            <w:lang w:eastAsia="en-GB"/>
          </w:rPr>
          <w:tab/>
        </w:r>
        <w:r w:rsidR="003244CE" w:rsidRPr="00A73A1E">
          <w:rPr>
            <w:rStyle w:val="Hyperlink"/>
            <w:noProof/>
          </w:rPr>
          <w:t>Representative technical characteristics of EESS spaceborne SARs</w:t>
        </w:r>
        <w:r w:rsidR="003244CE" w:rsidRPr="00A73A1E">
          <w:rPr>
            <w:noProof/>
            <w:webHidden/>
          </w:rPr>
          <w:tab/>
        </w:r>
        <w:r w:rsidR="003244CE" w:rsidRPr="00A73A1E">
          <w:rPr>
            <w:noProof/>
            <w:webHidden/>
          </w:rPr>
          <w:tab/>
        </w:r>
        <w:r w:rsidR="003244CE" w:rsidRPr="00A73A1E">
          <w:rPr>
            <w:noProof/>
            <w:webHidden/>
          </w:rPr>
          <w:fldChar w:fldCharType="begin"/>
        </w:r>
        <w:r w:rsidR="003244CE" w:rsidRPr="00A73A1E">
          <w:rPr>
            <w:noProof/>
            <w:webHidden/>
          </w:rPr>
          <w:instrText xml:space="preserve"> PAGEREF _Toc102659318 \h </w:instrText>
        </w:r>
        <w:r w:rsidR="003244CE" w:rsidRPr="00A73A1E">
          <w:rPr>
            <w:noProof/>
            <w:webHidden/>
          </w:rPr>
        </w:r>
        <w:r w:rsidR="003244CE" w:rsidRPr="00A73A1E">
          <w:rPr>
            <w:noProof/>
            <w:webHidden/>
          </w:rPr>
          <w:fldChar w:fldCharType="separate"/>
        </w:r>
        <w:r>
          <w:rPr>
            <w:noProof/>
            <w:webHidden/>
          </w:rPr>
          <w:t>4</w:t>
        </w:r>
        <w:r w:rsidR="003244CE" w:rsidRPr="00A73A1E">
          <w:rPr>
            <w:noProof/>
            <w:webHidden/>
          </w:rPr>
          <w:fldChar w:fldCharType="end"/>
        </w:r>
      </w:hyperlink>
    </w:p>
    <w:p w14:paraId="0C3852DC" w14:textId="6AD7578E" w:rsidR="003244CE" w:rsidRPr="00A73A1E" w:rsidRDefault="00F7477C" w:rsidP="003244CE">
      <w:pPr>
        <w:pStyle w:val="TOC1"/>
        <w:spacing w:before="120"/>
        <w:rPr>
          <w:rFonts w:asciiTheme="minorHAnsi" w:eastAsiaTheme="minorEastAsia" w:hAnsiTheme="minorHAnsi" w:cstheme="minorBidi"/>
          <w:noProof/>
          <w:sz w:val="22"/>
          <w:szCs w:val="22"/>
          <w:lang w:eastAsia="en-GB"/>
        </w:rPr>
      </w:pPr>
      <w:hyperlink w:anchor="_Toc102659319" w:history="1">
        <w:r w:rsidR="003244CE" w:rsidRPr="00A73A1E">
          <w:rPr>
            <w:rStyle w:val="Hyperlink"/>
            <w:noProof/>
          </w:rPr>
          <w:t>3</w:t>
        </w:r>
        <w:r w:rsidR="003244CE" w:rsidRPr="00A73A1E">
          <w:rPr>
            <w:rFonts w:asciiTheme="minorHAnsi" w:eastAsiaTheme="minorEastAsia" w:hAnsiTheme="minorHAnsi" w:cstheme="minorBidi"/>
            <w:noProof/>
            <w:sz w:val="22"/>
            <w:szCs w:val="22"/>
            <w:lang w:eastAsia="en-GB"/>
          </w:rPr>
          <w:tab/>
        </w:r>
        <w:r w:rsidR="003244CE" w:rsidRPr="00A73A1E">
          <w:rPr>
            <w:rStyle w:val="Hyperlink"/>
            <w:noProof/>
          </w:rPr>
          <w:t>Characteristics of RNSS receivers</w:t>
        </w:r>
        <w:r w:rsidR="003244CE" w:rsidRPr="00A73A1E">
          <w:rPr>
            <w:noProof/>
            <w:webHidden/>
          </w:rPr>
          <w:tab/>
        </w:r>
        <w:r w:rsidR="003244CE" w:rsidRPr="00A73A1E">
          <w:rPr>
            <w:noProof/>
            <w:webHidden/>
          </w:rPr>
          <w:tab/>
        </w:r>
        <w:r w:rsidR="003244CE" w:rsidRPr="00A73A1E">
          <w:rPr>
            <w:noProof/>
            <w:webHidden/>
          </w:rPr>
          <w:fldChar w:fldCharType="begin"/>
        </w:r>
        <w:r w:rsidR="003244CE" w:rsidRPr="00A73A1E">
          <w:rPr>
            <w:noProof/>
            <w:webHidden/>
          </w:rPr>
          <w:instrText xml:space="preserve"> PAGEREF _Toc102659319 \h </w:instrText>
        </w:r>
        <w:r w:rsidR="003244CE" w:rsidRPr="00A73A1E">
          <w:rPr>
            <w:noProof/>
            <w:webHidden/>
          </w:rPr>
        </w:r>
        <w:r w:rsidR="003244CE" w:rsidRPr="00A73A1E">
          <w:rPr>
            <w:noProof/>
            <w:webHidden/>
          </w:rPr>
          <w:fldChar w:fldCharType="separate"/>
        </w:r>
        <w:r>
          <w:rPr>
            <w:noProof/>
            <w:webHidden/>
          </w:rPr>
          <w:t>10</w:t>
        </w:r>
        <w:r w:rsidR="003244CE" w:rsidRPr="00A73A1E">
          <w:rPr>
            <w:noProof/>
            <w:webHidden/>
          </w:rPr>
          <w:fldChar w:fldCharType="end"/>
        </w:r>
      </w:hyperlink>
    </w:p>
    <w:p w14:paraId="67CF85E1" w14:textId="5013439F" w:rsidR="003244CE" w:rsidRPr="00A73A1E" w:rsidRDefault="00F7477C" w:rsidP="003244CE">
      <w:pPr>
        <w:pStyle w:val="TOC1"/>
        <w:spacing w:before="120"/>
        <w:rPr>
          <w:rFonts w:asciiTheme="minorHAnsi" w:eastAsiaTheme="minorEastAsia" w:hAnsiTheme="minorHAnsi" w:cstheme="minorBidi"/>
          <w:noProof/>
          <w:sz w:val="22"/>
          <w:szCs w:val="22"/>
          <w:lang w:eastAsia="en-GB"/>
        </w:rPr>
      </w:pPr>
      <w:hyperlink w:anchor="_Toc102659320" w:history="1">
        <w:r w:rsidR="003244CE" w:rsidRPr="00A73A1E">
          <w:rPr>
            <w:rStyle w:val="Hyperlink"/>
            <w:noProof/>
          </w:rPr>
          <w:t>4</w:t>
        </w:r>
        <w:r w:rsidR="003244CE" w:rsidRPr="00A73A1E">
          <w:rPr>
            <w:rFonts w:asciiTheme="minorHAnsi" w:eastAsiaTheme="minorEastAsia" w:hAnsiTheme="minorHAnsi" w:cstheme="minorBidi"/>
            <w:noProof/>
            <w:sz w:val="22"/>
            <w:szCs w:val="22"/>
            <w:lang w:eastAsia="en-GB"/>
          </w:rPr>
          <w:tab/>
        </w:r>
        <w:r w:rsidR="003244CE" w:rsidRPr="00A73A1E">
          <w:rPr>
            <w:rStyle w:val="Hyperlink"/>
            <w:noProof/>
          </w:rPr>
          <w:t xml:space="preserve">Analytic evaluation method for pulsed RFI from spaceborne SARs </w:t>
        </w:r>
        <w:r w:rsidR="003244CE" w:rsidRPr="00A73A1E">
          <w:rPr>
            <w:rStyle w:val="Hyperlink"/>
            <w:noProof/>
          </w:rPr>
          <w:br/>
          <w:t>to RNSS receivers</w:t>
        </w:r>
        <w:r w:rsidR="003244CE" w:rsidRPr="00A73A1E">
          <w:rPr>
            <w:noProof/>
            <w:webHidden/>
          </w:rPr>
          <w:tab/>
        </w:r>
        <w:r w:rsidR="003244CE" w:rsidRPr="00A73A1E">
          <w:rPr>
            <w:noProof/>
            <w:webHidden/>
          </w:rPr>
          <w:tab/>
        </w:r>
        <w:r w:rsidR="003244CE" w:rsidRPr="00A73A1E">
          <w:rPr>
            <w:noProof/>
            <w:webHidden/>
          </w:rPr>
          <w:fldChar w:fldCharType="begin"/>
        </w:r>
        <w:r w:rsidR="003244CE" w:rsidRPr="00A73A1E">
          <w:rPr>
            <w:noProof/>
            <w:webHidden/>
          </w:rPr>
          <w:instrText xml:space="preserve"> PAGEREF _Toc102659320 \h </w:instrText>
        </w:r>
        <w:r w:rsidR="003244CE" w:rsidRPr="00A73A1E">
          <w:rPr>
            <w:noProof/>
            <w:webHidden/>
          </w:rPr>
        </w:r>
        <w:r w:rsidR="003244CE" w:rsidRPr="00A73A1E">
          <w:rPr>
            <w:noProof/>
            <w:webHidden/>
          </w:rPr>
          <w:fldChar w:fldCharType="separate"/>
        </w:r>
        <w:r>
          <w:rPr>
            <w:noProof/>
            <w:webHidden/>
          </w:rPr>
          <w:t>15</w:t>
        </w:r>
        <w:r w:rsidR="003244CE" w:rsidRPr="00A73A1E">
          <w:rPr>
            <w:noProof/>
            <w:webHidden/>
          </w:rPr>
          <w:fldChar w:fldCharType="end"/>
        </w:r>
      </w:hyperlink>
    </w:p>
    <w:p w14:paraId="1F4FFF47" w14:textId="7DACFA43" w:rsidR="003244CE" w:rsidRPr="00A73A1E" w:rsidRDefault="00F7477C" w:rsidP="003244CE">
      <w:pPr>
        <w:pStyle w:val="TOC2"/>
        <w:ind w:left="1134"/>
        <w:rPr>
          <w:rFonts w:asciiTheme="minorHAnsi" w:eastAsiaTheme="minorEastAsia" w:hAnsiTheme="minorHAnsi" w:cstheme="minorBidi"/>
          <w:noProof/>
          <w:sz w:val="22"/>
          <w:szCs w:val="22"/>
          <w:lang w:eastAsia="en-GB"/>
        </w:rPr>
      </w:pPr>
      <w:hyperlink w:anchor="_Toc102659321" w:history="1">
        <w:r w:rsidR="003244CE" w:rsidRPr="00A73A1E">
          <w:rPr>
            <w:rStyle w:val="Hyperlink"/>
            <w:noProof/>
          </w:rPr>
          <w:t>4.1</w:t>
        </w:r>
        <w:r w:rsidR="003244CE" w:rsidRPr="00A73A1E">
          <w:rPr>
            <w:rFonts w:asciiTheme="minorHAnsi" w:eastAsiaTheme="minorEastAsia" w:hAnsiTheme="minorHAnsi" w:cstheme="minorBidi"/>
            <w:noProof/>
            <w:sz w:val="22"/>
            <w:szCs w:val="22"/>
            <w:lang w:eastAsia="en-GB"/>
          </w:rPr>
          <w:tab/>
        </w:r>
        <w:r w:rsidR="003244CE" w:rsidRPr="00A73A1E">
          <w:rPr>
            <w:rStyle w:val="Hyperlink"/>
            <w:noProof/>
          </w:rPr>
          <w:t>Assessment of potential for RNSS receiver damage or saturation</w:t>
        </w:r>
        <w:r w:rsidR="003244CE" w:rsidRPr="00A73A1E">
          <w:rPr>
            <w:noProof/>
            <w:webHidden/>
          </w:rPr>
          <w:tab/>
        </w:r>
        <w:r w:rsidR="003244CE" w:rsidRPr="00A73A1E">
          <w:rPr>
            <w:noProof/>
            <w:webHidden/>
          </w:rPr>
          <w:tab/>
        </w:r>
        <w:r w:rsidR="003244CE" w:rsidRPr="00A73A1E">
          <w:rPr>
            <w:noProof/>
            <w:webHidden/>
          </w:rPr>
          <w:fldChar w:fldCharType="begin"/>
        </w:r>
        <w:r w:rsidR="003244CE" w:rsidRPr="00A73A1E">
          <w:rPr>
            <w:noProof/>
            <w:webHidden/>
          </w:rPr>
          <w:instrText xml:space="preserve"> PAGEREF _Toc102659321 \h </w:instrText>
        </w:r>
        <w:r w:rsidR="003244CE" w:rsidRPr="00A73A1E">
          <w:rPr>
            <w:noProof/>
            <w:webHidden/>
          </w:rPr>
        </w:r>
        <w:r w:rsidR="003244CE" w:rsidRPr="00A73A1E">
          <w:rPr>
            <w:noProof/>
            <w:webHidden/>
          </w:rPr>
          <w:fldChar w:fldCharType="separate"/>
        </w:r>
        <w:r>
          <w:rPr>
            <w:noProof/>
            <w:webHidden/>
          </w:rPr>
          <w:t>15</w:t>
        </w:r>
        <w:r w:rsidR="003244CE" w:rsidRPr="00A73A1E">
          <w:rPr>
            <w:noProof/>
            <w:webHidden/>
          </w:rPr>
          <w:fldChar w:fldCharType="end"/>
        </w:r>
      </w:hyperlink>
    </w:p>
    <w:p w14:paraId="5B0107E8" w14:textId="42A41198" w:rsidR="003244CE" w:rsidRPr="00A73A1E" w:rsidRDefault="00F7477C" w:rsidP="003244CE">
      <w:pPr>
        <w:pStyle w:val="TOC2"/>
        <w:ind w:left="1134"/>
        <w:rPr>
          <w:rFonts w:asciiTheme="minorHAnsi" w:eastAsiaTheme="minorEastAsia" w:hAnsiTheme="minorHAnsi" w:cstheme="minorBidi"/>
          <w:noProof/>
          <w:sz w:val="22"/>
          <w:szCs w:val="22"/>
          <w:lang w:eastAsia="en-GB"/>
        </w:rPr>
      </w:pPr>
      <w:hyperlink w:anchor="_Toc102659322" w:history="1">
        <w:r w:rsidR="003244CE" w:rsidRPr="00A73A1E">
          <w:rPr>
            <w:rStyle w:val="Hyperlink"/>
            <w:noProof/>
          </w:rPr>
          <w:t>4.2</w:t>
        </w:r>
        <w:r w:rsidR="003244CE" w:rsidRPr="00A73A1E">
          <w:rPr>
            <w:rFonts w:asciiTheme="minorHAnsi" w:eastAsiaTheme="minorEastAsia" w:hAnsiTheme="minorHAnsi" w:cstheme="minorBidi"/>
            <w:noProof/>
            <w:sz w:val="22"/>
            <w:szCs w:val="22"/>
            <w:lang w:eastAsia="en-GB"/>
          </w:rPr>
          <w:tab/>
        </w:r>
        <w:r w:rsidR="003244CE" w:rsidRPr="00A73A1E">
          <w:rPr>
            <w:rStyle w:val="Hyperlink"/>
            <w:noProof/>
          </w:rPr>
          <w:t>Assessment of potential for RNSS receiver performance degradation</w:t>
        </w:r>
        <w:r w:rsidR="003244CE" w:rsidRPr="00A73A1E">
          <w:rPr>
            <w:noProof/>
            <w:webHidden/>
          </w:rPr>
          <w:tab/>
        </w:r>
        <w:r w:rsidR="003244CE" w:rsidRPr="00A73A1E">
          <w:rPr>
            <w:noProof/>
            <w:webHidden/>
          </w:rPr>
          <w:tab/>
        </w:r>
        <w:r w:rsidR="003244CE" w:rsidRPr="00A73A1E">
          <w:rPr>
            <w:noProof/>
            <w:webHidden/>
          </w:rPr>
          <w:fldChar w:fldCharType="begin"/>
        </w:r>
        <w:r w:rsidR="003244CE" w:rsidRPr="00A73A1E">
          <w:rPr>
            <w:noProof/>
            <w:webHidden/>
          </w:rPr>
          <w:instrText xml:space="preserve"> PAGEREF _Toc102659322 \h </w:instrText>
        </w:r>
        <w:r w:rsidR="003244CE" w:rsidRPr="00A73A1E">
          <w:rPr>
            <w:noProof/>
            <w:webHidden/>
          </w:rPr>
        </w:r>
        <w:r w:rsidR="003244CE" w:rsidRPr="00A73A1E">
          <w:rPr>
            <w:noProof/>
            <w:webHidden/>
          </w:rPr>
          <w:fldChar w:fldCharType="separate"/>
        </w:r>
        <w:r>
          <w:rPr>
            <w:noProof/>
            <w:webHidden/>
          </w:rPr>
          <w:t>16</w:t>
        </w:r>
        <w:r w:rsidR="003244CE" w:rsidRPr="00A73A1E">
          <w:rPr>
            <w:noProof/>
            <w:webHidden/>
          </w:rPr>
          <w:fldChar w:fldCharType="end"/>
        </w:r>
      </w:hyperlink>
    </w:p>
    <w:p w14:paraId="51992333" w14:textId="63CEE0E9" w:rsidR="003244CE" w:rsidRPr="00A73A1E" w:rsidRDefault="00F7477C" w:rsidP="003244CE">
      <w:pPr>
        <w:pStyle w:val="TOC1"/>
        <w:spacing w:before="120"/>
        <w:rPr>
          <w:rFonts w:asciiTheme="minorHAnsi" w:eastAsiaTheme="minorEastAsia" w:hAnsiTheme="minorHAnsi" w:cstheme="minorBidi"/>
          <w:noProof/>
          <w:sz w:val="22"/>
          <w:szCs w:val="22"/>
          <w:lang w:eastAsia="en-GB"/>
        </w:rPr>
      </w:pPr>
      <w:hyperlink w:anchor="_Toc102659323" w:history="1">
        <w:r w:rsidR="003244CE" w:rsidRPr="00A73A1E">
          <w:rPr>
            <w:rStyle w:val="Hyperlink"/>
            <w:noProof/>
          </w:rPr>
          <w:t>5</w:t>
        </w:r>
        <w:r w:rsidR="003244CE" w:rsidRPr="00A73A1E">
          <w:rPr>
            <w:rFonts w:asciiTheme="minorHAnsi" w:eastAsiaTheme="minorEastAsia" w:hAnsiTheme="minorHAnsi" w:cstheme="minorBidi"/>
            <w:noProof/>
            <w:sz w:val="22"/>
            <w:szCs w:val="22"/>
            <w:lang w:eastAsia="en-GB"/>
          </w:rPr>
          <w:tab/>
        </w:r>
        <w:r w:rsidR="003244CE" w:rsidRPr="00A73A1E">
          <w:rPr>
            <w:rStyle w:val="Hyperlink"/>
            <w:noProof/>
          </w:rPr>
          <w:t>Summary</w:t>
        </w:r>
        <w:r w:rsidR="003244CE" w:rsidRPr="00A73A1E">
          <w:rPr>
            <w:noProof/>
            <w:webHidden/>
          </w:rPr>
          <w:tab/>
        </w:r>
        <w:r w:rsidR="003244CE" w:rsidRPr="00A73A1E">
          <w:rPr>
            <w:noProof/>
            <w:webHidden/>
          </w:rPr>
          <w:tab/>
        </w:r>
        <w:r w:rsidR="003244CE" w:rsidRPr="00A73A1E">
          <w:rPr>
            <w:noProof/>
            <w:webHidden/>
          </w:rPr>
          <w:fldChar w:fldCharType="begin"/>
        </w:r>
        <w:r w:rsidR="003244CE" w:rsidRPr="00A73A1E">
          <w:rPr>
            <w:noProof/>
            <w:webHidden/>
          </w:rPr>
          <w:instrText xml:space="preserve"> PAGEREF _Toc102659323 \h </w:instrText>
        </w:r>
        <w:r w:rsidR="003244CE" w:rsidRPr="00A73A1E">
          <w:rPr>
            <w:noProof/>
            <w:webHidden/>
          </w:rPr>
        </w:r>
        <w:r w:rsidR="003244CE" w:rsidRPr="00A73A1E">
          <w:rPr>
            <w:noProof/>
            <w:webHidden/>
          </w:rPr>
          <w:fldChar w:fldCharType="separate"/>
        </w:r>
        <w:r>
          <w:rPr>
            <w:noProof/>
            <w:webHidden/>
          </w:rPr>
          <w:t>19</w:t>
        </w:r>
        <w:r w:rsidR="003244CE" w:rsidRPr="00A73A1E">
          <w:rPr>
            <w:noProof/>
            <w:webHidden/>
          </w:rPr>
          <w:fldChar w:fldCharType="end"/>
        </w:r>
      </w:hyperlink>
    </w:p>
    <w:p w14:paraId="7AE84626" w14:textId="77777777" w:rsidR="003244CE" w:rsidRPr="00A73A1E" w:rsidRDefault="003244CE" w:rsidP="003244CE">
      <w:r w:rsidRPr="00A73A1E">
        <w:fldChar w:fldCharType="end"/>
      </w:r>
    </w:p>
    <w:p w14:paraId="3BD80BDA" w14:textId="77777777" w:rsidR="003244CE" w:rsidRPr="00A73A1E" w:rsidRDefault="003244CE" w:rsidP="003244CE">
      <w:pPr>
        <w:pStyle w:val="Heading1"/>
        <w:spacing w:before="120"/>
      </w:pPr>
      <w:bookmarkStart w:id="8" w:name="_Toc102659317"/>
      <w:bookmarkStart w:id="9" w:name="_Toc102659445"/>
      <w:bookmarkStart w:id="10" w:name="_Toc102659466"/>
      <w:r w:rsidRPr="00A73A1E">
        <w:t>1</w:t>
      </w:r>
      <w:r w:rsidRPr="00A73A1E">
        <w:tab/>
        <w:t>Introduction</w:t>
      </w:r>
      <w:bookmarkEnd w:id="8"/>
      <w:bookmarkEnd w:id="9"/>
      <w:bookmarkEnd w:id="10"/>
    </w:p>
    <w:p w14:paraId="6A4B8156" w14:textId="77777777" w:rsidR="003244CE" w:rsidRPr="00F02281" w:rsidRDefault="003244CE" w:rsidP="003244CE">
      <w:r w:rsidRPr="00A73A1E">
        <w:t xml:space="preserve">This Annex presents characteristics of representative spaceborne SARs </w:t>
      </w:r>
      <w:r>
        <w:t>in §</w:t>
      </w:r>
      <w:r w:rsidRPr="00A73A1E">
        <w:t> 2</w:t>
      </w:r>
      <w:r>
        <w:t>,</w:t>
      </w:r>
      <w:r w:rsidRPr="00A73A1E">
        <w:t xml:space="preserve"> and characteristics of </w:t>
      </w:r>
      <w:r w:rsidRPr="00F02281">
        <w:t xml:space="preserve">some RNSS earth station receiver types in § 3, based on Recommendation </w:t>
      </w:r>
      <w:hyperlink r:id="rId28" w:history="1">
        <w:r w:rsidRPr="00F02281">
          <w:rPr>
            <w:rStyle w:val="Hyperlink"/>
            <w:rFonts w:eastAsia="SimSun"/>
            <w:color w:val="auto"/>
            <w:u w:val="none"/>
          </w:rPr>
          <w:t>ITU-R M.1902</w:t>
        </w:r>
      </w:hyperlink>
      <w:r w:rsidRPr="00F02281">
        <w:t xml:space="preserve">. It also includes in § 4 the methodology of Recommendation </w:t>
      </w:r>
      <w:hyperlink r:id="rId29" w:history="1">
        <w:r w:rsidRPr="00F02281">
          <w:rPr>
            <w:rFonts w:eastAsia="Calibri" w:cs="Arial"/>
            <w:szCs w:val="22"/>
            <w:lang w:eastAsia="zh-CN"/>
          </w:rPr>
          <w:t>ITU-R M.2030</w:t>
        </w:r>
      </w:hyperlink>
      <w:r w:rsidRPr="00F02281">
        <w:t xml:space="preserve"> for evaluating pulsed radio frequency interference (RFI) from spaceborne SARs to RNSS receivers along with pulsed RFI protection criteria for RNSS receivers.</w:t>
      </w:r>
      <w:r w:rsidRPr="00F02281">
        <w:rPr>
          <w:position w:val="6"/>
          <w:sz w:val="18"/>
        </w:rPr>
        <w:footnoteReference w:id="2"/>
      </w:r>
    </w:p>
    <w:p w14:paraId="6DADA398" w14:textId="77777777" w:rsidR="003244CE" w:rsidRPr="00A73A1E" w:rsidRDefault="003244CE" w:rsidP="003244CE">
      <w:r w:rsidRPr="00F02281">
        <w:t xml:space="preserve">In addition, it must be noted that the evaluation of the potential for pulsed interference from an EESS (active) sensor to an RNSS receiver should also consider the cumulative impact of multiple spaceborne active sensors that may simultaneously illuminate the RNSS receivers. One means of </w:t>
      </w:r>
      <w:r w:rsidRPr="00A73A1E">
        <w:lastRenderedPageBreak/>
        <w:t>mitigating the potential aggregate interference from multiple spaceborne active sensors is through operational collaboration by EESS (active) operators of such sensors.</w:t>
      </w:r>
    </w:p>
    <w:p w14:paraId="3969F8E1" w14:textId="77777777" w:rsidR="003244CE" w:rsidRPr="00A73A1E" w:rsidRDefault="003244CE" w:rsidP="003244CE">
      <w:pPr>
        <w:pStyle w:val="Heading1"/>
      </w:pPr>
      <w:bookmarkStart w:id="11" w:name="_Toc102659318"/>
      <w:bookmarkStart w:id="12" w:name="_Toc102659446"/>
      <w:bookmarkStart w:id="13" w:name="_Toc102659467"/>
      <w:r w:rsidRPr="00A73A1E">
        <w:t>2</w:t>
      </w:r>
      <w:r w:rsidRPr="00A73A1E">
        <w:tab/>
        <w:t>Representative technical characteristics of EESS spaceborne SARs</w:t>
      </w:r>
      <w:bookmarkEnd w:id="11"/>
      <w:bookmarkEnd w:id="12"/>
      <w:bookmarkEnd w:id="13"/>
    </w:p>
    <w:p w14:paraId="317D908D" w14:textId="77777777" w:rsidR="003244CE" w:rsidRPr="00A73A1E" w:rsidRDefault="003244CE" w:rsidP="003244CE">
      <w:pPr>
        <w:rPr>
          <w:i/>
          <w:iCs/>
        </w:rPr>
      </w:pPr>
      <w:r w:rsidRPr="00A73A1E">
        <w:t xml:space="preserve">The technical characteristics for </w:t>
      </w:r>
      <w:r w:rsidRPr="00A73A1E">
        <w:rPr>
          <w:lang w:eastAsia="ja-JP"/>
        </w:rPr>
        <w:t>six</w:t>
      </w:r>
      <w:r w:rsidRPr="00A73A1E">
        <w:t xml:space="preserve"> spaceborne SARs which operate in the 1 215</w:t>
      </w:r>
      <w:r w:rsidRPr="00A73A1E">
        <w:noBreakHyphen/>
        <w:t xml:space="preserve">1 300 MHz band are given in Table 1. The antenna gain pattern equations for </w:t>
      </w:r>
      <w:r w:rsidRPr="00A73A1E">
        <w:rPr>
          <w:lang w:eastAsia="ja-JP"/>
        </w:rPr>
        <w:t xml:space="preserve">standard SAR1 </w:t>
      </w:r>
      <w:r w:rsidRPr="00A73A1E">
        <w:t>through</w:t>
      </w:r>
      <w:r w:rsidRPr="00A73A1E">
        <w:rPr>
          <w:lang w:eastAsia="ja-JP"/>
        </w:rPr>
        <w:t xml:space="preserve"> SAR6 </w:t>
      </w:r>
      <w:r w:rsidRPr="00A73A1E">
        <w:t xml:space="preserve">are given in Tables 2 </w:t>
      </w:r>
      <w:r w:rsidRPr="00A73A1E">
        <w:rPr>
          <w:lang w:eastAsia="ja-JP"/>
        </w:rPr>
        <w:t>through 6</w:t>
      </w:r>
      <w:r w:rsidRPr="00A73A1E">
        <w:t xml:space="preserve"> respectively. The parameters of these systems offer a range of possible characteristics that are representative for operational SARs. The characteristics chosen for the analysis in this Report are those which would result in the worst-case interference to the considered RNSS receiver. </w:t>
      </w:r>
    </w:p>
    <w:p w14:paraId="391F4FA2" w14:textId="77777777" w:rsidR="003244CE" w:rsidRPr="00A73A1E" w:rsidRDefault="003244CE" w:rsidP="003244CE">
      <w:pPr>
        <w:rPr>
          <w:i/>
          <w:iCs/>
        </w:rPr>
        <w:sectPr w:rsidR="003244CE" w:rsidRPr="00A73A1E" w:rsidSect="00F8291B">
          <w:headerReference w:type="even" r:id="rId30"/>
          <w:headerReference w:type="default" r:id="rId31"/>
          <w:footerReference w:type="even" r:id="rId32"/>
          <w:footerReference w:type="default" r:id="rId33"/>
          <w:footerReference w:type="first" r:id="rId34"/>
          <w:pgSz w:w="11907" w:h="16834" w:code="9"/>
          <w:pgMar w:top="1418" w:right="1134" w:bottom="1134" w:left="1134" w:header="720" w:footer="482" w:gutter="0"/>
          <w:paperSrc w:first="15" w:other="15"/>
          <w:pgNumType w:start="1"/>
          <w:cols w:space="720"/>
          <w:docGrid w:linePitch="326"/>
        </w:sectPr>
      </w:pPr>
    </w:p>
    <w:p w14:paraId="013ECE9A" w14:textId="77777777" w:rsidR="003244CE" w:rsidRPr="00A73A1E" w:rsidRDefault="003244CE" w:rsidP="00B73155">
      <w:pPr>
        <w:pStyle w:val="TableNo"/>
        <w:spacing w:before="0"/>
      </w:pPr>
      <w:r w:rsidRPr="00A73A1E">
        <w:lastRenderedPageBreak/>
        <w:t>TABLE 1</w:t>
      </w:r>
    </w:p>
    <w:p w14:paraId="618887C4" w14:textId="77777777" w:rsidR="003244CE" w:rsidRPr="00A73A1E" w:rsidRDefault="003244CE" w:rsidP="003244CE">
      <w:pPr>
        <w:pStyle w:val="Tabletitle"/>
      </w:pPr>
      <w:r w:rsidRPr="00A73A1E">
        <w:t>Technical characteristics of spaceborne synthetic aperture radars in the 1 215-1 300 MHz band</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029"/>
        <w:gridCol w:w="1904"/>
        <w:gridCol w:w="1798"/>
        <w:gridCol w:w="1798"/>
        <w:gridCol w:w="1798"/>
        <w:gridCol w:w="1798"/>
        <w:gridCol w:w="1904"/>
      </w:tblGrid>
      <w:tr w:rsidR="003244CE" w:rsidRPr="00A73A1E" w14:paraId="66DC5167" w14:textId="77777777" w:rsidTr="0031214F">
        <w:trPr>
          <w:trHeight w:val="20"/>
          <w:tblHeader/>
          <w:jc w:val="center"/>
        </w:trPr>
        <w:tc>
          <w:tcPr>
            <w:tcW w:w="3029" w:type="dxa"/>
            <w:shd w:val="clear" w:color="auto" w:fill="auto"/>
            <w:vAlign w:val="center"/>
            <w:hideMark/>
          </w:tcPr>
          <w:p w14:paraId="4DCD4F48" w14:textId="77777777" w:rsidR="003244CE" w:rsidRPr="00A73A1E" w:rsidRDefault="003244CE" w:rsidP="009C40C0">
            <w:pPr>
              <w:pStyle w:val="Tablehead"/>
              <w:rPr>
                <w:sz w:val="18"/>
                <w:szCs w:val="18"/>
                <w:lang w:eastAsia="ko-KR"/>
              </w:rPr>
            </w:pPr>
            <w:r w:rsidRPr="00A73A1E">
              <w:rPr>
                <w:sz w:val="18"/>
                <w:szCs w:val="18"/>
                <w:lang w:eastAsia="ja-JP"/>
              </w:rPr>
              <w:t>Parameters</w:t>
            </w:r>
          </w:p>
        </w:tc>
        <w:tc>
          <w:tcPr>
            <w:tcW w:w="1904" w:type="dxa"/>
            <w:shd w:val="clear" w:color="auto" w:fill="auto"/>
            <w:vAlign w:val="center"/>
            <w:hideMark/>
          </w:tcPr>
          <w:p w14:paraId="586763BB" w14:textId="77777777" w:rsidR="003244CE" w:rsidRPr="00A73A1E" w:rsidRDefault="003244CE" w:rsidP="009C40C0">
            <w:pPr>
              <w:pStyle w:val="Tablehead"/>
              <w:rPr>
                <w:sz w:val="18"/>
                <w:szCs w:val="18"/>
                <w:lang w:eastAsia="ko-KR"/>
              </w:rPr>
            </w:pPr>
            <w:r w:rsidRPr="00A73A1E">
              <w:rPr>
                <w:sz w:val="18"/>
                <w:szCs w:val="18"/>
                <w:lang w:eastAsia="ko-KR"/>
              </w:rPr>
              <w:t>Standard SAR1</w:t>
            </w:r>
          </w:p>
        </w:tc>
        <w:tc>
          <w:tcPr>
            <w:tcW w:w="1798" w:type="dxa"/>
            <w:shd w:val="clear" w:color="auto" w:fill="auto"/>
            <w:vAlign w:val="center"/>
            <w:hideMark/>
          </w:tcPr>
          <w:p w14:paraId="1169F054" w14:textId="77777777" w:rsidR="003244CE" w:rsidRPr="00A73A1E" w:rsidRDefault="003244CE" w:rsidP="009C40C0">
            <w:pPr>
              <w:pStyle w:val="Tablehead"/>
              <w:rPr>
                <w:sz w:val="18"/>
                <w:szCs w:val="18"/>
                <w:lang w:eastAsia="ko-KR"/>
              </w:rPr>
            </w:pPr>
            <w:r w:rsidRPr="00A73A1E">
              <w:rPr>
                <w:sz w:val="18"/>
                <w:szCs w:val="18"/>
                <w:lang w:eastAsia="ko-KR"/>
              </w:rPr>
              <w:t>Standard SAR2</w:t>
            </w:r>
          </w:p>
        </w:tc>
        <w:tc>
          <w:tcPr>
            <w:tcW w:w="1798" w:type="dxa"/>
            <w:shd w:val="clear" w:color="auto" w:fill="auto"/>
            <w:vAlign w:val="center"/>
            <w:hideMark/>
          </w:tcPr>
          <w:p w14:paraId="28356F81" w14:textId="77777777" w:rsidR="003244CE" w:rsidRPr="00A73A1E" w:rsidRDefault="003244CE" w:rsidP="009C40C0">
            <w:pPr>
              <w:pStyle w:val="Tablehead"/>
              <w:rPr>
                <w:sz w:val="18"/>
                <w:szCs w:val="18"/>
                <w:lang w:eastAsia="ko-KR"/>
              </w:rPr>
            </w:pPr>
            <w:r w:rsidRPr="00A73A1E">
              <w:rPr>
                <w:sz w:val="18"/>
                <w:szCs w:val="18"/>
                <w:lang w:eastAsia="ja-JP"/>
              </w:rPr>
              <w:t>Standard SAR3</w:t>
            </w:r>
            <w:r>
              <w:rPr>
                <w:sz w:val="18"/>
                <w:szCs w:val="18"/>
                <w:lang w:eastAsia="ja-JP"/>
              </w:rPr>
              <w:br/>
            </w:r>
            <w:r w:rsidRPr="00A73A1E">
              <w:rPr>
                <w:sz w:val="18"/>
                <w:szCs w:val="18"/>
                <w:lang w:eastAsia="ja-JP"/>
              </w:rPr>
              <w:t>[SAR-B1]</w:t>
            </w:r>
          </w:p>
        </w:tc>
        <w:tc>
          <w:tcPr>
            <w:tcW w:w="1798" w:type="dxa"/>
            <w:shd w:val="clear" w:color="auto" w:fill="auto"/>
            <w:vAlign w:val="center"/>
            <w:hideMark/>
          </w:tcPr>
          <w:p w14:paraId="2503690E" w14:textId="77777777" w:rsidR="003244CE" w:rsidRPr="00A73A1E" w:rsidRDefault="003244CE" w:rsidP="009C40C0">
            <w:pPr>
              <w:pStyle w:val="Tablehead"/>
              <w:rPr>
                <w:sz w:val="18"/>
                <w:szCs w:val="18"/>
                <w:lang w:eastAsia="ko-KR"/>
              </w:rPr>
            </w:pPr>
            <w:r w:rsidRPr="00A73A1E">
              <w:rPr>
                <w:sz w:val="18"/>
                <w:szCs w:val="18"/>
                <w:lang w:eastAsia="ja-JP"/>
              </w:rPr>
              <w:t>Standard SAR4</w:t>
            </w:r>
            <w:r w:rsidRPr="00A73A1E">
              <w:rPr>
                <w:sz w:val="18"/>
                <w:szCs w:val="18"/>
                <w:lang w:eastAsia="ja-JP"/>
              </w:rPr>
              <w:br/>
              <w:t>[SAR-B2]</w:t>
            </w:r>
          </w:p>
        </w:tc>
        <w:tc>
          <w:tcPr>
            <w:tcW w:w="1798" w:type="dxa"/>
            <w:shd w:val="clear" w:color="auto" w:fill="auto"/>
            <w:vAlign w:val="center"/>
            <w:hideMark/>
          </w:tcPr>
          <w:p w14:paraId="0EE1F29D" w14:textId="77777777" w:rsidR="003244CE" w:rsidRPr="00A73A1E" w:rsidRDefault="003244CE" w:rsidP="009C40C0">
            <w:pPr>
              <w:pStyle w:val="Tablehead"/>
              <w:rPr>
                <w:sz w:val="18"/>
                <w:szCs w:val="18"/>
                <w:lang w:eastAsia="ko-KR"/>
              </w:rPr>
            </w:pPr>
            <w:r w:rsidRPr="00A73A1E">
              <w:rPr>
                <w:sz w:val="18"/>
                <w:szCs w:val="18"/>
                <w:lang w:eastAsia="ja-JP"/>
              </w:rPr>
              <w:t>Standard SAR5</w:t>
            </w:r>
            <w:r>
              <w:rPr>
                <w:sz w:val="18"/>
                <w:szCs w:val="18"/>
                <w:lang w:eastAsia="ja-JP"/>
              </w:rPr>
              <w:br/>
            </w:r>
            <w:r w:rsidRPr="00A73A1E">
              <w:rPr>
                <w:sz w:val="18"/>
                <w:szCs w:val="18"/>
                <w:lang w:eastAsia="ja-JP"/>
              </w:rPr>
              <w:t>[SAR-B2]</w:t>
            </w:r>
          </w:p>
        </w:tc>
        <w:tc>
          <w:tcPr>
            <w:tcW w:w="1904" w:type="dxa"/>
            <w:shd w:val="clear" w:color="auto" w:fill="auto"/>
            <w:vAlign w:val="center"/>
            <w:hideMark/>
          </w:tcPr>
          <w:p w14:paraId="0D25312D" w14:textId="77777777" w:rsidR="003244CE" w:rsidRPr="00A73A1E" w:rsidRDefault="003244CE" w:rsidP="009C40C0">
            <w:pPr>
              <w:pStyle w:val="Tablehead"/>
              <w:rPr>
                <w:sz w:val="18"/>
                <w:szCs w:val="18"/>
                <w:lang w:eastAsia="ko-KR"/>
              </w:rPr>
            </w:pPr>
            <w:r w:rsidRPr="00A73A1E">
              <w:rPr>
                <w:sz w:val="18"/>
                <w:szCs w:val="18"/>
                <w:lang w:eastAsia="ja-JP"/>
              </w:rPr>
              <w:t>Standard SAR6</w:t>
            </w:r>
            <w:r w:rsidRPr="00A73A1E">
              <w:rPr>
                <w:sz w:val="18"/>
                <w:szCs w:val="18"/>
                <w:lang w:eastAsia="ja-JP"/>
              </w:rPr>
              <w:br/>
              <w:t>[SAR-B2]</w:t>
            </w:r>
          </w:p>
        </w:tc>
      </w:tr>
      <w:tr w:rsidR="003244CE" w:rsidRPr="00A73A1E" w14:paraId="71E9ECFB" w14:textId="77777777" w:rsidTr="0031214F">
        <w:trPr>
          <w:trHeight w:val="20"/>
          <w:jc w:val="center"/>
        </w:trPr>
        <w:tc>
          <w:tcPr>
            <w:tcW w:w="3029" w:type="dxa"/>
            <w:shd w:val="clear" w:color="auto" w:fill="auto"/>
            <w:hideMark/>
          </w:tcPr>
          <w:p w14:paraId="2D2BD641" w14:textId="77777777" w:rsidR="003244CE" w:rsidRPr="00A73A1E" w:rsidRDefault="003244CE" w:rsidP="00F02281">
            <w:pPr>
              <w:pStyle w:val="Tabletext"/>
              <w:jc w:val="left"/>
              <w:rPr>
                <w:sz w:val="18"/>
                <w:szCs w:val="18"/>
                <w:lang w:eastAsia="ko-KR"/>
              </w:rPr>
            </w:pPr>
            <w:r w:rsidRPr="00A73A1E">
              <w:rPr>
                <w:sz w:val="18"/>
                <w:szCs w:val="18"/>
                <w:lang w:eastAsia="ja-JP"/>
              </w:rPr>
              <w:t>Type of orbit</w:t>
            </w:r>
          </w:p>
        </w:tc>
        <w:tc>
          <w:tcPr>
            <w:tcW w:w="1904" w:type="dxa"/>
            <w:shd w:val="clear" w:color="auto" w:fill="auto"/>
            <w:hideMark/>
          </w:tcPr>
          <w:p w14:paraId="05C73C6E" w14:textId="77777777" w:rsidR="003244CE" w:rsidRPr="00A73A1E" w:rsidRDefault="003244CE" w:rsidP="009C40C0">
            <w:pPr>
              <w:pStyle w:val="Tabletext"/>
              <w:jc w:val="center"/>
              <w:rPr>
                <w:sz w:val="18"/>
                <w:szCs w:val="18"/>
                <w:lang w:eastAsia="ko-KR"/>
              </w:rPr>
            </w:pPr>
            <w:r w:rsidRPr="00A73A1E">
              <w:rPr>
                <w:sz w:val="18"/>
                <w:szCs w:val="18"/>
                <w:lang w:eastAsia="ja-JP"/>
              </w:rPr>
              <w:t>Sun-synchronous</w:t>
            </w:r>
          </w:p>
        </w:tc>
        <w:tc>
          <w:tcPr>
            <w:tcW w:w="1798" w:type="dxa"/>
            <w:shd w:val="clear" w:color="auto" w:fill="auto"/>
            <w:hideMark/>
          </w:tcPr>
          <w:p w14:paraId="47660002" w14:textId="77777777" w:rsidR="003244CE" w:rsidRPr="00A73A1E" w:rsidRDefault="003244CE" w:rsidP="009C40C0">
            <w:pPr>
              <w:pStyle w:val="Tabletext"/>
              <w:jc w:val="center"/>
              <w:rPr>
                <w:sz w:val="18"/>
                <w:szCs w:val="18"/>
                <w:lang w:eastAsia="ko-KR"/>
              </w:rPr>
            </w:pPr>
            <w:r w:rsidRPr="00A73A1E">
              <w:rPr>
                <w:sz w:val="18"/>
                <w:szCs w:val="18"/>
                <w:lang w:eastAsia="ja-JP"/>
              </w:rPr>
              <w:t>Sun-synchronous</w:t>
            </w:r>
          </w:p>
        </w:tc>
        <w:tc>
          <w:tcPr>
            <w:tcW w:w="1798" w:type="dxa"/>
            <w:shd w:val="clear" w:color="auto" w:fill="auto"/>
            <w:hideMark/>
          </w:tcPr>
          <w:p w14:paraId="2F1B2179" w14:textId="77777777" w:rsidR="003244CE" w:rsidRPr="00A73A1E" w:rsidRDefault="003244CE" w:rsidP="009C40C0">
            <w:pPr>
              <w:pStyle w:val="Tabletext"/>
              <w:jc w:val="center"/>
              <w:rPr>
                <w:sz w:val="18"/>
                <w:szCs w:val="18"/>
                <w:lang w:eastAsia="ko-KR"/>
              </w:rPr>
            </w:pPr>
            <w:r w:rsidRPr="00A73A1E">
              <w:rPr>
                <w:sz w:val="18"/>
                <w:szCs w:val="18"/>
                <w:lang w:eastAsia="ja-JP"/>
              </w:rPr>
              <w:t>Sun-synchronous</w:t>
            </w:r>
          </w:p>
        </w:tc>
        <w:tc>
          <w:tcPr>
            <w:tcW w:w="1798" w:type="dxa"/>
            <w:shd w:val="clear" w:color="auto" w:fill="auto"/>
            <w:hideMark/>
          </w:tcPr>
          <w:p w14:paraId="3EDFE324" w14:textId="77777777" w:rsidR="003244CE" w:rsidRPr="00A73A1E" w:rsidRDefault="003244CE" w:rsidP="009C40C0">
            <w:pPr>
              <w:pStyle w:val="Tabletext"/>
              <w:jc w:val="center"/>
              <w:rPr>
                <w:sz w:val="18"/>
                <w:szCs w:val="18"/>
                <w:lang w:eastAsia="ko-KR"/>
              </w:rPr>
            </w:pPr>
            <w:r w:rsidRPr="00A73A1E">
              <w:rPr>
                <w:sz w:val="18"/>
                <w:szCs w:val="18"/>
                <w:lang w:eastAsia="ja-JP"/>
              </w:rPr>
              <w:t>Sun-synchronous</w:t>
            </w:r>
          </w:p>
        </w:tc>
        <w:tc>
          <w:tcPr>
            <w:tcW w:w="1798" w:type="dxa"/>
            <w:shd w:val="clear" w:color="auto" w:fill="auto"/>
            <w:hideMark/>
          </w:tcPr>
          <w:p w14:paraId="2E19C128" w14:textId="77777777" w:rsidR="003244CE" w:rsidRPr="00A73A1E" w:rsidRDefault="003244CE" w:rsidP="009C40C0">
            <w:pPr>
              <w:pStyle w:val="Tabletext"/>
              <w:jc w:val="center"/>
              <w:rPr>
                <w:sz w:val="18"/>
                <w:szCs w:val="18"/>
                <w:lang w:eastAsia="ko-KR"/>
              </w:rPr>
            </w:pPr>
            <w:r w:rsidRPr="00A73A1E">
              <w:rPr>
                <w:sz w:val="18"/>
                <w:szCs w:val="18"/>
                <w:lang w:eastAsia="ja-JP"/>
              </w:rPr>
              <w:t>Sun-synchronous</w:t>
            </w:r>
          </w:p>
        </w:tc>
        <w:tc>
          <w:tcPr>
            <w:tcW w:w="1904" w:type="dxa"/>
            <w:shd w:val="clear" w:color="auto" w:fill="auto"/>
            <w:hideMark/>
          </w:tcPr>
          <w:p w14:paraId="2D13F6A5" w14:textId="77777777" w:rsidR="003244CE" w:rsidRPr="00A73A1E" w:rsidRDefault="003244CE" w:rsidP="009C40C0">
            <w:pPr>
              <w:pStyle w:val="Tabletext"/>
              <w:jc w:val="center"/>
              <w:rPr>
                <w:sz w:val="18"/>
                <w:szCs w:val="18"/>
                <w:lang w:eastAsia="ko-KR"/>
              </w:rPr>
            </w:pPr>
            <w:r w:rsidRPr="00A73A1E">
              <w:rPr>
                <w:sz w:val="18"/>
                <w:szCs w:val="18"/>
                <w:lang w:eastAsia="ja-JP"/>
              </w:rPr>
              <w:t>Sun-synchronous</w:t>
            </w:r>
          </w:p>
        </w:tc>
      </w:tr>
      <w:tr w:rsidR="003244CE" w:rsidRPr="00A73A1E" w14:paraId="1BA4A075" w14:textId="77777777" w:rsidTr="0031214F">
        <w:trPr>
          <w:trHeight w:val="20"/>
          <w:jc w:val="center"/>
        </w:trPr>
        <w:tc>
          <w:tcPr>
            <w:tcW w:w="3029" w:type="dxa"/>
            <w:shd w:val="clear" w:color="auto" w:fill="auto"/>
            <w:hideMark/>
          </w:tcPr>
          <w:p w14:paraId="36355F9B" w14:textId="77777777" w:rsidR="003244CE" w:rsidRPr="00A73A1E" w:rsidRDefault="003244CE" w:rsidP="00F02281">
            <w:pPr>
              <w:pStyle w:val="Tabletext"/>
              <w:jc w:val="left"/>
              <w:rPr>
                <w:sz w:val="18"/>
                <w:szCs w:val="18"/>
                <w:lang w:eastAsia="ko-KR"/>
              </w:rPr>
            </w:pPr>
            <w:r w:rsidRPr="00A73A1E">
              <w:rPr>
                <w:sz w:val="18"/>
                <w:szCs w:val="18"/>
                <w:lang w:eastAsia="ja-JP"/>
              </w:rPr>
              <w:t>Altitude</w:t>
            </w:r>
            <w:r>
              <w:rPr>
                <w:sz w:val="18"/>
                <w:szCs w:val="18"/>
                <w:lang w:eastAsia="ja-JP"/>
              </w:rPr>
              <w:t xml:space="preserve"> (</w:t>
            </w:r>
            <w:r w:rsidRPr="00A73A1E">
              <w:rPr>
                <w:sz w:val="18"/>
                <w:szCs w:val="18"/>
                <w:lang w:eastAsia="ja-JP"/>
              </w:rPr>
              <w:t>km</w:t>
            </w:r>
            <w:r>
              <w:rPr>
                <w:sz w:val="18"/>
                <w:szCs w:val="18"/>
                <w:lang w:eastAsia="ja-JP"/>
              </w:rPr>
              <w:t>)</w:t>
            </w:r>
          </w:p>
        </w:tc>
        <w:tc>
          <w:tcPr>
            <w:tcW w:w="1904" w:type="dxa"/>
            <w:shd w:val="clear" w:color="auto" w:fill="auto"/>
            <w:hideMark/>
          </w:tcPr>
          <w:p w14:paraId="38A1920E" w14:textId="77777777" w:rsidR="003244CE" w:rsidRPr="00A73A1E" w:rsidRDefault="003244CE" w:rsidP="009C40C0">
            <w:pPr>
              <w:pStyle w:val="Tabletext"/>
              <w:jc w:val="center"/>
              <w:rPr>
                <w:sz w:val="18"/>
                <w:szCs w:val="18"/>
                <w:lang w:eastAsia="ko-KR"/>
              </w:rPr>
            </w:pPr>
            <w:r w:rsidRPr="00A73A1E">
              <w:rPr>
                <w:sz w:val="18"/>
                <w:szCs w:val="18"/>
                <w:lang w:eastAsia="ja-JP"/>
              </w:rPr>
              <w:t>400</w:t>
            </w:r>
          </w:p>
        </w:tc>
        <w:tc>
          <w:tcPr>
            <w:tcW w:w="1798" w:type="dxa"/>
            <w:shd w:val="clear" w:color="auto" w:fill="auto"/>
            <w:hideMark/>
          </w:tcPr>
          <w:p w14:paraId="296CE746" w14:textId="77777777" w:rsidR="003244CE" w:rsidRPr="00A73A1E" w:rsidRDefault="003244CE" w:rsidP="009C40C0">
            <w:pPr>
              <w:pStyle w:val="Tabletext"/>
              <w:jc w:val="center"/>
              <w:rPr>
                <w:sz w:val="18"/>
                <w:szCs w:val="18"/>
                <w:lang w:eastAsia="ko-KR"/>
              </w:rPr>
            </w:pPr>
            <w:r w:rsidRPr="00A73A1E">
              <w:rPr>
                <w:sz w:val="18"/>
                <w:szCs w:val="18"/>
                <w:lang w:eastAsia="ja-JP"/>
              </w:rPr>
              <w:t>568</w:t>
            </w:r>
          </w:p>
        </w:tc>
        <w:tc>
          <w:tcPr>
            <w:tcW w:w="1798" w:type="dxa"/>
            <w:shd w:val="clear" w:color="auto" w:fill="auto"/>
            <w:hideMark/>
          </w:tcPr>
          <w:p w14:paraId="51F12725" w14:textId="77777777" w:rsidR="003244CE" w:rsidRPr="00A73A1E" w:rsidRDefault="003244CE" w:rsidP="009C40C0">
            <w:pPr>
              <w:pStyle w:val="Tabletext"/>
              <w:jc w:val="center"/>
              <w:rPr>
                <w:sz w:val="18"/>
                <w:szCs w:val="18"/>
                <w:lang w:eastAsia="ko-KR"/>
              </w:rPr>
            </w:pPr>
            <w:r w:rsidRPr="00A73A1E">
              <w:rPr>
                <w:sz w:val="18"/>
                <w:szCs w:val="18"/>
                <w:lang w:eastAsia="ja-JP"/>
              </w:rPr>
              <w:t>757</w:t>
            </w:r>
          </w:p>
        </w:tc>
        <w:tc>
          <w:tcPr>
            <w:tcW w:w="1798" w:type="dxa"/>
            <w:shd w:val="clear" w:color="auto" w:fill="auto"/>
            <w:hideMark/>
          </w:tcPr>
          <w:p w14:paraId="2B77918E" w14:textId="77777777" w:rsidR="003244CE" w:rsidRPr="00A73A1E" w:rsidRDefault="003244CE" w:rsidP="009C40C0">
            <w:pPr>
              <w:pStyle w:val="Tabletext"/>
              <w:jc w:val="center"/>
              <w:rPr>
                <w:sz w:val="18"/>
                <w:szCs w:val="18"/>
                <w:lang w:eastAsia="ko-KR"/>
              </w:rPr>
            </w:pPr>
            <w:r w:rsidRPr="00A73A1E">
              <w:rPr>
                <w:sz w:val="18"/>
                <w:szCs w:val="18"/>
                <w:lang w:eastAsia="ja-JP"/>
              </w:rPr>
              <w:t>628</w:t>
            </w:r>
          </w:p>
        </w:tc>
        <w:tc>
          <w:tcPr>
            <w:tcW w:w="1798" w:type="dxa"/>
            <w:shd w:val="clear" w:color="auto" w:fill="auto"/>
            <w:hideMark/>
          </w:tcPr>
          <w:p w14:paraId="2517C9A2" w14:textId="77777777" w:rsidR="003244CE" w:rsidRPr="00A73A1E" w:rsidRDefault="003244CE" w:rsidP="009C40C0">
            <w:pPr>
              <w:pStyle w:val="Tabletext"/>
              <w:jc w:val="center"/>
              <w:rPr>
                <w:sz w:val="18"/>
                <w:szCs w:val="18"/>
                <w:lang w:eastAsia="ko-KR"/>
              </w:rPr>
            </w:pPr>
            <w:r w:rsidRPr="00A73A1E">
              <w:rPr>
                <w:sz w:val="18"/>
                <w:szCs w:val="18"/>
                <w:lang w:eastAsia="ja-JP"/>
              </w:rPr>
              <w:t>628</w:t>
            </w:r>
          </w:p>
        </w:tc>
        <w:tc>
          <w:tcPr>
            <w:tcW w:w="1904" w:type="dxa"/>
            <w:shd w:val="clear" w:color="auto" w:fill="auto"/>
            <w:hideMark/>
          </w:tcPr>
          <w:p w14:paraId="1C9F058D" w14:textId="77777777" w:rsidR="003244CE" w:rsidRPr="00A73A1E" w:rsidRDefault="003244CE" w:rsidP="009C40C0">
            <w:pPr>
              <w:pStyle w:val="Tabletext"/>
              <w:jc w:val="center"/>
              <w:rPr>
                <w:sz w:val="18"/>
                <w:szCs w:val="18"/>
                <w:lang w:eastAsia="ko-KR"/>
              </w:rPr>
            </w:pPr>
            <w:r w:rsidRPr="00A73A1E">
              <w:rPr>
                <w:sz w:val="18"/>
                <w:szCs w:val="18"/>
                <w:lang w:eastAsia="ja-JP"/>
              </w:rPr>
              <w:t>628</w:t>
            </w:r>
          </w:p>
        </w:tc>
      </w:tr>
      <w:tr w:rsidR="003244CE" w:rsidRPr="00A73A1E" w14:paraId="5B3A2C26" w14:textId="77777777" w:rsidTr="0031214F">
        <w:trPr>
          <w:trHeight w:val="20"/>
          <w:jc w:val="center"/>
        </w:trPr>
        <w:tc>
          <w:tcPr>
            <w:tcW w:w="3029" w:type="dxa"/>
            <w:shd w:val="clear" w:color="auto" w:fill="auto"/>
            <w:hideMark/>
          </w:tcPr>
          <w:p w14:paraId="15AC5EC1" w14:textId="77777777" w:rsidR="003244CE" w:rsidRPr="00A73A1E" w:rsidRDefault="003244CE" w:rsidP="00F02281">
            <w:pPr>
              <w:pStyle w:val="Tabletext"/>
              <w:jc w:val="left"/>
              <w:rPr>
                <w:sz w:val="18"/>
                <w:szCs w:val="18"/>
                <w:lang w:eastAsia="ko-KR"/>
              </w:rPr>
            </w:pPr>
            <w:r w:rsidRPr="00A73A1E">
              <w:rPr>
                <w:sz w:val="18"/>
                <w:szCs w:val="18"/>
                <w:lang w:eastAsia="ja-JP"/>
              </w:rPr>
              <w:t xml:space="preserve">Inclination </w:t>
            </w:r>
            <w:r>
              <w:rPr>
                <w:sz w:val="18"/>
                <w:szCs w:val="18"/>
                <w:lang w:eastAsia="ja-JP"/>
              </w:rPr>
              <w:t>(</w:t>
            </w:r>
            <w:r w:rsidRPr="00A73A1E">
              <w:rPr>
                <w:sz w:val="18"/>
                <w:szCs w:val="18"/>
                <w:lang w:eastAsia="ja-JP"/>
              </w:rPr>
              <w:t>degrees</w:t>
            </w:r>
            <w:r>
              <w:rPr>
                <w:sz w:val="18"/>
                <w:szCs w:val="18"/>
                <w:lang w:eastAsia="ja-JP"/>
              </w:rPr>
              <w:t>)</w:t>
            </w:r>
          </w:p>
        </w:tc>
        <w:tc>
          <w:tcPr>
            <w:tcW w:w="1904" w:type="dxa"/>
            <w:shd w:val="clear" w:color="auto" w:fill="auto"/>
            <w:hideMark/>
          </w:tcPr>
          <w:p w14:paraId="10BBD913" w14:textId="77777777" w:rsidR="003244CE" w:rsidRPr="00A73A1E" w:rsidRDefault="003244CE" w:rsidP="009C40C0">
            <w:pPr>
              <w:pStyle w:val="Tabletext"/>
              <w:jc w:val="center"/>
              <w:rPr>
                <w:sz w:val="18"/>
                <w:szCs w:val="18"/>
                <w:lang w:eastAsia="ko-KR"/>
              </w:rPr>
            </w:pPr>
            <w:r w:rsidRPr="00A73A1E">
              <w:rPr>
                <w:sz w:val="18"/>
                <w:szCs w:val="18"/>
                <w:lang w:eastAsia="ja-JP"/>
              </w:rPr>
              <w:t>57</w:t>
            </w:r>
          </w:p>
        </w:tc>
        <w:tc>
          <w:tcPr>
            <w:tcW w:w="1798" w:type="dxa"/>
            <w:shd w:val="clear" w:color="auto" w:fill="auto"/>
            <w:hideMark/>
          </w:tcPr>
          <w:p w14:paraId="118361E8" w14:textId="77777777" w:rsidR="003244CE" w:rsidRPr="00A73A1E" w:rsidRDefault="003244CE" w:rsidP="009C40C0">
            <w:pPr>
              <w:pStyle w:val="Tabletext"/>
              <w:jc w:val="center"/>
              <w:rPr>
                <w:sz w:val="18"/>
                <w:szCs w:val="18"/>
                <w:lang w:eastAsia="ko-KR"/>
              </w:rPr>
            </w:pPr>
            <w:r w:rsidRPr="00A73A1E">
              <w:rPr>
                <w:sz w:val="18"/>
                <w:szCs w:val="18"/>
                <w:lang w:eastAsia="ja-JP"/>
              </w:rPr>
              <w:t>97.7</w:t>
            </w:r>
          </w:p>
        </w:tc>
        <w:tc>
          <w:tcPr>
            <w:tcW w:w="1798" w:type="dxa"/>
            <w:shd w:val="clear" w:color="auto" w:fill="auto"/>
            <w:hideMark/>
          </w:tcPr>
          <w:p w14:paraId="784FB700" w14:textId="77777777" w:rsidR="003244CE" w:rsidRPr="00A73A1E" w:rsidRDefault="003244CE" w:rsidP="009C40C0">
            <w:pPr>
              <w:pStyle w:val="Tabletext"/>
              <w:jc w:val="center"/>
              <w:rPr>
                <w:sz w:val="18"/>
                <w:szCs w:val="18"/>
                <w:lang w:eastAsia="ko-KR"/>
              </w:rPr>
            </w:pPr>
            <w:r w:rsidRPr="00A73A1E">
              <w:rPr>
                <w:sz w:val="18"/>
                <w:szCs w:val="18"/>
                <w:lang w:eastAsia="ja-JP"/>
              </w:rPr>
              <w:t>98</w:t>
            </w:r>
          </w:p>
        </w:tc>
        <w:tc>
          <w:tcPr>
            <w:tcW w:w="1798" w:type="dxa"/>
            <w:shd w:val="clear" w:color="auto" w:fill="auto"/>
            <w:hideMark/>
          </w:tcPr>
          <w:p w14:paraId="252C8445" w14:textId="77777777" w:rsidR="003244CE" w:rsidRPr="00A73A1E" w:rsidRDefault="003244CE" w:rsidP="009C40C0">
            <w:pPr>
              <w:pStyle w:val="Tabletext"/>
              <w:jc w:val="center"/>
              <w:rPr>
                <w:sz w:val="18"/>
                <w:szCs w:val="18"/>
                <w:lang w:eastAsia="ko-KR"/>
              </w:rPr>
            </w:pPr>
            <w:r w:rsidRPr="00A73A1E">
              <w:rPr>
                <w:sz w:val="18"/>
                <w:szCs w:val="18"/>
                <w:lang w:eastAsia="ja-JP"/>
              </w:rPr>
              <w:t>97.9</w:t>
            </w:r>
          </w:p>
        </w:tc>
        <w:tc>
          <w:tcPr>
            <w:tcW w:w="1798" w:type="dxa"/>
            <w:shd w:val="clear" w:color="auto" w:fill="auto"/>
            <w:hideMark/>
          </w:tcPr>
          <w:p w14:paraId="37DB1BEA" w14:textId="77777777" w:rsidR="003244CE" w:rsidRPr="00A73A1E" w:rsidRDefault="003244CE" w:rsidP="009C40C0">
            <w:pPr>
              <w:pStyle w:val="Tabletext"/>
              <w:jc w:val="center"/>
              <w:rPr>
                <w:sz w:val="18"/>
                <w:szCs w:val="18"/>
                <w:lang w:eastAsia="ko-KR"/>
              </w:rPr>
            </w:pPr>
            <w:r w:rsidRPr="00A73A1E">
              <w:rPr>
                <w:sz w:val="18"/>
                <w:szCs w:val="18"/>
                <w:lang w:eastAsia="ja-JP"/>
              </w:rPr>
              <w:t>97.9</w:t>
            </w:r>
          </w:p>
        </w:tc>
        <w:tc>
          <w:tcPr>
            <w:tcW w:w="1904" w:type="dxa"/>
            <w:shd w:val="clear" w:color="auto" w:fill="auto"/>
            <w:hideMark/>
          </w:tcPr>
          <w:p w14:paraId="6BCAB978" w14:textId="77777777" w:rsidR="003244CE" w:rsidRPr="00A73A1E" w:rsidRDefault="003244CE" w:rsidP="009C40C0">
            <w:pPr>
              <w:pStyle w:val="Tabletext"/>
              <w:jc w:val="center"/>
              <w:rPr>
                <w:sz w:val="18"/>
                <w:szCs w:val="18"/>
                <w:lang w:eastAsia="ko-KR"/>
              </w:rPr>
            </w:pPr>
            <w:r w:rsidRPr="00A73A1E">
              <w:rPr>
                <w:sz w:val="18"/>
                <w:szCs w:val="18"/>
                <w:lang w:eastAsia="ja-JP"/>
              </w:rPr>
              <w:t>97.9</w:t>
            </w:r>
          </w:p>
        </w:tc>
      </w:tr>
      <w:tr w:rsidR="003244CE" w:rsidRPr="00A73A1E" w14:paraId="7CE45196" w14:textId="77777777" w:rsidTr="0031214F">
        <w:trPr>
          <w:trHeight w:val="20"/>
          <w:jc w:val="center"/>
        </w:trPr>
        <w:tc>
          <w:tcPr>
            <w:tcW w:w="3029" w:type="dxa"/>
            <w:shd w:val="clear" w:color="auto" w:fill="auto"/>
            <w:hideMark/>
          </w:tcPr>
          <w:p w14:paraId="61BC9BDF" w14:textId="77777777" w:rsidR="003244CE" w:rsidRPr="00A73A1E" w:rsidRDefault="003244CE" w:rsidP="00F02281">
            <w:pPr>
              <w:pStyle w:val="Tabletext"/>
              <w:jc w:val="left"/>
              <w:rPr>
                <w:sz w:val="18"/>
                <w:szCs w:val="18"/>
                <w:lang w:eastAsia="ko-KR"/>
              </w:rPr>
            </w:pPr>
            <w:r w:rsidRPr="00A73A1E">
              <w:rPr>
                <w:sz w:val="18"/>
                <w:szCs w:val="18"/>
                <w:lang w:eastAsia="ja-JP"/>
              </w:rPr>
              <w:t>Eccentricity</w:t>
            </w:r>
          </w:p>
        </w:tc>
        <w:tc>
          <w:tcPr>
            <w:tcW w:w="1904" w:type="dxa"/>
            <w:shd w:val="clear" w:color="auto" w:fill="auto"/>
            <w:hideMark/>
          </w:tcPr>
          <w:p w14:paraId="1BB4B3B3" w14:textId="77777777" w:rsidR="003244CE" w:rsidRPr="00A73A1E" w:rsidRDefault="003244CE" w:rsidP="009C40C0">
            <w:pPr>
              <w:pStyle w:val="Tabletext"/>
              <w:jc w:val="center"/>
              <w:rPr>
                <w:sz w:val="18"/>
                <w:szCs w:val="18"/>
                <w:lang w:eastAsia="ko-KR"/>
              </w:rPr>
            </w:pPr>
            <w:r w:rsidRPr="00A73A1E">
              <w:rPr>
                <w:sz w:val="18"/>
                <w:szCs w:val="18"/>
                <w:lang w:eastAsia="ja-JP"/>
              </w:rPr>
              <w:t>circular</w:t>
            </w:r>
          </w:p>
        </w:tc>
        <w:tc>
          <w:tcPr>
            <w:tcW w:w="1798" w:type="dxa"/>
            <w:shd w:val="clear" w:color="auto" w:fill="auto"/>
            <w:hideMark/>
          </w:tcPr>
          <w:p w14:paraId="7E5E8CE6" w14:textId="77777777" w:rsidR="003244CE" w:rsidRPr="00A73A1E" w:rsidRDefault="003244CE" w:rsidP="009C40C0">
            <w:pPr>
              <w:pStyle w:val="Tabletext"/>
              <w:jc w:val="center"/>
              <w:rPr>
                <w:sz w:val="18"/>
                <w:szCs w:val="18"/>
                <w:lang w:eastAsia="ko-KR"/>
              </w:rPr>
            </w:pPr>
            <w:r w:rsidRPr="00A73A1E">
              <w:rPr>
                <w:sz w:val="18"/>
                <w:szCs w:val="18"/>
                <w:lang w:eastAsia="ja-JP"/>
              </w:rPr>
              <w:t>circular</w:t>
            </w:r>
          </w:p>
        </w:tc>
        <w:tc>
          <w:tcPr>
            <w:tcW w:w="1798" w:type="dxa"/>
            <w:shd w:val="clear" w:color="auto" w:fill="auto"/>
            <w:hideMark/>
          </w:tcPr>
          <w:p w14:paraId="0C506093" w14:textId="77777777" w:rsidR="003244CE" w:rsidRPr="00A73A1E" w:rsidRDefault="003244CE" w:rsidP="009C40C0">
            <w:pPr>
              <w:pStyle w:val="Tabletext"/>
              <w:jc w:val="center"/>
              <w:rPr>
                <w:sz w:val="18"/>
                <w:szCs w:val="18"/>
                <w:lang w:eastAsia="ko-KR"/>
              </w:rPr>
            </w:pPr>
            <w:r w:rsidRPr="00A73A1E">
              <w:rPr>
                <w:sz w:val="18"/>
                <w:szCs w:val="18"/>
                <w:lang w:eastAsia="ja-JP"/>
              </w:rPr>
              <w:t>circular</w:t>
            </w:r>
          </w:p>
        </w:tc>
        <w:tc>
          <w:tcPr>
            <w:tcW w:w="1798" w:type="dxa"/>
            <w:shd w:val="clear" w:color="auto" w:fill="auto"/>
            <w:hideMark/>
          </w:tcPr>
          <w:p w14:paraId="02959530" w14:textId="77777777" w:rsidR="003244CE" w:rsidRPr="00A73A1E" w:rsidRDefault="003244CE" w:rsidP="009C40C0">
            <w:pPr>
              <w:pStyle w:val="Tabletext"/>
              <w:jc w:val="center"/>
              <w:rPr>
                <w:sz w:val="18"/>
                <w:szCs w:val="18"/>
                <w:lang w:eastAsia="ko-KR"/>
              </w:rPr>
            </w:pPr>
            <w:r w:rsidRPr="00A73A1E">
              <w:rPr>
                <w:sz w:val="18"/>
                <w:szCs w:val="18"/>
                <w:lang w:eastAsia="ja-JP"/>
              </w:rPr>
              <w:t>Circular</w:t>
            </w:r>
          </w:p>
        </w:tc>
        <w:tc>
          <w:tcPr>
            <w:tcW w:w="1798" w:type="dxa"/>
            <w:shd w:val="clear" w:color="auto" w:fill="auto"/>
            <w:hideMark/>
          </w:tcPr>
          <w:p w14:paraId="3F89053D" w14:textId="77777777" w:rsidR="003244CE" w:rsidRPr="00A73A1E" w:rsidRDefault="003244CE" w:rsidP="009C40C0">
            <w:pPr>
              <w:pStyle w:val="Tabletext"/>
              <w:jc w:val="center"/>
              <w:rPr>
                <w:sz w:val="18"/>
                <w:szCs w:val="18"/>
                <w:lang w:eastAsia="ko-KR"/>
              </w:rPr>
            </w:pPr>
            <w:r w:rsidRPr="00A73A1E">
              <w:rPr>
                <w:sz w:val="18"/>
                <w:szCs w:val="18"/>
                <w:lang w:eastAsia="ja-JP"/>
              </w:rPr>
              <w:t>Circular</w:t>
            </w:r>
          </w:p>
        </w:tc>
        <w:tc>
          <w:tcPr>
            <w:tcW w:w="1904" w:type="dxa"/>
            <w:shd w:val="clear" w:color="auto" w:fill="auto"/>
            <w:hideMark/>
          </w:tcPr>
          <w:p w14:paraId="069AD4DA" w14:textId="77777777" w:rsidR="003244CE" w:rsidRPr="00A73A1E" w:rsidRDefault="003244CE" w:rsidP="009C40C0">
            <w:pPr>
              <w:pStyle w:val="Tabletext"/>
              <w:jc w:val="center"/>
              <w:rPr>
                <w:sz w:val="18"/>
                <w:szCs w:val="18"/>
                <w:lang w:eastAsia="ko-KR"/>
              </w:rPr>
            </w:pPr>
            <w:r w:rsidRPr="00A73A1E">
              <w:rPr>
                <w:sz w:val="18"/>
                <w:szCs w:val="18"/>
                <w:lang w:eastAsia="ja-JP"/>
              </w:rPr>
              <w:t>Circular</w:t>
            </w:r>
          </w:p>
        </w:tc>
      </w:tr>
      <w:tr w:rsidR="003244CE" w:rsidRPr="00A73A1E" w14:paraId="1229A8E0" w14:textId="77777777" w:rsidTr="0031214F">
        <w:trPr>
          <w:trHeight w:val="20"/>
          <w:jc w:val="center"/>
        </w:trPr>
        <w:tc>
          <w:tcPr>
            <w:tcW w:w="3029" w:type="dxa"/>
            <w:shd w:val="clear" w:color="auto" w:fill="auto"/>
            <w:hideMark/>
          </w:tcPr>
          <w:p w14:paraId="5E1ACFA4" w14:textId="77777777" w:rsidR="003244CE" w:rsidRPr="00A73A1E" w:rsidRDefault="003244CE" w:rsidP="00F02281">
            <w:pPr>
              <w:pStyle w:val="Tabletext"/>
              <w:jc w:val="left"/>
              <w:rPr>
                <w:sz w:val="18"/>
                <w:szCs w:val="18"/>
                <w:lang w:eastAsia="ko-KR"/>
              </w:rPr>
            </w:pPr>
            <w:r w:rsidRPr="00A73A1E">
              <w:rPr>
                <w:sz w:val="18"/>
                <w:szCs w:val="18"/>
                <w:lang w:eastAsia="ja-JP"/>
              </w:rPr>
              <w:t>Ascending node</w:t>
            </w:r>
          </w:p>
        </w:tc>
        <w:tc>
          <w:tcPr>
            <w:tcW w:w="1904" w:type="dxa"/>
            <w:shd w:val="clear" w:color="auto" w:fill="auto"/>
            <w:hideMark/>
          </w:tcPr>
          <w:p w14:paraId="459CB300" w14:textId="77777777" w:rsidR="003244CE" w:rsidRPr="00A73A1E" w:rsidRDefault="003244CE" w:rsidP="009C40C0">
            <w:pPr>
              <w:pStyle w:val="Tabletext"/>
              <w:jc w:val="center"/>
              <w:rPr>
                <w:sz w:val="18"/>
                <w:szCs w:val="18"/>
                <w:lang w:eastAsia="ko-KR"/>
              </w:rPr>
            </w:pPr>
            <w:r w:rsidRPr="00A73A1E">
              <w:rPr>
                <w:sz w:val="18"/>
                <w:szCs w:val="18"/>
                <w:lang w:eastAsia="ja-JP"/>
              </w:rPr>
              <w:t>NSS</w:t>
            </w:r>
          </w:p>
        </w:tc>
        <w:tc>
          <w:tcPr>
            <w:tcW w:w="1798" w:type="dxa"/>
            <w:shd w:val="clear" w:color="auto" w:fill="auto"/>
            <w:hideMark/>
          </w:tcPr>
          <w:p w14:paraId="278BDA79" w14:textId="77777777" w:rsidR="003244CE" w:rsidRPr="00A73A1E" w:rsidRDefault="003244CE" w:rsidP="009C40C0">
            <w:pPr>
              <w:pStyle w:val="Tabletext"/>
              <w:jc w:val="center"/>
              <w:rPr>
                <w:sz w:val="18"/>
                <w:szCs w:val="18"/>
                <w:lang w:eastAsia="ko-KR"/>
              </w:rPr>
            </w:pPr>
            <w:r w:rsidRPr="00A73A1E">
              <w:rPr>
                <w:sz w:val="18"/>
                <w:szCs w:val="18"/>
                <w:lang w:eastAsia="ja-JP"/>
              </w:rPr>
              <w:t>6:00</w:t>
            </w:r>
          </w:p>
        </w:tc>
        <w:tc>
          <w:tcPr>
            <w:tcW w:w="1798" w:type="dxa"/>
            <w:shd w:val="clear" w:color="auto" w:fill="auto"/>
            <w:hideMark/>
          </w:tcPr>
          <w:p w14:paraId="3B4914C5" w14:textId="77777777" w:rsidR="003244CE" w:rsidRPr="00A73A1E" w:rsidRDefault="003244CE" w:rsidP="009C40C0">
            <w:pPr>
              <w:pStyle w:val="Tabletext"/>
              <w:jc w:val="center"/>
              <w:rPr>
                <w:sz w:val="18"/>
                <w:szCs w:val="18"/>
                <w:lang w:eastAsia="ko-KR"/>
              </w:rPr>
            </w:pPr>
            <w:r w:rsidRPr="00A73A1E">
              <w:rPr>
                <w:sz w:val="18"/>
                <w:szCs w:val="18"/>
                <w:lang w:eastAsia="ja-JP"/>
              </w:rPr>
              <w:t>18:00</w:t>
            </w:r>
          </w:p>
        </w:tc>
        <w:tc>
          <w:tcPr>
            <w:tcW w:w="1798" w:type="dxa"/>
            <w:shd w:val="clear" w:color="auto" w:fill="auto"/>
            <w:hideMark/>
          </w:tcPr>
          <w:p w14:paraId="7DAEA7F9" w14:textId="77777777" w:rsidR="003244CE" w:rsidRPr="00A73A1E" w:rsidRDefault="003244CE" w:rsidP="009C40C0">
            <w:pPr>
              <w:pStyle w:val="Tabletext"/>
              <w:jc w:val="center"/>
              <w:rPr>
                <w:sz w:val="18"/>
                <w:szCs w:val="18"/>
                <w:lang w:eastAsia="ko-KR"/>
              </w:rPr>
            </w:pPr>
            <w:r w:rsidRPr="00A73A1E">
              <w:rPr>
                <w:sz w:val="18"/>
                <w:szCs w:val="18"/>
                <w:lang w:eastAsia="ja-JP"/>
              </w:rPr>
              <w:t>12:00</w:t>
            </w:r>
          </w:p>
        </w:tc>
        <w:tc>
          <w:tcPr>
            <w:tcW w:w="1798" w:type="dxa"/>
            <w:shd w:val="clear" w:color="auto" w:fill="auto"/>
            <w:hideMark/>
          </w:tcPr>
          <w:p w14:paraId="306EF691" w14:textId="77777777" w:rsidR="003244CE" w:rsidRPr="00A73A1E" w:rsidRDefault="003244CE" w:rsidP="009C40C0">
            <w:pPr>
              <w:pStyle w:val="Tabletext"/>
              <w:jc w:val="center"/>
              <w:rPr>
                <w:sz w:val="18"/>
                <w:szCs w:val="18"/>
                <w:lang w:eastAsia="ko-KR"/>
              </w:rPr>
            </w:pPr>
            <w:r w:rsidRPr="00A73A1E">
              <w:rPr>
                <w:sz w:val="18"/>
                <w:szCs w:val="18"/>
                <w:lang w:eastAsia="ja-JP"/>
              </w:rPr>
              <w:t>12:00</w:t>
            </w:r>
          </w:p>
        </w:tc>
        <w:tc>
          <w:tcPr>
            <w:tcW w:w="1904" w:type="dxa"/>
            <w:shd w:val="clear" w:color="auto" w:fill="auto"/>
            <w:hideMark/>
          </w:tcPr>
          <w:p w14:paraId="2BF5DCF0" w14:textId="77777777" w:rsidR="003244CE" w:rsidRPr="00A73A1E" w:rsidRDefault="003244CE" w:rsidP="009C40C0">
            <w:pPr>
              <w:pStyle w:val="Tabletext"/>
              <w:jc w:val="center"/>
              <w:rPr>
                <w:sz w:val="18"/>
                <w:szCs w:val="18"/>
                <w:lang w:eastAsia="ko-KR"/>
              </w:rPr>
            </w:pPr>
            <w:r w:rsidRPr="00A73A1E">
              <w:rPr>
                <w:sz w:val="18"/>
                <w:szCs w:val="18"/>
                <w:lang w:eastAsia="ja-JP"/>
              </w:rPr>
              <w:t>12:00</w:t>
            </w:r>
          </w:p>
        </w:tc>
      </w:tr>
      <w:tr w:rsidR="003244CE" w:rsidRPr="00A73A1E" w14:paraId="0F32CD9F" w14:textId="77777777" w:rsidTr="0031214F">
        <w:trPr>
          <w:trHeight w:val="20"/>
          <w:jc w:val="center"/>
        </w:trPr>
        <w:tc>
          <w:tcPr>
            <w:tcW w:w="3029" w:type="dxa"/>
            <w:shd w:val="clear" w:color="auto" w:fill="auto"/>
            <w:hideMark/>
          </w:tcPr>
          <w:p w14:paraId="63404A00" w14:textId="77777777" w:rsidR="003244CE" w:rsidRPr="00A73A1E" w:rsidRDefault="003244CE" w:rsidP="00F02281">
            <w:pPr>
              <w:pStyle w:val="Tabletext"/>
              <w:jc w:val="left"/>
              <w:rPr>
                <w:sz w:val="18"/>
                <w:szCs w:val="18"/>
                <w:lang w:eastAsia="ko-KR"/>
              </w:rPr>
            </w:pPr>
            <w:r w:rsidRPr="00A73A1E">
              <w:rPr>
                <w:sz w:val="18"/>
                <w:szCs w:val="18"/>
                <w:lang w:eastAsia="ko-KR"/>
              </w:rPr>
              <w:t>Transmit peak power (W)</w:t>
            </w:r>
          </w:p>
        </w:tc>
        <w:tc>
          <w:tcPr>
            <w:tcW w:w="1904" w:type="dxa"/>
            <w:shd w:val="clear" w:color="auto" w:fill="auto"/>
            <w:hideMark/>
          </w:tcPr>
          <w:p w14:paraId="3463DDC8" w14:textId="77777777" w:rsidR="003244CE" w:rsidRPr="00A73A1E" w:rsidRDefault="003244CE" w:rsidP="009C40C0">
            <w:pPr>
              <w:pStyle w:val="Tabletext"/>
              <w:jc w:val="center"/>
              <w:rPr>
                <w:sz w:val="18"/>
                <w:szCs w:val="18"/>
                <w:lang w:eastAsia="ko-KR"/>
              </w:rPr>
            </w:pPr>
            <w:r w:rsidRPr="00A73A1E">
              <w:rPr>
                <w:sz w:val="18"/>
                <w:szCs w:val="18"/>
                <w:lang w:eastAsia="ko-KR"/>
              </w:rPr>
              <w:t>3 200</w:t>
            </w:r>
          </w:p>
        </w:tc>
        <w:tc>
          <w:tcPr>
            <w:tcW w:w="1798" w:type="dxa"/>
            <w:shd w:val="clear" w:color="auto" w:fill="auto"/>
            <w:hideMark/>
          </w:tcPr>
          <w:p w14:paraId="76401E31" w14:textId="77777777" w:rsidR="003244CE" w:rsidRPr="00A73A1E" w:rsidRDefault="003244CE" w:rsidP="009C40C0">
            <w:pPr>
              <w:pStyle w:val="Tabletext"/>
              <w:jc w:val="center"/>
              <w:rPr>
                <w:sz w:val="18"/>
                <w:szCs w:val="18"/>
                <w:lang w:eastAsia="ko-KR"/>
              </w:rPr>
            </w:pPr>
            <w:r w:rsidRPr="00A73A1E">
              <w:rPr>
                <w:sz w:val="18"/>
                <w:szCs w:val="18"/>
                <w:lang w:eastAsia="ko-KR"/>
              </w:rPr>
              <w:t>1 200</w:t>
            </w:r>
          </w:p>
        </w:tc>
        <w:tc>
          <w:tcPr>
            <w:tcW w:w="1798" w:type="dxa"/>
            <w:shd w:val="clear" w:color="auto" w:fill="auto"/>
            <w:hideMark/>
          </w:tcPr>
          <w:p w14:paraId="14D32428" w14:textId="77777777" w:rsidR="003244CE" w:rsidRPr="00A73A1E" w:rsidRDefault="003244CE" w:rsidP="009C40C0">
            <w:pPr>
              <w:pStyle w:val="Tabletext"/>
              <w:jc w:val="center"/>
              <w:rPr>
                <w:sz w:val="18"/>
                <w:szCs w:val="18"/>
                <w:lang w:eastAsia="ko-KR"/>
              </w:rPr>
            </w:pPr>
            <w:r w:rsidRPr="00A73A1E">
              <w:rPr>
                <w:sz w:val="18"/>
                <w:szCs w:val="18"/>
                <w:lang w:eastAsia="ja-JP"/>
              </w:rPr>
              <w:t>3 200</w:t>
            </w:r>
          </w:p>
        </w:tc>
        <w:tc>
          <w:tcPr>
            <w:tcW w:w="1798" w:type="dxa"/>
            <w:shd w:val="clear" w:color="auto" w:fill="auto"/>
            <w:hideMark/>
          </w:tcPr>
          <w:p w14:paraId="031ECACE" w14:textId="77777777" w:rsidR="003244CE" w:rsidRPr="00A73A1E" w:rsidRDefault="003244CE" w:rsidP="009C40C0">
            <w:pPr>
              <w:pStyle w:val="Tabletext"/>
              <w:jc w:val="center"/>
              <w:rPr>
                <w:sz w:val="18"/>
                <w:szCs w:val="18"/>
                <w:lang w:eastAsia="ko-KR"/>
              </w:rPr>
            </w:pPr>
            <w:r w:rsidRPr="00A73A1E">
              <w:rPr>
                <w:sz w:val="18"/>
                <w:szCs w:val="18"/>
                <w:lang w:eastAsia="ja-JP"/>
              </w:rPr>
              <w:t>3 950</w:t>
            </w:r>
          </w:p>
        </w:tc>
        <w:tc>
          <w:tcPr>
            <w:tcW w:w="1798" w:type="dxa"/>
            <w:shd w:val="clear" w:color="auto" w:fill="auto"/>
            <w:hideMark/>
          </w:tcPr>
          <w:p w14:paraId="4F57041F" w14:textId="77777777" w:rsidR="003244CE" w:rsidRPr="00A73A1E" w:rsidRDefault="003244CE" w:rsidP="009C40C0">
            <w:pPr>
              <w:pStyle w:val="Tabletext"/>
              <w:jc w:val="center"/>
              <w:rPr>
                <w:sz w:val="18"/>
                <w:szCs w:val="18"/>
                <w:lang w:eastAsia="ko-KR"/>
              </w:rPr>
            </w:pPr>
            <w:r w:rsidRPr="00A73A1E">
              <w:rPr>
                <w:sz w:val="18"/>
                <w:szCs w:val="18"/>
                <w:lang w:eastAsia="ja-JP"/>
              </w:rPr>
              <w:t>6 120</w:t>
            </w:r>
          </w:p>
        </w:tc>
        <w:tc>
          <w:tcPr>
            <w:tcW w:w="1904" w:type="dxa"/>
            <w:shd w:val="clear" w:color="auto" w:fill="auto"/>
            <w:hideMark/>
          </w:tcPr>
          <w:p w14:paraId="5845F773" w14:textId="77777777" w:rsidR="003244CE" w:rsidRPr="00A73A1E" w:rsidRDefault="003244CE" w:rsidP="009C40C0">
            <w:pPr>
              <w:pStyle w:val="Tabletext"/>
              <w:jc w:val="center"/>
              <w:rPr>
                <w:sz w:val="18"/>
                <w:szCs w:val="18"/>
                <w:lang w:eastAsia="ko-KR"/>
              </w:rPr>
            </w:pPr>
            <w:r w:rsidRPr="00A73A1E">
              <w:rPr>
                <w:sz w:val="18"/>
                <w:szCs w:val="18"/>
                <w:lang w:eastAsia="ja-JP"/>
              </w:rPr>
              <w:t>6 120</w:t>
            </w:r>
          </w:p>
        </w:tc>
      </w:tr>
      <w:tr w:rsidR="003244CE" w:rsidRPr="00A73A1E" w14:paraId="376F5FE1" w14:textId="77777777" w:rsidTr="0031214F">
        <w:trPr>
          <w:trHeight w:val="20"/>
          <w:jc w:val="center"/>
        </w:trPr>
        <w:tc>
          <w:tcPr>
            <w:tcW w:w="3029" w:type="dxa"/>
            <w:shd w:val="clear" w:color="auto" w:fill="auto"/>
            <w:vAlign w:val="center"/>
            <w:hideMark/>
          </w:tcPr>
          <w:p w14:paraId="2B07143F" w14:textId="77777777" w:rsidR="003244CE" w:rsidRPr="00A73A1E" w:rsidRDefault="003244CE" w:rsidP="00F02281">
            <w:pPr>
              <w:pStyle w:val="Tabletext"/>
              <w:jc w:val="left"/>
              <w:rPr>
                <w:sz w:val="18"/>
                <w:szCs w:val="18"/>
                <w:lang w:eastAsia="ko-KR"/>
              </w:rPr>
            </w:pPr>
            <w:r w:rsidRPr="00A73A1E">
              <w:rPr>
                <w:sz w:val="18"/>
                <w:szCs w:val="18"/>
                <w:lang w:eastAsia="ja-JP"/>
              </w:rPr>
              <w:t>Antenna type</w:t>
            </w:r>
          </w:p>
        </w:tc>
        <w:tc>
          <w:tcPr>
            <w:tcW w:w="1904" w:type="dxa"/>
            <w:shd w:val="clear" w:color="auto" w:fill="auto"/>
            <w:hideMark/>
          </w:tcPr>
          <w:p w14:paraId="49A0734D" w14:textId="77777777" w:rsidR="003244CE" w:rsidRPr="00A73A1E" w:rsidRDefault="003244CE" w:rsidP="009C40C0">
            <w:pPr>
              <w:pStyle w:val="Tabletext"/>
              <w:jc w:val="center"/>
              <w:rPr>
                <w:sz w:val="18"/>
                <w:szCs w:val="18"/>
                <w:lang w:eastAsia="ko-KR"/>
              </w:rPr>
            </w:pPr>
            <w:r w:rsidRPr="00A73A1E">
              <w:rPr>
                <w:sz w:val="18"/>
                <w:szCs w:val="18"/>
                <w:lang w:eastAsia="ja-JP"/>
              </w:rPr>
              <w:t>Planar array</w:t>
            </w:r>
            <w:r w:rsidRPr="00A73A1E">
              <w:rPr>
                <w:sz w:val="18"/>
                <w:szCs w:val="18"/>
                <w:lang w:eastAsia="ja-JP"/>
              </w:rPr>
              <w:br/>
              <w:t>2.9 m × 12.0 m</w:t>
            </w:r>
          </w:p>
        </w:tc>
        <w:tc>
          <w:tcPr>
            <w:tcW w:w="1798" w:type="dxa"/>
            <w:shd w:val="clear" w:color="auto" w:fill="auto"/>
            <w:hideMark/>
          </w:tcPr>
          <w:p w14:paraId="2B743694" w14:textId="77777777" w:rsidR="003244CE" w:rsidRPr="00A73A1E" w:rsidRDefault="003244CE" w:rsidP="009C40C0">
            <w:pPr>
              <w:pStyle w:val="Tabletext"/>
              <w:jc w:val="center"/>
              <w:rPr>
                <w:sz w:val="18"/>
                <w:szCs w:val="18"/>
                <w:lang w:eastAsia="ko-KR"/>
              </w:rPr>
            </w:pPr>
            <w:r w:rsidRPr="00A73A1E">
              <w:rPr>
                <w:sz w:val="18"/>
                <w:szCs w:val="18"/>
                <w:lang w:eastAsia="ja-JP"/>
              </w:rPr>
              <w:t>Planar array</w:t>
            </w:r>
            <w:r w:rsidRPr="00A73A1E">
              <w:rPr>
                <w:sz w:val="18"/>
                <w:szCs w:val="18"/>
                <w:lang w:eastAsia="ja-JP"/>
              </w:rPr>
              <w:br/>
              <w:t>2.2 m × 12.0 m</w:t>
            </w:r>
          </w:p>
        </w:tc>
        <w:tc>
          <w:tcPr>
            <w:tcW w:w="1798" w:type="dxa"/>
            <w:shd w:val="clear" w:color="auto" w:fill="auto"/>
            <w:hideMark/>
          </w:tcPr>
          <w:p w14:paraId="245E8AEF" w14:textId="77777777" w:rsidR="003244CE" w:rsidRPr="00A73A1E" w:rsidRDefault="003244CE" w:rsidP="009C40C0">
            <w:pPr>
              <w:pStyle w:val="Tabletext"/>
              <w:jc w:val="center"/>
              <w:rPr>
                <w:sz w:val="18"/>
                <w:szCs w:val="18"/>
                <w:lang w:eastAsia="ko-KR"/>
              </w:rPr>
            </w:pPr>
            <w:r w:rsidRPr="00A73A1E">
              <w:rPr>
                <w:sz w:val="18"/>
                <w:szCs w:val="18"/>
                <w:lang w:eastAsia="ja-JP"/>
              </w:rPr>
              <w:t>Offset-feed parabolic 15 m diameter, linear array feed</w:t>
            </w:r>
          </w:p>
        </w:tc>
        <w:tc>
          <w:tcPr>
            <w:tcW w:w="1798" w:type="dxa"/>
            <w:shd w:val="clear" w:color="auto" w:fill="auto"/>
            <w:hideMark/>
          </w:tcPr>
          <w:p w14:paraId="5A04AB05" w14:textId="77777777" w:rsidR="003244CE" w:rsidRPr="00A73A1E" w:rsidRDefault="003244CE" w:rsidP="009C40C0">
            <w:pPr>
              <w:pStyle w:val="Tabletext"/>
              <w:jc w:val="center"/>
              <w:rPr>
                <w:sz w:val="18"/>
                <w:szCs w:val="18"/>
                <w:lang w:eastAsia="ko-KR"/>
              </w:rPr>
            </w:pPr>
            <w:r w:rsidRPr="00A73A1E">
              <w:rPr>
                <w:sz w:val="18"/>
                <w:szCs w:val="18"/>
                <w:lang w:eastAsia="ja-JP"/>
              </w:rPr>
              <w:t>Planar array</w:t>
            </w:r>
            <w:r w:rsidRPr="00A73A1E">
              <w:rPr>
                <w:sz w:val="18"/>
                <w:szCs w:val="18"/>
                <w:lang w:eastAsia="ja-JP"/>
              </w:rPr>
              <w:br/>
              <w:t>2.9 m × 6.0 m</w:t>
            </w:r>
          </w:p>
        </w:tc>
        <w:tc>
          <w:tcPr>
            <w:tcW w:w="1798" w:type="dxa"/>
            <w:shd w:val="clear" w:color="auto" w:fill="auto"/>
            <w:hideMark/>
          </w:tcPr>
          <w:p w14:paraId="0021C180" w14:textId="77777777" w:rsidR="003244CE" w:rsidRPr="00A73A1E" w:rsidRDefault="003244CE" w:rsidP="009C40C0">
            <w:pPr>
              <w:pStyle w:val="Tabletext"/>
              <w:jc w:val="center"/>
              <w:rPr>
                <w:sz w:val="18"/>
                <w:szCs w:val="18"/>
                <w:lang w:eastAsia="ko-KR"/>
              </w:rPr>
            </w:pPr>
            <w:r w:rsidRPr="00A73A1E">
              <w:rPr>
                <w:sz w:val="18"/>
                <w:szCs w:val="18"/>
                <w:lang w:eastAsia="ja-JP"/>
              </w:rPr>
              <w:t>Planar array</w:t>
            </w:r>
            <w:r w:rsidRPr="00A73A1E">
              <w:rPr>
                <w:sz w:val="18"/>
                <w:szCs w:val="18"/>
                <w:lang w:eastAsia="ja-JP"/>
              </w:rPr>
              <w:br/>
              <w:t>2.9 m × 9.9 m</w:t>
            </w:r>
          </w:p>
        </w:tc>
        <w:tc>
          <w:tcPr>
            <w:tcW w:w="1904" w:type="dxa"/>
            <w:shd w:val="clear" w:color="auto" w:fill="auto"/>
            <w:hideMark/>
          </w:tcPr>
          <w:p w14:paraId="2A090772" w14:textId="77777777" w:rsidR="003244CE" w:rsidRPr="00A73A1E" w:rsidRDefault="003244CE" w:rsidP="009C40C0">
            <w:pPr>
              <w:pStyle w:val="Tabletext"/>
              <w:jc w:val="center"/>
              <w:rPr>
                <w:sz w:val="18"/>
                <w:szCs w:val="18"/>
                <w:lang w:eastAsia="ko-KR"/>
              </w:rPr>
            </w:pPr>
            <w:r w:rsidRPr="00A73A1E">
              <w:rPr>
                <w:sz w:val="18"/>
                <w:szCs w:val="18"/>
                <w:lang w:eastAsia="ja-JP"/>
              </w:rPr>
              <w:t>Planar array</w:t>
            </w:r>
            <w:r w:rsidRPr="00A73A1E">
              <w:rPr>
                <w:sz w:val="18"/>
                <w:szCs w:val="18"/>
                <w:lang w:eastAsia="ja-JP"/>
              </w:rPr>
              <w:br/>
              <w:t>2.9 m × 9.9 m</w:t>
            </w:r>
          </w:p>
        </w:tc>
      </w:tr>
      <w:tr w:rsidR="003244CE" w:rsidRPr="00A73A1E" w14:paraId="093887E9" w14:textId="77777777" w:rsidTr="0031214F">
        <w:trPr>
          <w:trHeight w:val="20"/>
          <w:jc w:val="center"/>
        </w:trPr>
        <w:tc>
          <w:tcPr>
            <w:tcW w:w="3029" w:type="dxa"/>
            <w:shd w:val="clear" w:color="auto" w:fill="auto"/>
            <w:hideMark/>
          </w:tcPr>
          <w:p w14:paraId="46BE1D32" w14:textId="77777777" w:rsidR="003244CE" w:rsidRPr="00A73A1E" w:rsidRDefault="003244CE" w:rsidP="00F02281">
            <w:pPr>
              <w:pStyle w:val="Tabletext"/>
              <w:jc w:val="left"/>
              <w:rPr>
                <w:sz w:val="18"/>
                <w:szCs w:val="18"/>
                <w:lang w:eastAsia="ko-KR"/>
              </w:rPr>
            </w:pPr>
            <w:r w:rsidRPr="00A73A1E">
              <w:rPr>
                <w:sz w:val="18"/>
                <w:szCs w:val="18"/>
                <w:lang w:eastAsia="ja-JP"/>
              </w:rPr>
              <w:t xml:space="preserve">Antenna </w:t>
            </w:r>
            <w:proofErr w:type="gramStart"/>
            <w:r w:rsidRPr="00A73A1E">
              <w:rPr>
                <w:sz w:val="18"/>
                <w:szCs w:val="18"/>
                <w:lang w:eastAsia="ja-JP"/>
              </w:rPr>
              <w:t>peak</w:t>
            </w:r>
            <w:proofErr w:type="gramEnd"/>
            <w:r w:rsidRPr="00A73A1E">
              <w:rPr>
                <w:sz w:val="18"/>
                <w:szCs w:val="18"/>
                <w:lang w:eastAsia="ja-JP"/>
              </w:rPr>
              <w:t xml:space="preserve"> transmit gain </w:t>
            </w:r>
            <w:r>
              <w:rPr>
                <w:sz w:val="18"/>
                <w:szCs w:val="18"/>
                <w:lang w:eastAsia="ja-JP"/>
              </w:rPr>
              <w:t>(</w:t>
            </w:r>
            <w:proofErr w:type="spellStart"/>
            <w:r w:rsidRPr="00A73A1E">
              <w:rPr>
                <w:sz w:val="18"/>
                <w:szCs w:val="18"/>
                <w:lang w:eastAsia="ja-JP"/>
              </w:rPr>
              <w:t>dBi</w:t>
            </w:r>
            <w:proofErr w:type="spellEnd"/>
            <w:r>
              <w:rPr>
                <w:sz w:val="18"/>
                <w:szCs w:val="18"/>
                <w:lang w:eastAsia="ja-JP"/>
              </w:rPr>
              <w:t>)</w:t>
            </w:r>
          </w:p>
        </w:tc>
        <w:tc>
          <w:tcPr>
            <w:tcW w:w="1904" w:type="dxa"/>
            <w:shd w:val="clear" w:color="auto" w:fill="auto"/>
            <w:hideMark/>
          </w:tcPr>
          <w:p w14:paraId="0672D492" w14:textId="77777777" w:rsidR="003244CE" w:rsidRPr="00A73A1E" w:rsidRDefault="003244CE" w:rsidP="009C40C0">
            <w:pPr>
              <w:pStyle w:val="Tabletext"/>
              <w:jc w:val="center"/>
              <w:rPr>
                <w:sz w:val="18"/>
                <w:szCs w:val="18"/>
                <w:lang w:eastAsia="ko-KR"/>
              </w:rPr>
            </w:pPr>
            <w:r w:rsidRPr="00A73A1E">
              <w:rPr>
                <w:sz w:val="18"/>
                <w:szCs w:val="18"/>
                <w:lang w:eastAsia="ja-JP"/>
              </w:rPr>
              <w:t>36.4</w:t>
            </w:r>
          </w:p>
        </w:tc>
        <w:tc>
          <w:tcPr>
            <w:tcW w:w="1798" w:type="dxa"/>
            <w:shd w:val="clear" w:color="auto" w:fill="auto"/>
            <w:hideMark/>
          </w:tcPr>
          <w:p w14:paraId="7E518A80" w14:textId="77777777" w:rsidR="003244CE" w:rsidRPr="00A73A1E" w:rsidRDefault="003244CE" w:rsidP="009C40C0">
            <w:pPr>
              <w:pStyle w:val="Tabletext"/>
              <w:jc w:val="center"/>
              <w:rPr>
                <w:sz w:val="18"/>
                <w:szCs w:val="18"/>
                <w:lang w:eastAsia="ko-KR"/>
              </w:rPr>
            </w:pPr>
            <w:r w:rsidRPr="00A73A1E">
              <w:rPr>
                <w:sz w:val="18"/>
                <w:szCs w:val="18"/>
                <w:lang w:eastAsia="ja-JP"/>
              </w:rPr>
              <w:t>33</w:t>
            </w:r>
          </w:p>
        </w:tc>
        <w:tc>
          <w:tcPr>
            <w:tcW w:w="1798" w:type="dxa"/>
            <w:shd w:val="clear" w:color="auto" w:fill="auto"/>
            <w:hideMark/>
          </w:tcPr>
          <w:p w14:paraId="193B49D0" w14:textId="77777777" w:rsidR="003244CE" w:rsidRPr="00A73A1E" w:rsidRDefault="003244CE" w:rsidP="009C40C0">
            <w:pPr>
              <w:pStyle w:val="Tabletext"/>
              <w:jc w:val="center"/>
              <w:rPr>
                <w:sz w:val="18"/>
                <w:szCs w:val="18"/>
                <w:lang w:eastAsia="ko-KR"/>
              </w:rPr>
            </w:pPr>
            <w:r w:rsidRPr="00A73A1E">
              <w:rPr>
                <w:sz w:val="18"/>
                <w:szCs w:val="18"/>
                <w:lang w:eastAsia="ja-JP"/>
              </w:rPr>
              <w:t>35</w:t>
            </w:r>
          </w:p>
        </w:tc>
        <w:tc>
          <w:tcPr>
            <w:tcW w:w="1798" w:type="dxa"/>
            <w:shd w:val="clear" w:color="auto" w:fill="auto"/>
            <w:hideMark/>
          </w:tcPr>
          <w:p w14:paraId="128B670A" w14:textId="77777777" w:rsidR="003244CE" w:rsidRPr="00A73A1E" w:rsidRDefault="003244CE" w:rsidP="009C40C0">
            <w:pPr>
              <w:pStyle w:val="Tabletext"/>
              <w:jc w:val="center"/>
              <w:rPr>
                <w:sz w:val="18"/>
                <w:szCs w:val="18"/>
                <w:lang w:eastAsia="ko-KR"/>
              </w:rPr>
            </w:pPr>
            <w:r w:rsidRPr="00A73A1E">
              <w:rPr>
                <w:sz w:val="18"/>
                <w:szCs w:val="18"/>
                <w:lang w:eastAsia="ja-JP"/>
              </w:rPr>
              <w:t>34.7</w:t>
            </w:r>
          </w:p>
        </w:tc>
        <w:tc>
          <w:tcPr>
            <w:tcW w:w="1798" w:type="dxa"/>
            <w:shd w:val="clear" w:color="auto" w:fill="auto"/>
            <w:hideMark/>
          </w:tcPr>
          <w:p w14:paraId="08FCA023" w14:textId="77777777" w:rsidR="003244CE" w:rsidRPr="00A73A1E" w:rsidRDefault="003244CE" w:rsidP="009C40C0">
            <w:pPr>
              <w:pStyle w:val="Tabletext"/>
              <w:jc w:val="center"/>
              <w:rPr>
                <w:sz w:val="18"/>
                <w:szCs w:val="18"/>
                <w:lang w:eastAsia="ko-KR"/>
              </w:rPr>
            </w:pPr>
            <w:r w:rsidRPr="00A73A1E">
              <w:rPr>
                <w:sz w:val="18"/>
                <w:szCs w:val="18"/>
                <w:lang w:eastAsia="ja-JP"/>
              </w:rPr>
              <w:t>36.6</w:t>
            </w:r>
          </w:p>
        </w:tc>
        <w:tc>
          <w:tcPr>
            <w:tcW w:w="1904" w:type="dxa"/>
            <w:shd w:val="clear" w:color="auto" w:fill="auto"/>
            <w:hideMark/>
          </w:tcPr>
          <w:p w14:paraId="5E98065A" w14:textId="77777777" w:rsidR="003244CE" w:rsidRPr="00A73A1E" w:rsidRDefault="003244CE" w:rsidP="009C40C0">
            <w:pPr>
              <w:pStyle w:val="Tabletext"/>
              <w:jc w:val="center"/>
              <w:rPr>
                <w:sz w:val="18"/>
                <w:szCs w:val="18"/>
                <w:lang w:eastAsia="ko-KR"/>
              </w:rPr>
            </w:pPr>
            <w:r w:rsidRPr="00A73A1E">
              <w:rPr>
                <w:sz w:val="18"/>
                <w:szCs w:val="18"/>
                <w:lang w:eastAsia="ja-JP"/>
              </w:rPr>
              <w:t>36.6</w:t>
            </w:r>
          </w:p>
        </w:tc>
      </w:tr>
      <w:tr w:rsidR="003244CE" w:rsidRPr="00A73A1E" w14:paraId="5D5F29DF" w14:textId="77777777" w:rsidTr="0031214F">
        <w:trPr>
          <w:trHeight w:val="20"/>
          <w:jc w:val="center"/>
        </w:trPr>
        <w:tc>
          <w:tcPr>
            <w:tcW w:w="3029" w:type="dxa"/>
            <w:shd w:val="clear" w:color="auto" w:fill="auto"/>
            <w:hideMark/>
          </w:tcPr>
          <w:p w14:paraId="58C2A79F" w14:textId="77777777" w:rsidR="003244CE" w:rsidRPr="00A73A1E" w:rsidRDefault="003244CE" w:rsidP="00F02281">
            <w:pPr>
              <w:pStyle w:val="Tabletext"/>
              <w:jc w:val="left"/>
              <w:rPr>
                <w:sz w:val="18"/>
                <w:szCs w:val="18"/>
                <w:lang w:eastAsia="ko-KR"/>
              </w:rPr>
            </w:pPr>
            <w:proofErr w:type="spellStart"/>
            <w:r w:rsidRPr="00A73A1E">
              <w:rPr>
                <w:sz w:val="18"/>
                <w:szCs w:val="18"/>
                <w:lang w:eastAsia="ja-JP"/>
              </w:rPr>
              <w:t>e.i.r.p</w:t>
            </w:r>
            <w:proofErr w:type="spellEnd"/>
            <w:r w:rsidRPr="00A73A1E">
              <w:rPr>
                <w:sz w:val="18"/>
                <w:szCs w:val="18"/>
                <w:lang w:eastAsia="ja-JP"/>
              </w:rPr>
              <w:t xml:space="preserve">. (peak) </w:t>
            </w:r>
            <w:r>
              <w:rPr>
                <w:sz w:val="18"/>
                <w:szCs w:val="18"/>
                <w:lang w:eastAsia="ja-JP"/>
              </w:rPr>
              <w:t>(</w:t>
            </w:r>
            <w:proofErr w:type="spellStart"/>
            <w:r w:rsidRPr="00A73A1E">
              <w:rPr>
                <w:sz w:val="18"/>
                <w:szCs w:val="18"/>
                <w:lang w:eastAsia="ja-JP"/>
              </w:rPr>
              <w:t>dBW</w:t>
            </w:r>
            <w:proofErr w:type="spellEnd"/>
            <w:r>
              <w:rPr>
                <w:sz w:val="18"/>
                <w:szCs w:val="18"/>
                <w:lang w:eastAsia="ja-JP"/>
              </w:rPr>
              <w:t>)</w:t>
            </w:r>
          </w:p>
        </w:tc>
        <w:tc>
          <w:tcPr>
            <w:tcW w:w="1904" w:type="dxa"/>
            <w:shd w:val="clear" w:color="auto" w:fill="auto"/>
            <w:hideMark/>
          </w:tcPr>
          <w:p w14:paraId="3EA55E85" w14:textId="77777777" w:rsidR="003244CE" w:rsidRPr="00A73A1E" w:rsidRDefault="003244CE" w:rsidP="009C40C0">
            <w:pPr>
              <w:pStyle w:val="Tabletext"/>
              <w:jc w:val="center"/>
              <w:rPr>
                <w:sz w:val="18"/>
                <w:szCs w:val="18"/>
                <w:lang w:eastAsia="ko-KR"/>
              </w:rPr>
            </w:pPr>
            <w:r w:rsidRPr="00A73A1E">
              <w:rPr>
                <w:sz w:val="18"/>
                <w:szCs w:val="18"/>
                <w:lang w:eastAsia="ja-JP"/>
              </w:rPr>
              <w:t>71.5</w:t>
            </w:r>
          </w:p>
        </w:tc>
        <w:tc>
          <w:tcPr>
            <w:tcW w:w="1798" w:type="dxa"/>
            <w:shd w:val="clear" w:color="auto" w:fill="auto"/>
            <w:hideMark/>
          </w:tcPr>
          <w:p w14:paraId="6927F366" w14:textId="77777777" w:rsidR="003244CE" w:rsidRPr="00A73A1E" w:rsidRDefault="003244CE" w:rsidP="009C40C0">
            <w:pPr>
              <w:pStyle w:val="Tabletext"/>
              <w:jc w:val="center"/>
              <w:rPr>
                <w:sz w:val="18"/>
                <w:szCs w:val="18"/>
                <w:lang w:eastAsia="ko-KR"/>
              </w:rPr>
            </w:pPr>
            <w:r w:rsidRPr="00A73A1E">
              <w:rPr>
                <w:sz w:val="18"/>
                <w:szCs w:val="18"/>
                <w:lang w:eastAsia="ja-JP"/>
              </w:rPr>
              <w:t>63.8</w:t>
            </w:r>
          </w:p>
        </w:tc>
        <w:tc>
          <w:tcPr>
            <w:tcW w:w="1798" w:type="dxa"/>
            <w:shd w:val="clear" w:color="auto" w:fill="auto"/>
            <w:hideMark/>
          </w:tcPr>
          <w:p w14:paraId="3CB17D27" w14:textId="77777777" w:rsidR="003244CE" w:rsidRPr="00A73A1E" w:rsidRDefault="003244CE" w:rsidP="009C40C0">
            <w:pPr>
              <w:pStyle w:val="Tabletext"/>
              <w:jc w:val="center"/>
              <w:rPr>
                <w:sz w:val="18"/>
                <w:szCs w:val="18"/>
                <w:lang w:eastAsia="ko-KR"/>
              </w:rPr>
            </w:pPr>
            <w:r w:rsidRPr="00A73A1E">
              <w:rPr>
                <w:sz w:val="18"/>
                <w:szCs w:val="18"/>
                <w:lang w:eastAsia="ja-JP"/>
              </w:rPr>
              <w:t>68.4</w:t>
            </w:r>
          </w:p>
        </w:tc>
        <w:tc>
          <w:tcPr>
            <w:tcW w:w="1798" w:type="dxa"/>
            <w:shd w:val="clear" w:color="auto" w:fill="auto"/>
            <w:hideMark/>
          </w:tcPr>
          <w:p w14:paraId="001B06A1" w14:textId="77777777" w:rsidR="003244CE" w:rsidRPr="00A73A1E" w:rsidRDefault="003244CE" w:rsidP="009C40C0">
            <w:pPr>
              <w:pStyle w:val="Tabletext"/>
              <w:jc w:val="center"/>
              <w:rPr>
                <w:sz w:val="18"/>
                <w:szCs w:val="18"/>
                <w:lang w:eastAsia="ko-KR"/>
              </w:rPr>
            </w:pPr>
            <w:r w:rsidRPr="00A73A1E">
              <w:rPr>
                <w:sz w:val="18"/>
                <w:szCs w:val="18"/>
                <w:lang w:eastAsia="ja-JP"/>
              </w:rPr>
              <w:t>70.7</w:t>
            </w:r>
          </w:p>
        </w:tc>
        <w:tc>
          <w:tcPr>
            <w:tcW w:w="1798" w:type="dxa"/>
            <w:shd w:val="clear" w:color="auto" w:fill="auto"/>
            <w:hideMark/>
          </w:tcPr>
          <w:p w14:paraId="27DA1094" w14:textId="77777777" w:rsidR="003244CE" w:rsidRPr="00A73A1E" w:rsidRDefault="003244CE" w:rsidP="009C40C0">
            <w:pPr>
              <w:pStyle w:val="Tabletext"/>
              <w:jc w:val="center"/>
              <w:rPr>
                <w:sz w:val="18"/>
                <w:szCs w:val="18"/>
                <w:lang w:eastAsia="ko-KR"/>
              </w:rPr>
            </w:pPr>
            <w:r w:rsidRPr="00A73A1E">
              <w:rPr>
                <w:sz w:val="18"/>
                <w:szCs w:val="18"/>
                <w:lang w:eastAsia="ja-JP"/>
              </w:rPr>
              <w:t>74.5</w:t>
            </w:r>
          </w:p>
        </w:tc>
        <w:tc>
          <w:tcPr>
            <w:tcW w:w="1904" w:type="dxa"/>
            <w:shd w:val="clear" w:color="auto" w:fill="auto"/>
            <w:hideMark/>
          </w:tcPr>
          <w:p w14:paraId="73BAB92F" w14:textId="77777777" w:rsidR="003244CE" w:rsidRPr="00A73A1E" w:rsidRDefault="003244CE" w:rsidP="009C40C0">
            <w:pPr>
              <w:pStyle w:val="Tabletext"/>
              <w:jc w:val="center"/>
              <w:rPr>
                <w:sz w:val="18"/>
                <w:szCs w:val="18"/>
                <w:lang w:eastAsia="ko-KR"/>
              </w:rPr>
            </w:pPr>
            <w:r w:rsidRPr="00A73A1E">
              <w:rPr>
                <w:sz w:val="18"/>
                <w:szCs w:val="18"/>
                <w:lang w:eastAsia="ja-JP"/>
              </w:rPr>
              <w:t>74.5</w:t>
            </w:r>
          </w:p>
        </w:tc>
      </w:tr>
      <w:tr w:rsidR="003244CE" w:rsidRPr="00A73A1E" w14:paraId="025CB388" w14:textId="77777777" w:rsidTr="0031214F">
        <w:trPr>
          <w:trHeight w:val="20"/>
          <w:jc w:val="center"/>
        </w:trPr>
        <w:tc>
          <w:tcPr>
            <w:tcW w:w="3029" w:type="dxa"/>
            <w:shd w:val="clear" w:color="auto" w:fill="auto"/>
            <w:hideMark/>
          </w:tcPr>
          <w:p w14:paraId="26D63C23" w14:textId="77777777" w:rsidR="003244CE" w:rsidRPr="00A73A1E" w:rsidRDefault="003244CE" w:rsidP="00F02281">
            <w:pPr>
              <w:pStyle w:val="Tabletext"/>
              <w:jc w:val="left"/>
              <w:rPr>
                <w:sz w:val="18"/>
                <w:szCs w:val="18"/>
                <w:lang w:eastAsia="ko-KR"/>
              </w:rPr>
            </w:pPr>
            <w:r w:rsidRPr="00A73A1E">
              <w:rPr>
                <w:sz w:val="18"/>
                <w:szCs w:val="18"/>
                <w:lang w:eastAsia="ja-JP"/>
              </w:rPr>
              <w:t xml:space="preserve">Antenna elev. beamwidth </w:t>
            </w:r>
            <w:r>
              <w:rPr>
                <w:sz w:val="18"/>
                <w:szCs w:val="18"/>
                <w:lang w:eastAsia="ja-JP"/>
              </w:rPr>
              <w:t>(</w:t>
            </w:r>
            <w:r w:rsidRPr="00A73A1E">
              <w:rPr>
                <w:sz w:val="18"/>
                <w:szCs w:val="18"/>
                <w:lang w:eastAsia="ja-JP"/>
              </w:rPr>
              <w:t>degrees</w:t>
            </w:r>
            <w:r>
              <w:rPr>
                <w:sz w:val="18"/>
                <w:szCs w:val="18"/>
                <w:lang w:eastAsia="ja-JP"/>
              </w:rPr>
              <w:t>)</w:t>
            </w:r>
            <w:r w:rsidRPr="00A73A1E">
              <w:rPr>
                <w:position w:val="6"/>
                <w:sz w:val="18"/>
                <w:szCs w:val="18"/>
                <w:lang w:eastAsia="ja-JP"/>
              </w:rPr>
              <w:footnoteReference w:id="3"/>
            </w:r>
          </w:p>
        </w:tc>
        <w:tc>
          <w:tcPr>
            <w:tcW w:w="1904" w:type="dxa"/>
            <w:shd w:val="clear" w:color="auto" w:fill="auto"/>
            <w:hideMark/>
          </w:tcPr>
          <w:p w14:paraId="03CDC251" w14:textId="77777777" w:rsidR="003244CE" w:rsidRPr="00A73A1E" w:rsidRDefault="003244CE" w:rsidP="009C40C0">
            <w:pPr>
              <w:pStyle w:val="Tabletext"/>
              <w:jc w:val="center"/>
              <w:rPr>
                <w:sz w:val="18"/>
                <w:szCs w:val="18"/>
                <w:lang w:eastAsia="ko-KR"/>
              </w:rPr>
            </w:pPr>
            <w:r w:rsidRPr="00A73A1E">
              <w:rPr>
                <w:sz w:val="18"/>
                <w:szCs w:val="18"/>
                <w:lang w:eastAsia="ja-JP"/>
              </w:rPr>
              <w:t>4.9</w:t>
            </w:r>
          </w:p>
        </w:tc>
        <w:tc>
          <w:tcPr>
            <w:tcW w:w="1798" w:type="dxa"/>
            <w:shd w:val="clear" w:color="auto" w:fill="auto"/>
            <w:hideMark/>
          </w:tcPr>
          <w:p w14:paraId="07A4485D" w14:textId="77777777" w:rsidR="003244CE" w:rsidRPr="00A73A1E" w:rsidRDefault="003244CE" w:rsidP="009C40C0">
            <w:pPr>
              <w:pStyle w:val="Tabletext"/>
              <w:jc w:val="center"/>
              <w:rPr>
                <w:sz w:val="18"/>
                <w:szCs w:val="18"/>
                <w:lang w:eastAsia="ko-KR"/>
              </w:rPr>
            </w:pPr>
            <w:r w:rsidRPr="00A73A1E">
              <w:rPr>
                <w:sz w:val="18"/>
                <w:szCs w:val="18"/>
                <w:lang w:eastAsia="ja-JP"/>
              </w:rPr>
              <w:t>6</w:t>
            </w:r>
          </w:p>
        </w:tc>
        <w:tc>
          <w:tcPr>
            <w:tcW w:w="1798" w:type="dxa"/>
            <w:shd w:val="clear" w:color="auto" w:fill="auto"/>
            <w:hideMark/>
          </w:tcPr>
          <w:p w14:paraId="4478CE55" w14:textId="77777777" w:rsidR="003244CE" w:rsidRPr="00A73A1E" w:rsidRDefault="003244CE" w:rsidP="009C40C0">
            <w:pPr>
              <w:pStyle w:val="Tabletext"/>
              <w:jc w:val="center"/>
              <w:rPr>
                <w:sz w:val="18"/>
                <w:szCs w:val="18"/>
                <w:lang w:eastAsia="ko-KR"/>
              </w:rPr>
            </w:pPr>
            <w:r w:rsidRPr="00A73A1E">
              <w:rPr>
                <w:sz w:val="18"/>
                <w:szCs w:val="18"/>
                <w:lang w:eastAsia="ja-JP"/>
              </w:rPr>
              <w:t>20.9</w:t>
            </w:r>
          </w:p>
        </w:tc>
        <w:tc>
          <w:tcPr>
            <w:tcW w:w="1798" w:type="dxa"/>
            <w:shd w:val="clear" w:color="auto" w:fill="auto"/>
            <w:hideMark/>
          </w:tcPr>
          <w:p w14:paraId="699075B5" w14:textId="77777777" w:rsidR="003244CE" w:rsidRPr="00A73A1E" w:rsidRDefault="003244CE" w:rsidP="009C40C0">
            <w:pPr>
              <w:pStyle w:val="Tabletext"/>
              <w:jc w:val="center"/>
              <w:rPr>
                <w:sz w:val="18"/>
                <w:szCs w:val="18"/>
                <w:lang w:eastAsia="ko-KR"/>
              </w:rPr>
            </w:pPr>
            <w:r w:rsidRPr="00A73A1E">
              <w:rPr>
                <w:sz w:val="18"/>
                <w:szCs w:val="18"/>
                <w:lang w:eastAsia="ja-JP"/>
              </w:rPr>
              <w:t>4.3</w:t>
            </w:r>
          </w:p>
        </w:tc>
        <w:tc>
          <w:tcPr>
            <w:tcW w:w="1798" w:type="dxa"/>
            <w:shd w:val="clear" w:color="auto" w:fill="auto"/>
            <w:hideMark/>
          </w:tcPr>
          <w:p w14:paraId="660090FF" w14:textId="77777777" w:rsidR="003244CE" w:rsidRPr="00A73A1E" w:rsidRDefault="003244CE" w:rsidP="009C40C0">
            <w:pPr>
              <w:pStyle w:val="Tabletext"/>
              <w:jc w:val="center"/>
              <w:rPr>
                <w:sz w:val="18"/>
                <w:szCs w:val="18"/>
                <w:lang w:eastAsia="ko-KR"/>
              </w:rPr>
            </w:pPr>
            <w:r w:rsidRPr="00A73A1E">
              <w:rPr>
                <w:sz w:val="18"/>
                <w:szCs w:val="18"/>
                <w:lang w:eastAsia="ja-JP"/>
              </w:rPr>
              <w:t>4.6</w:t>
            </w:r>
          </w:p>
        </w:tc>
        <w:tc>
          <w:tcPr>
            <w:tcW w:w="1904" w:type="dxa"/>
            <w:shd w:val="clear" w:color="auto" w:fill="auto"/>
            <w:hideMark/>
          </w:tcPr>
          <w:p w14:paraId="3EC76439" w14:textId="77777777" w:rsidR="003244CE" w:rsidRPr="00A73A1E" w:rsidRDefault="003244CE" w:rsidP="009C40C0">
            <w:pPr>
              <w:pStyle w:val="Tabletext"/>
              <w:jc w:val="center"/>
              <w:rPr>
                <w:sz w:val="18"/>
                <w:szCs w:val="18"/>
                <w:lang w:eastAsia="ko-KR"/>
              </w:rPr>
            </w:pPr>
            <w:r w:rsidRPr="00A73A1E">
              <w:rPr>
                <w:sz w:val="18"/>
                <w:szCs w:val="18"/>
                <w:lang w:eastAsia="ja-JP"/>
              </w:rPr>
              <w:t>4.6</w:t>
            </w:r>
          </w:p>
        </w:tc>
      </w:tr>
      <w:tr w:rsidR="003244CE" w:rsidRPr="00A73A1E" w14:paraId="3511EC3E" w14:textId="77777777" w:rsidTr="0031214F">
        <w:trPr>
          <w:trHeight w:val="20"/>
          <w:jc w:val="center"/>
        </w:trPr>
        <w:tc>
          <w:tcPr>
            <w:tcW w:w="3029" w:type="dxa"/>
            <w:shd w:val="clear" w:color="auto" w:fill="auto"/>
            <w:hideMark/>
          </w:tcPr>
          <w:p w14:paraId="39600D32" w14:textId="77777777" w:rsidR="003244CE" w:rsidRPr="00A73A1E" w:rsidRDefault="003244CE" w:rsidP="00F02281">
            <w:pPr>
              <w:pStyle w:val="Tabletext"/>
              <w:jc w:val="left"/>
              <w:rPr>
                <w:sz w:val="18"/>
                <w:szCs w:val="18"/>
                <w:lang w:eastAsia="ko-KR"/>
              </w:rPr>
            </w:pPr>
            <w:r w:rsidRPr="00A73A1E">
              <w:rPr>
                <w:sz w:val="18"/>
                <w:szCs w:val="18"/>
                <w:lang w:eastAsia="ja-JP"/>
              </w:rPr>
              <w:t>Antenna azimuth beamwidth</w:t>
            </w:r>
            <w:r>
              <w:rPr>
                <w:sz w:val="18"/>
                <w:szCs w:val="18"/>
                <w:lang w:eastAsia="ja-JP"/>
              </w:rPr>
              <w:t xml:space="preserve"> (</w:t>
            </w:r>
            <w:r w:rsidRPr="00A73A1E">
              <w:rPr>
                <w:sz w:val="18"/>
                <w:szCs w:val="18"/>
                <w:lang w:eastAsia="ja-JP"/>
              </w:rPr>
              <w:t>degrees</w:t>
            </w:r>
            <w:r>
              <w:rPr>
                <w:sz w:val="18"/>
                <w:szCs w:val="18"/>
                <w:lang w:eastAsia="ja-JP"/>
              </w:rPr>
              <w:t>)</w:t>
            </w:r>
          </w:p>
        </w:tc>
        <w:tc>
          <w:tcPr>
            <w:tcW w:w="1904" w:type="dxa"/>
            <w:shd w:val="clear" w:color="auto" w:fill="auto"/>
            <w:hideMark/>
          </w:tcPr>
          <w:p w14:paraId="34E71820" w14:textId="77777777" w:rsidR="003244CE" w:rsidRPr="00A73A1E" w:rsidRDefault="003244CE" w:rsidP="009C40C0">
            <w:pPr>
              <w:pStyle w:val="Tabletext"/>
              <w:jc w:val="center"/>
              <w:rPr>
                <w:sz w:val="18"/>
                <w:szCs w:val="18"/>
                <w:lang w:eastAsia="ko-KR"/>
              </w:rPr>
            </w:pPr>
            <w:r w:rsidRPr="00A73A1E">
              <w:rPr>
                <w:sz w:val="18"/>
                <w:szCs w:val="18"/>
                <w:lang w:eastAsia="ja-JP"/>
              </w:rPr>
              <w:t>1</w:t>
            </w:r>
          </w:p>
        </w:tc>
        <w:tc>
          <w:tcPr>
            <w:tcW w:w="1798" w:type="dxa"/>
            <w:shd w:val="clear" w:color="auto" w:fill="auto"/>
            <w:hideMark/>
          </w:tcPr>
          <w:p w14:paraId="20954FC1" w14:textId="77777777" w:rsidR="003244CE" w:rsidRPr="00A73A1E" w:rsidRDefault="003244CE" w:rsidP="009C40C0">
            <w:pPr>
              <w:pStyle w:val="Tabletext"/>
              <w:jc w:val="center"/>
              <w:rPr>
                <w:sz w:val="18"/>
                <w:szCs w:val="18"/>
                <w:lang w:eastAsia="ko-KR"/>
              </w:rPr>
            </w:pPr>
            <w:r w:rsidRPr="00A73A1E">
              <w:rPr>
                <w:sz w:val="18"/>
                <w:szCs w:val="18"/>
                <w:lang w:eastAsia="ja-JP"/>
              </w:rPr>
              <w:t>1</w:t>
            </w:r>
          </w:p>
        </w:tc>
        <w:tc>
          <w:tcPr>
            <w:tcW w:w="1798" w:type="dxa"/>
            <w:shd w:val="clear" w:color="auto" w:fill="auto"/>
            <w:hideMark/>
          </w:tcPr>
          <w:p w14:paraId="1B216792" w14:textId="77777777" w:rsidR="003244CE" w:rsidRPr="00A73A1E" w:rsidRDefault="003244CE" w:rsidP="009C40C0">
            <w:pPr>
              <w:pStyle w:val="Tabletext"/>
              <w:jc w:val="center"/>
              <w:rPr>
                <w:sz w:val="18"/>
                <w:szCs w:val="18"/>
                <w:lang w:eastAsia="ko-KR"/>
              </w:rPr>
            </w:pPr>
            <w:r w:rsidRPr="00A73A1E">
              <w:rPr>
                <w:sz w:val="18"/>
                <w:szCs w:val="18"/>
                <w:lang w:eastAsia="ja-JP"/>
              </w:rPr>
              <w:t>0.89</w:t>
            </w:r>
          </w:p>
        </w:tc>
        <w:tc>
          <w:tcPr>
            <w:tcW w:w="1798" w:type="dxa"/>
            <w:shd w:val="clear" w:color="auto" w:fill="auto"/>
            <w:hideMark/>
          </w:tcPr>
          <w:p w14:paraId="6B8F1850" w14:textId="77777777" w:rsidR="003244CE" w:rsidRPr="00A73A1E" w:rsidRDefault="003244CE" w:rsidP="009C40C0">
            <w:pPr>
              <w:pStyle w:val="Tabletext"/>
              <w:jc w:val="center"/>
              <w:rPr>
                <w:sz w:val="18"/>
                <w:szCs w:val="18"/>
                <w:lang w:eastAsia="ko-KR"/>
              </w:rPr>
            </w:pPr>
            <w:r w:rsidRPr="00A73A1E">
              <w:rPr>
                <w:sz w:val="18"/>
                <w:szCs w:val="18"/>
                <w:lang w:eastAsia="ja-JP"/>
              </w:rPr>
              <w:t>2.1</w:t>
            </w:r>
          </w:p>
        </w:tc>
        <w:tc>
          <w:tcPr>
            <w:tcW w:w="1798" w:type="dxa"/>
            <w:shd w:val="clear" w:color="auto" w:fill="auto"/>
            <w:hideMark/>
          </w:tcPr>
          <w:p w14:paraId="6BA4B1D1" w14:textId="77777777" w:rsidR="003244CE" w:rsidRPr="00A73A1E" w:rsidRDefault="003244CE" w:rsidP="009C40C0">
            <w:pPr>
              <w:pStyle w:val="Tabletext"/>
              <w:jc w:val="center"/>
              <w:rPr>
                <w:sz w:val="18"/>
                <w:szCs w:val="18"/>
                <w:lang w:eastAsia="ko-KR"/>
              </w:rPr>
            </w:pPr>
            <w:r w:rsidRPr="00A73A1E">
              <w:rPr>
                <w:sz w:val="18"/>
                <w:szCs w:val="18"/>
                <w:lang w:eastAsia="ja-JP"/>
              </w:rPr>
              <w:t>1.3</w:t>
            </w:r>
          </w:p>
        </w:tc>
        <w:tc>
          <w:tcPr>
            <w:tcW w:w="1904" w:type="dxa"/>
            <w:shd w:val="clear" w:color="auto" w:fill="auto"/>
            <w:hideMark/>
          </w:tcPr>
          <w:p w14:paraId="28468967" w14:textId="77777777" w:rsidR="003244CE" w:rsidRPr="00A73A1E" w:rsidRDefault="003244CE" w:rsidP="009C40C0">
            <w:pPr>
              <w:pStyle w:val="Tabletext"/>
              <w:jc w:val="center"/>
              <w:rPr>
                <w:sz w:val="18"/>
                <w:szCs w:val="18"/>
                <w:lang w:eastAsia="ko-KR"/>
              </w:rPr>
            </w:pPr>
            <w:r w:rsidRPr="00A73A1E">
              <w:rPr>
                <w:sz w:val="18"/>
                <w:szCs w:val="18"/>
                <w:lang w:eastAsia="ja-JP"/>
              </w:rPr>
              <w:t>1.3</w:t>
            </w:r>
          </w:p>
        </w:tc>
      </w:tr>
      <w:tr w:rsidR="003244CE" w:rsidRPr="00A73A1E" w14:paraId="4BEC33EC" w14:textId="77777777" w:rsidTr="0031214F">
        <w:trPr>
          <w:trHeight w:val="20"/>
          <w:jc w:val="center"/>
        </w:trPr>
        <w:tc>
          <w:tcPr>
            <w:tcW w:w="3029" w:type="dxa"/>
            <w:shd w:val="clear" w:color="auto" w:fill="auto"/>
            <w:hideMark/>
          </w:tcPr>
          <w:p w14:paraId="0BA0C65E" w14:textId="77777777" w:rsidR="003244CE" w:rsidRPr="00A73A1E" w:rsidRDefault="003244CE" w:rsidP="00F02281">
            <w:pPr>
              <w:pStyle w:val="Tabletext"/>
              <w:jc w:val="left"/>
              <w:rPr>
                <w:sz w:val="18"/>
                <w:szCs w:val="18"/>
                <w:lang w:eastAsia="ko-KR"/>
              </w:rPr>
            </w:pPr>
            <w:r w:rsidRPr="00A73A1E">
              <w:rPr>
                <w:sz w:val="18"/>
                <w:szCs w:val="18"/>
                <w:lang w:eastAsia="ja-JP"/>
              </w:rPr>
              <w:t xml:space="preserve">RF centre frequency </w:t>
            </w:r>
            <w:r>
              <w:rPr>
                <w:sz w:val="18"/>
                <w:szCs w:val="18"/>
                <w:lang w:eastAsia="ja-JP"/>
              </w:rPr>
              <w:t>(</w:t>
            </w:r>
            <w:r w:rsidRPr="00A73A1E">
              <w:rPr>
                <w:sz w:val="18"/>
                <w:szCs w:val="18"/>
                <w:lang w:eastAsia="ja-JP"/>
              </w:rPr>
              <w:t>MHz</w:t>
            </w:r>
            <w:r>
              <w:rPr>
                <w:sz w:val="18"/>
                <w:szCs w:val="18"/>
                <w:lang w:eastAsia="ja-JP"/>
              </w:rPr>
              <w:t>)</w:t>
            </w:r>
          </w:p>
        </w:tc>
        <w:tc>
          <w:tcPr>
            <w:tcW w:w="1904" w:type="dxa"/>
            <w:shd w:val="clear" w:color="auto" w:fill="auto"/>
            <w:hideMark/>
          </w:tcPr>
          <w:p w14:paraId="31E6AE56" w14:textId="77777777" w:rsidR="003244CE" w:rsidRPr="00A73A1E" w:rsidRDefault="003244CE" w:rsidP="009C40C0">
            <w:pPr>
              <w:pStyle w:val="Tabletext"/>
              <w:jc w:val="center"/>
              <w:rPr>
                <w:sz w:val="18"/>
                <w:szCs w:val="18"/>
                <w:lang w:eastAsia="ko-KR"/>
              </w:rPr>
            </w:pPr>
            <w:r w:rsidRPr="00A73A1E">
              <w:rPr>
                <w:sz w:val="18"/>
                <w:szCs w:val="18"/>
                <w:lang w:eastAsia="ja-JP"/>
              </w:rPr>
              <w:t>1 257.5</w:t>
            </w:r>
          </w:p>
        </w:tc>
        <w:tc>
          <w:tcPr>
            <w:tcW w:w="1798" w:type="dxa"/>
            <w:shd w:val="clear" w:color="auto" w:fill="auto"/>
            <w:hideMark/>
          </w:tcPr>
          <w:p w14:paraId="79BAD6D4" w14:textId="77777777" w:rsidR="003244CE" w:rsidRPr="00A73A1E" w:rsidRDefault="003244CE" w:rsidP="009C40C0">
            <w:pPr>
              <w:pStyle w:val="Tabletext"/>
              <w:jc w:val="center"/>
              <w:rPr>
                <w:sz w:val="18"/>
                <w:szCs w:val="18"/>
                <w:lang w:eastAsia="ko-KR"/>
              </w:rPr>
            </w:pPr>
            <w:r w:rsidRPr="00A73A1E">
              <w:rPr>
                <w:sz w:val="18"/>
                <w:szCs w:val="18"/>
                <w:lang w:eastAsia="ja-JP"/>
              </w:rPr>
              <w:t>1 257.5</w:t>
            </w:r>
          </w:p>
        </w:tc>
        <w:tc>
          <w:tcPr>
            <w:tcW w:w="1798" w:type="dxa"/>
            <w:shd w:val="clear" w:color="auto" w:fill="auto"/>
            <w:hideMark/>
          </w:tcPr>
          <w:p w14:paraId="0FD08F0F" w14:textId="77777777" w:rsidR="003244CE" w:rsidRPr="00A73A1E" w:rsidRDefault="003244CE" w:rsidP="009C40C0">
            <w:pPr>
              <w:pStyle w:val="Tabletext"/>
              <w:jc w:val="center"/>
              <w:rPr>
                <w:sz w:val="18"/>
                <w:szCs w:val="18"/>
                <w:lang w:eastAsia="ko-KR"/>
              </w:rPr>
            </w:pPr>
            <w:r w:rsidRPr="00A73A1E">
              <w:rPr>
                <w:sz w:val="18"/>
                <w:szCs w:val="18"/>
                <w:lang w:eastAsia="ja-JP"/>
              </w:rPr>
              <w:t>1 215-1 300</w:t>
            </w:r>
          </w:p>
        </w:tc>
        <w:tc>
          <w:tcPr>
            <w:tcW w:w="1798" w:type="dxa"/>
            <w:shd w:val="clear" w:color="auto" w:fill="auto"/>
            <w:hideMark/>
          </w:tcPr>
          <w:p w14:paraId="4F0CF8A8" w14:textId="77777777" w:rsidR="003244CE" w:rsidRPr="00A73A1E" w:rsidRDefault="003244CE" w:rsidP="009C40C0">
            <w:pPr>
              <w:pStyle w:val="Tabletext"/>
              <w:jc w:val="center"/>
              <w:rPr>
                <w:sz w:val="18"/>
                <w:szCs w:val="18"/>
                <w:lang w:eastAsia="ko-KR"/>
              </w:rPr>
            </w:pPr>
            <w:r w:rsidRPr="00A73A1E">
              <w:rPr>
                <w:sz w:val="18"/>
                <w:szCs w:val="18"/>
                <w:lang w:eastAsia="ko-KR"/>
              </w:rPr>
              <w:t>1 257.5</w:t>
            </w:r>
          </w:p>
        </w:tc>
        <w:tc>
          <w:tcPr>
            <w:tcW w:w="1798" w:type="dxa"/>
            <w:shd w:val="clear" w:color="auto" w:fill="auto"/>
            <w:hideMark/>
          </w:tcPr>
          <w:p w14:paraId="3FAC2670" w14:textId="77777777" w:rsidR="003244CE" w:rsidRPr="00A73A1E" w:rsidRDefault="003244CE" w:rsidP="009C40C0">
            <w:pPr>
              <w:pStyle w:val="Tabletext"/>
              <w:jc w:val="center"/>
              <w:rPr>
                <w:sz w:val="18"/>
                <w:szCs w:val="18"/>
                <w:lang w:eastAsia="ko-KR"/>
              </w:rPr>
            </w:pPr>
            <w:r w:rsidRPr="00A73A1E">
              <w:rPr>
                <w:sz w:val="18"/>
                <w:szCs w:val="18"/>
                <w:lang w:eastAsia="ko-KR"/>
              </w:rPr>
              <w:t>1 236.5,</w:t>
            </w:r>
            <w:r w:rsidRPr="00A73A1E">
              <w:rPr>
                <w:sz w:val="18"/>
                <w:szCs w:val="18"/>
                <w:lang w:eastAsia="ko-KR"/>
              </w:rPr>
              <w:br/>
              <w:t>1 257.5,</w:t>
            </w:r>
            <w:r w:rsidRPr="00A73A1E">
              <w:rPr>
                <w:sz w:val="18"/>
                <w:szCs w:val="18"/>
                <w:lang w:eastAsia="ko-KR"/>
              </w:rPr>
              <w:br/>
              <w:t>1 278.5, selectable</w:t>
            </w:r>
          </w:p>
        </w:tc>
        <w:tc>
          <w:tcPr>
            <w:tcW w:w="1904" w:type="dxa"/>
            <w:shd w:val="clear" w:color="auto" w:fill="auto"/>
            <w:hideMark/>
          </w:tcPr>
          <w:p w14:paraId="4A4B759F" w14:textId="77777777" w:rsidR="003244CE" w:rsidRPr="00A73A1E" w:rsidRDefault="003244CE" w:rsidP="009C40C0">
            <w:pPr>
              <w:pStyle w:val="Tabletext"/>
              <w:jc w:val="center"/>
              <w:rPr>
                <w:sz w:val="18"/>
                <w:szCs w:val="18"/>
                <w:lang w:eastAsia="ko-KR"/>
              </w:rPr>
            </w:pPr>
            <w:r w:rsidRPr="00A73A1E">
              <w:rPr>
                <w:sz w:val="18"/>
                <w:szCs w:val="18"/>
                <w:lang w:eastAsia="ko-KR"/>
              </w:rPr>
              <w:t>1 236.5,</w:t>
            </w:r>
            <w:r w:rsidRPr="00A73A1E">
              <w:rPr>
                <w:sz w:val="18"/>
                <w:szCs w:val="18"/>
                <w:lang w:eastAsia="ko-KR"/>
              </w:rPr>
              <w:br/>
              <w:t>1 257.5,</w:t>
            </w:r>
            <w:r w:rsidRPr="00A73A1E">
              <w:rPr>
                <w:sz w:val="18"/>
                <w:szCs w:val="18"/>
                <w:lang w:eastAsia="ko-KR"/>
              </w:rPr>
              <w:br/>
              <w:t>1 278.5, selectable</w:t>
            </w:r>
          </w:p>
        </w:tc>
      </w:tr>
      <w:tr w:rsidR="003244CE" w:rsidRPr="00A73A1E" w14:paraId="1033BEED" w14:textId="77777777" w:rsidTr="0031214F">
        <w:trPr>
          <w:trHeight w:val="20"/>
          <w:jc w:val="center"/>
        </w:trPr>
        <w:tc>
          <w:tcPr>
            <w:tcW w:w="3029" w:type="dxa"/>
            <w:shd w:val="clear" w:color="auto" w:fill="auto"/>
            <w:hideMark/>
          </w:tcPr>
          <w:p w14:paraId="3F90B26F" w14:textId="77777777" w:rsidR="003244CE" w:rsidRPr="00A73A1E" w:rsidRDefault="003244CE" w:rsidP="00F02281">
            <w:pPr>
              <w:pStyle w:val="Tabletext"/>
              <w:jc w:val="left"/>
              <w:rPr>
                <w:sz w:val="18"/>
                <w:szCs w:val="18"/>
                <w:lang w:eastAsia="ko-KR"/>
              </w:rPr>
            </w:pPr>
            <w:r w:rsidRPr="00A73A1E">
              <w:rPr>
                <w:sz w:val="18"/>
                <w:szCs w:val="18"/>
                <w:lang w:eastAsia="ja-JP"/>
              </w:rPr>
              <w:t>Polarization</w:t>
            </w:r>
          </w:p>
        </w:tc>
        <w:tc>
          <w:tcPr>
            <w:tcW w:w="1904" w:type="dxa"/>
            <w:shd w:val="clear" w:color="auto" w:fill="auto"/>
            <w:hideMark/>
          </w:tcPr>
          <w:p w14:paraId="2D1A3407" w14:textId="77777777" w:rsidR="003244CE" w:rsidRPr="00A73A1E" w:rsidRDefault="003244CE" w:rsidP="009C40C0">
            <w:pPr>
              <w:pStyle w:val="Tabletext"/>
              <w:jc w:val="center"/>
              <w:rPr>
                <w:sz w:val="18"/>
                <w:szCs w:val="18"/>
                <w:lang w:eastAsia="ko-KR"/>
              </w:rPr>
            </w:pPr>
            <w:r w:rsidRPr="00A73A1E">
              <w:rPr>
                <w:sz w:val="18"/>
                <w:szCs w:val="18"/>
                <w:lang w:eastAsia="ja-JP"/>
              </w:rPr>
              <w:t>Dual linear H and V</w:t>
            </w:r>
          </w:p>
        </w:tc>
        <w:tc>
          <w:tcPr>
            <w:tcW w:w="1798" w:type="dxa"/>
            <w:shd w:val="clear" w:color="auto" w:fill="auto"/>
            <w:hideMark/>
          </w:tcPr>
          <w:p w14:paraId="614AB301" w14:textId="77777777" w:rsidR="003244CE" w:rsidRPr="00A73A1E" w:rsidRDefault="003244CE" w:rsidP="009C40C0">
            <w:pPr>
              <w:pStyle w:val="Tabletext"/>
              <w:jc w:val="center"/>
              <w:rPr>
                <w:sz w:val="18"/>
                <w:szCs w:val="18"/>
                <w:lang w:eastAsia="ko-KR"/>
              </w:rPr>
            </w:pPr>
            <w:r w:rsidRPr="00A73A1E">
              <w:rPr>
                <w:sz w:val="18"/>
                <w:szCs w:val="18"/>
                <w:lang w:eastAsia="ja-JP"/>
              </w:rPr>
              <w:t>Linear H</w:t>
            </w:r>
          </w:p>
        </w:tc>
        <w:tc>
          <w:tcPr>
            <w:tcW w:w="1798" w:type="dxa"/>
            <w:shd w:val="clear" w:color="auto" w:fill="auto"/>
            <w:hideMark/>
          </w:tcPr>
          <w:p w14:paraId="09C20BA0" w14:textId="77777777" w:rsidR="003244CE" w:rsidRPr="00A73A1E" w:rsidRDefault="003244CE" w:rsidP="009C40C0">
            <w:pPr>
              <w:pStyle w:val="Tabletext"/>
              <w:jc w:val="center"/>
              <w:rPr>
                <w:sz w:val="18"/>
                <w:szCs w:val="18"/>
                <w:lang w:eastAsia="ko-KR"/>
              </w:rPr>
            </w:pPr>
            <w:r w:rsidRPr="00A73A1E">
              <w:rPr>
                <w:sz w:val="18"/>
                <w:szCs w:val="18"/>
                <w:lang w:eastAsia="ja-JP"/>
              </w:rPr>
              <w:t>Dual/quad, linear H and V</w:t>
            </w:r>
          </w:p>
        </w:tc>
        <w:tc>
          <w:tcPr>
            <w:tcW w:w="1798" w:type="dxa"/>
            <w:shd w:val="clear" w:color="auto" w:fill="auto"/>
            <w:hideMark/>
          </w:tcPr>
          <w:p w14:paraId="7444BFEE" w14:textId="77777777" w:rsidR="003244CE" w:rsidRPr="00A73A1E" w:rsidRDefault="003244CE" w:rsidP="009C40C0">
            <w:pPr>
              <w:pStyle w:val="Tabletext"/>
              <w:jc w:val="center"/>
              <w:rPr>
                <w:sz w:val="18"/>
                <w:szCs w:val="18"/>
                <w:lang w:eastAsia="ko-KR"/>
              </w:rPr>
            </w:pPr>
            <w:r w:rsidRPr="00A73A1E">
              <w:rPr>
                <w:sz w:val="18"/>
                <w:szCs w:val="18"/>
                <w:lang w:eastAsia="ja-JP"/>
              </w:rPr>
              <w:t>H and V</w:t>
            </w:r>
          </w:p>
        </w:tc>
        <w:tc>
          <w:tcPr>
            <w:tcW w:w="1798" w:type="dxa"/>
            <w:shd w:val="clear" w:color="auto" w:fill="auto"/>
            <w:hideMark/>
          </w:tcPr>
          <w:p w14:paraId="0C840041" w14:textId="77777777" w:rsidR="003244CE" w:rsidRPr="00A73A1E" w:rsidRDefault="003244CE" w:rsidP="009C40C0">
            <w:pPr>
              <w:pStyle w:val="Tabletext"/>
              <w:jc w:val="center"/>
              <w:rPr>
                <w:sz w:val="18"/>
                <w:szCs w:val="18"/>
                <w:lang w:eastAsia="ko-KR"/>
              </w:rPr>
            </w:pPr>
            <w:r w:rsidRPr="00A73A1E">
              <w:rPr>
                <w:sz w:val="18"/>
                <w:szCs w:val="18"/>
                <w:lang w:eastAsia="ja-JP"/>
              </w:rPr>
              <w:t>H and V</w:t>
            </w:r>
          </w:p>
        </w:tc>
        <w:tc>
          <w:tcPr>
            <w:tcW w:w="1904" w:type="dxa"/>
            <w:shd w:val="clear" w:color="auto" w:fill="auto"/>
            <w:hideMark/>
          </w:tcPr>
          <w:p w14:paraId="3F0A7B94" w14:textId="77777777" w:rsidR="003244CE" w:rsidRPr="00A73A1E" w:rsidRDefault="003244CE" w:rsidP="009C40C0">
            <w:pPr>
              <w:pStyle w:val="Tabletext"/>
              <w:jc w:val="center"/>
              <w:rPr>
                <w:sz w:val="18"/>
                <w:szCs w:val="18"/>
                <w:lang w:eastAsia="ko-KR"/>
              </w:rPr>
            </w:pPr>
            <w:r w:rsidRPr="00A73A1E">
              <w:rPr>
                <w:sz w:val="18"/>
                <w:szCs w:val="18"/>
                <w:lang w:eastAsia="ja-JP"/>
              </w:rPr>
              <w:t xml:space="preserve">H, V, Circular and </w:t>
            </w:r>
            <w:r w:rsidRPr="00A73A1E">
              <w:rPr>
                <w:sz w:val="18"/>
                <w:szCs w:val="18"/>
                <w:lang w:eastAsia="ja-JP"/>
              </w:rPr>
              <w:br/>
              <w:t>45 degrees linear</w:t>
            </w:r>
          </w:p>
        </w:tc>
      </w:tr>
      <w:tr w:rsidR="003244CE" w:rsidRPr="00A73A1E" w14:paraId="11CE0778" w14:textId="77777777" w:rsidTr="0031214F">
        <w:trPr>
          <w:trHeight w:val="20"/>
          <w:jc w:val="center"/>
        </w:trPr>
        <w:tc>
          <w:tcPr>
            <w:tcW w:w="3029" w:type="dxa"/>
            <w:shd w:val="clear" w:color="auto" w:fill="auto"/>
            <w:hideMark/>
          </w:tcPr>
          <w:p w14:paraId="2C303BA0" w14:textId="77777777" w:rsidR="003244CE" w:rsidRPr="00A73A1E" w:rsidRDefault="003244CE" w:rsidP="00F02281">
            <w:pPr>
              <w:pStyle w:val="Tabletext"/>
              <w:jc w:val="left"/>
              <w:rPr>
                <w:sz w:val="18"/>
                <w:szCs w:val="18"/>
                <w:lang w:eastAsia="ko-KR"/>
              </w:rPr>
            </w:pPr>
            <w:r w:rsidRPr="00A73A1E">
              <w:rPr>
                <w:sz w:val="18"/>
                <w:szCs w:val="18"/>
                <w:lang w:eastAsia="ko-KR"/>
              </w:rPr>
              <w:t>Pulse modulation</w:t>
            </w:r>
          </w:p>
        </w:tc>
        <w:tc>
          <w:tcPr>
            <w:tcW w:w="1904" w:type="dxa"/>
            <w:shd w:val="clear" w:color="auto" w:fill="auto"/>
            <w:hideMark/>
          </w:tcPr>
          <w:p w14:paraId="516C4570" w14:textId="77777777" w:rsidR="003244CE" w:rsidRPr="00A73A1E" w:rsidRDefault="003244CE" w:rsidP="009C40C0">
            <w:pPr>
              <w:pStyle w:val="Tabletext"/>
              <w:jc w:val="center"/>
              <w:rPr>
                <w:sz w:val="18"/>
                <w:szCs w:val="18"/>
                <w:lang w:eastAsia="ko-KR"/>
              </w:rPr>
            </w:pPr>
            <w:r w:rsidRPr="00A73A1E">
              <w:rPr>
                <w:sz w:val="18"/>
                <w:szCs w:val="18"/>
                <w:lang w:eastAsia="ko-KR"/>
              </w:rPr>
              <w:t>Linear FM</w:t>
            </w:r>
          </w:p>
        </w:tc>
        <w:tc>
          <w:tcPr>
            <w:tcW w:w="1798" w:type="dxa"/>
            <w:shd w:val="clear" w:color="auto" w:fill="auto"/>
            <w:hideMark/>
          </w:tcPr>
          <w:p w14:paraId="41B0AB23" w14:textId="77777777" w:rsidR="003244CE" w:rsidRPr="00A73A1E" w:rsidRDefault="003244CE" w:rsidP="009C40C0">
            <w:pPr>
              <w:pStyle w:val="Tabletext"/>
              <w:jc w:val="center"/>
              <w:rPr>
                <w:sz w:val="18"/>
                <w:szCs w:val="18"/>
                <w:lang w:eastAsia="ko-KR"/>
              </w:rPr>
            </w:pPr>
            <w:r w:rsidRPr="00A73A1E">
              <w:rPr>
                <w:sz w:val="18"/>
                <w:szCs w:val="18"/>
                <w:lang w:eastAsia="ko-KR"/>
              </w:rPr>
              <w:t>Linear FM</w:t>
            </w:r>
          </w:p>
        </w:tc>
        <w:tc>
          <w:tcPr>
            <w:tcW w:w="1798" w:type="dxa"/>
            <w:shd w:val="clear" w:color="auto" w:fill="auto"/>
            <w:hideMark/>
          </w:tcPr>
          <w:p w14:paraId="31A22233" w14:textId="77777777" w:rsidR="003244CE" w:rsidRPr="00A73A1E" w:rsidRDefault="003244CE" w:rsidP="009C40C0">
            <w:pPr>
              <w:pStyle w:val="Tabletext"/>
              <w:jc w:val="center"/>
              <w:rPr>
                <w:sz w:val="18"/>
                <w:szCs w:val="18"/>
                <w:lang w:eastAsia="ko-KR"/>
              </w:rPr>
            </w:pPr>
            <w:r w:rsidRPr="00A73A1E">
              <w:rPr>
                <w:sz w:val="18"/>
                <w:szCs w:val="18"/>
                <w:lang w:eastAsia="ja-JP"/>
              </w:rPr>
              <w:t>Linear FM</w:t>
            </w:r>
          </w:p>
        </w:tc>
        <w:tc>
          <w:tcPr>
            <w:tcW w:w="1798" w:type="dxa"/>
            <w:shd w:val="clear" w:color="auto" w:fill="auto"/>
            <w:hideMark/>
          </w:tcPr>
          <w:p w14:paraId="3406D91E" w14:textId="77777777" w:rsidR="003244CE" w:rsidRPr="00A73A1E" w:rsidRDefault="003244CE" w:rsidP="009C40C0">
            <w:pPr>
              <w:pStyle w:val="Tabletext"/>
              <w:jc w:val="center"/>
              <w:rPr>
                <w:sz w:val="18"/>
                <w:szCs w:val="18"/>
                <w:lang w:eastAsia="ko-KR"/>
              </w:rPr>
            </w:pPr>
            <w:r w:rsidRPr="00A73A1E">
              <w:rPr>
                <w:sz w:val="18"/>
                <w:szCs w:val="18"/>
                <w:lang w:eastAsia="ja-JP"/>
              </w:rPr>
              <w:t>Linear FM</w:t>
            </w:r>
          </w:p>
        </w:tc>
        <w:tc>
          <w:tcPr>
            <w:tcW w:w="1798" w:type="dxa"/>
            <w:shd w:val="clear" w:color="auto" w:fill="auto"/>
            <w:hideMark/>
          </w:tcPr>
          <w:p w14:paraId="05C41E88" w14:textId="77777777" w:rsidR="003244CE" w:rsidRPr="00A73A1E" w:rsidRDefault="003244CE" w:rsidP="009C40C0">
            <w:pPr>
              <w:pStyle w:val="Tabletext"/>
              <w:jc w:val="center"/>
              <w:rPr>
                <w:sz w:val="18"/>
                <w:szCs w:val="18"/>
                <w:lang w:eastAsia="ko-KR"/>
              </w:rPr>
            </w:pPr>
            <w:r w:rsidRPr="00A73A1E">
              <w:rPr>
                <w:sz w:val="18"/>
                <w:szCs w:val="18"/>
                <w:lang w:eastAsia="ja-JP"/>
              </w:rPr>
              <w:t>Linear FM</w:t>
            </w:r>
          </w:p>
        </w:tc>
        <w:tc>
          <w:tcPr>
            <w:tcW w:w="1904" w:type="dxa"/>
            <w:shd w:val="clear" w:color="auto" w:fill="auto"/>
            <w:hideMark/>
          </w:tcPr>
          <w:p w14:paraId="4FD3F796" w14:textId="77777777" w:rsidR="003244CE" w:rsidRPr="00A73A1E" w:rsidRDefault="003244CE" w:rsidP="009C40C0">
            <w:pPr>
              <w:pStyle w:val="Tabletext"/>
              <w:jc w:val="center"/>
              <w:rPr>
                <w:sz w:val="18"/>
                <w:szCs w:val="18"/>
                <w:lang w:eastAsia="ko-KR"/>
              </w:rPr>
            </w:pPr>
            <w:r w:rsidRPr="00A73A1E">
              <w:rPr>
                <w:sz w:val="18"/>
                <w:szCs w:val="18"/>
                <w:lang w:eastAsia="ja-JP"/>
              </w:rPr>
              <w:t>Linear FM</w:t>
            </w:r>
          </w:p>
        </w:tc>
      </w:tr>
      <w:tr w:rsidR="003244CE" w:rsidRPr="00A73A1E" w14:paraId="25A34042" w14:textId="77777777" w:rsidTr="0031214F">
        <w:trPr>
          <w:trHeight w:val="20"/>
          <w:jc w:val="center"/>
        </w:trPr>
        <w:tc>
          <w:tcPr>
            <w:tcW w:w="3029" w:type="dxa"/>
            <w:shd w:val="clear" w:color="auto" w:fill="auto"/>
            <w:hideMark/>
          </w:tcPr>
          <w:p w14:paraId="28012F22" w14:textId="77777777" w:rsidR="003244CE" w:rsidRPr="00A73A1E" w:rsidRDefault="003244CE" w:rsidP="00F02281">
            <w:pPr>
              <w:pStyle w:val="Tabletext"/>
              <w:jc w:val="left"/>
              <w:rPr>
                <w:sz w:val="18"/>
                <w:szCs w:val="18"/>
                <w:lang w:eastAsia="ko-KR"/>
              </w:rPr>
            </w:pPr>
            <w:r w:rsidRPr="00A73A1E">
              <w:rPr>
                <w:sz w:val="18"/>
                <w:szCs w:val="18"/>
                <w:lang w:eastAsia="ko-KR"/>
              </w:rPr>
              <w:t xml:space="preserve">RF bandwidth, maximum </w:t>
            </w:r>
            <w:r>
              <w:rPr>
                <w:sz w:val="18"/>
                <w:szCs w:val="18"/>
                <w:lang w:eastAsia="ko-KR"/>
              </w:rPr>
              <w:t>(</w:t>
            </w:r>
            <w:r w:rsidRPr="00A73A1E">
              <w:rPr>
                <w:sz w:val="18"/>
                <w:szCs w:val="18"/>
                <w:lang w:eastAsia="ko-KR"/>
              </w:rPr>
              <w:t>MHz</w:t>
            </w:r>
            <w:r>
              <w:rPr>
                <w:sz w:val="18"/>
                <w:szCs w:val="18"/>
                <w:lang w:eastAsia="ko-KR"/>
              </w:rPr>
              <w:t>)</w:t>
            </w:r>
            <w:r w:rsidRPr="00A73A1E">
              <w:rPr>
                <w:position w:val="6"/>
                <w:sz w:val="18"/>
                <w:szCs w:val="18"/>
              </w:rPr>
              <w:footnoteReference w:id="4"/>
            </w:r>
            <w:r w:rsidRPr="00A73A1E">
              <w:rPr>
                <w:sz w:val="18"/>
                <w:szCs w:val="18"/>
                <w:lang w:eastAsia="ko-KR"/>
              </w:rPr>
              <w:t> </w:t>
            </w:r>
          </w:p>
        </w:tc>
        <w:tc>
          <w:tcPr>
            <w:tcW w:w="1904" w:type="dxa"/>
            <w:shd w:val="clear" w:color="auto" w:fill="auto"/>
            <w:hideMark/>
          </w:tcPr>
          <w:p w14:paraId="5079E918" w14:textId="77777777" w:rsidR="003244CE" w:rsidRPr="00A73A1E" w:rsidRDefault="003244CE" w:rsidP="009C40C0">
            <w:pPr>
              <w:pStyle w:val="Tabletext"/>
              <w:jc w:val="center"/>
              <w:rPr>
                <w:sz w:val="18"/>
                <w:szCs w:val="18"/>
                <w:lang w:eastAsia="ko-KR"/>
              </w:rPr>
            </w:pPr>
            <w:r w:rsidRPr="00A73A1E">
              <w:rPr>
                <w:sz w:val="18"/>
                <w:szCs w:val="18"/>
                <w:lang w:eastAsia="ko-KR"/>
              </w:rPr>
              <w:t>40</w:t>
            </w:r>
          </w:p>
        </w:tc>
        <w:tc>
          <w:tcPr>
            <w:tcW w:w="1798" w:type="dxa"/>
            <w:shd w:val="clear" w:color="auto" w:fill="auto"/>
            <w:hideMark/>
          </w:tcPr>
          <w:p w14:paraId="6FF00AF8" w14:textId="77777777" w:rsidR="003244CE" w:rsidRPr="00A73A1E" w:rsidRDefault="003244CE" w:rsidP="009C40C0">
            <w:pPr>
              <w:pStyle w:val="Tabletext"/>
              <w:jc w:val="center"/>
              <w:rPr>
                <w:sz w:val="18"/>
                <w:szCs w:val="18"/>
                <w:lang w:eastAsia="ko-KR"/>
              </w:rPr>
            </w:pPr>
            <w:r w:rsidRPr="00A73A1E">
              <w:rPr>
                <w:sz w:val="18"/>
                <w:szCs w:val="18"/>
                <w:lang w:eastAsia="ko-KR"/>
              </w:rPr>
              <w:t>15</w:t>
            </w:r>
          </w:p>
        </w:tc>
        <w:tc>
          <w:tcPr>
            <w:tcW w:w="1798" w:type="dxa"/>
            <w:shd w:val="clear" w:color="auto" w:fill="auto"/>
            <w:hideMark/>
          </w:tcPr>
          <w:p w14:paraId="66E1B059" w14:textId="77777777" w:rsidR="003244CE" w:rsidRPr="00A73A1E" w:rsidRDefault="003244CE" w:rsidP="009C40C0">
            <w:pPr>
              <w:pStyle w:val="Tabletext"/>
              <w:jc w:val="center"/>
              <w:rPr>
                <w:sz w:val="18"/>
                <w:szCs w:val="18"/>
                <w:lang w:eastAsia="ko-KR"/>
              </w:rPr>
            </w:pPr>
            <w:r w:rsidRPr="00A73A1E">
              <w:rPr>
                <w:sz w:val="18"/>
                <w:szCs w:val="18"/>
                <w:lang w:eastAsia="ja-JP"/>
              </w:rPr>
              <w:t>78</w:t>
            </w:r>
          </w:p>
        </w:tc>
        <w:tc>
          <w:tcPr>
            <w:tcW w:w="1798" w:type="dxa"/>
            <w:shd w:val="clear" w:color="auto" w:fill="auto"/>
            <w:hideMark/>
          </w:tcPr>
          <w:p w14:paraId="7B3721AB" w14:textId="77777777" w:rsidR="003244CE" w:rsidRPr="00A73A1E" w:rsidRDefault="003244CE" w:rsidP="009C40C0">
            <w:pPr>
              <w:pStyle w:val="Tabletext"/>
              <w:jc w:val="center"/>
              <w:rPr>
                <w:sz w:val="18"/>
                <w:szCs w:val="18"/>
                <w:lang w:eastAsia="ko-KR"/>
              </w:rPr>
            </w:pPr>
            <w:r w:rsidRPr="00A73A1E">
              <w:rPr>
                <w:sz w:val="18"/>
                <w:szCs w:val="18"/>
                <w:lang w:eastAsia="ja-JP"/>
              </w:rPr>
              <w:t>84</w:t>
            </w:r>
          </w:p>
        </w:tc>
        <w:tc>
          <w:tcPr>
            <w:tcW w:w="1798" w:type="dxa"/>
            <w:shd w:val="clear" w:color="auto" w:fill="auto"/>
            <w:hideMark/>
          </w:tcPr>
          <w:p w14:paraId="0D138713" w14:textId="77777777" w:rsidR="003244CE" w:rsidRPr="00A73A1E" w:rsidRDefault="003244CE" w:rsidP="009C40C0">
            <w:pPr>
              <w:pStyle w:val="Tabletext"/>
              <w:jc w:val="center"/>
              <w:rPr>
                <w:sz w:val="18"/>
                <w:szCs w:val="18"/>
                <w:lang w:eastAsia="ko-KR"/>
              </w:rPr>
            </w:pPr>
            <w:r w:rsidRPr="00A73A1E">
              <w:rPr>
                <w:sz w:val="18"/>
                <w:szCs w:val="18"/>
                <w:lang w:eastAsia="ja-JP"/>
              </w:rPr>
              <w:t>14, 28</w:t>
            </w:r>
          </w:p>
        </w:tc>
        <w:tc>
          <w:tcPr>
            <w:tcW w:w="1904" w:type="dxa"/>
            <w:shd w:val="clear" w:color="auto" w:fill="auto"/>
            <w:hideMark/>
          </w:tcPr>
          <w:p w14:paraId="41319162" w14:textId="77777777" w:rsidR="003244CE" w:rsidRPr="00A73A1E" w:rsidRDefault="003244CE" w:rsidP="009C40C0">
            <w:pPr>
              <w:pStyle w:val="Tabletext"/>
              <w:jc w:val="center"/>
              <w:rPr>
                <w:sz w:val="18"/>
                <w:szCs w:val="18"/>
                <w:lang w:eastAsia="ko-KR"/>
              </w:rPr>
            </w:pPr>
            <w:r w:rsidRPr="00A73A1E">
              <w:rPr>
                <w:sz w:val="18"/>
                <w:szCs w:val="18"/>
                <w:lang w:eastAsia="ja-JP"/>
              </w:rPr>
              <w:t>28</w:t>
            </w:r>
          </w:p>
        </w:tc>
      </w:tr>
      <w:tr w:rsidR="003244CE" w:rsidRPr="00A73A1E" w14:paraId="59A0877D" w14:textId="77777777" w:rsidTr="0031214F">
        <w:trPr>
          <w:trHeight w:val="20"/>
          <w:jc w:val="center"/>
        </w:trPr>
        <w:tc>
          <w:tcPr>
            <w:tcW w:w="3029" w:type="dxa"/>
            <w:shd w:val="clear" w:color="auto" w:fill="auto"/>
            <w:hideMark/>
          </w:tcPr>
          <w:p w14:paraId="02E4EDC9" w14:textId="77777777" w:rsidR="003244CE" w:rsidRPr="00A73A1E" w:rsidRDefault="003244CE" w:rsidP="00F02281">
            <w:pPr>
              <w:pStyle w:val="Tabletext"/>
              <w:jc w:val="left"/>
              <w:rPr>
                <w:sz w:val="18"/>
                <w:szCs w:val="18"/>
                <w:lang w:eastAsia="ko-KR"/>
              </w:rPr>
            </w:pPr>
            <w:r w:rsidRPr="00A73A1E">
              <w:rPr>
                <w:sz w:val="18"/>
                <w:szCs w:val="18"/>
                <w:lang w:eastAsia="ja-JP"/>
              </w:rPr>
              <w:t xml:space="preserve">RF pulse width </w:t>
            </w:r>
            <w:r>
              <w:rPr>
                <w:sz w:val="18"/>
                <w:szCs w:val="18"/>
                <w:lang w:eastAsia="ja-JP"/>
              </w:rPr>
              <w:t>(</w:t>
            </w:r>
            <w:r w:rsidRPr="00A73A1E">
              <w:rPr>
                <w:sz w:val="18"/>
                <w:szCs w:val="18"/>
                <w:lang w:eastAsia="ja-JP"/>
              </w:rPr>
              <w:t>µs</w:t>
            </w:r>
            <w:r>
              <w:rPr>
                <w:sz w:val="18"/>
                <w:szCs w:val="18"/>
                <w:lang w:eastAsia="ja-JP"/>
              </w:rPr>
              <w:t>)</w:t>
            </w:r>
          </w:p>
        </w:tc>
        <w:tc>
          <w:tcPr>
            <w:tcW w:w="1904" w:type="dxa"/>
            <w:shd w:val="clear" w:color="auto" w:fill="auto"/>
            <w:hideMark/>
          </w:tcPr>
          <w:p w14:paraId="2382E847" w14:textId="77777777" w:rsidR="003244CE" w:rsidRPr="00A73A1E" w:rsidRDefault="003244CE" w:rsidP="009C40C0">
            <w:pPr>
              <w:pStyle w:val="Tabletext"/>
              <w:jc w:val="center"/>
              <w:rPr>
                <w:sz w:val="18"/>
                <w:szCs w:val="18"/>
                <w:lang w:eastAsia="ko-KR"/>
              </w:rPr>
            </w:pPr>
            <w:r w:rsidRPr="00A73A1E">
              <w:rPr>
                <w:sz w:val="18"/>
                <w:szCs w:val="18"/>
                <w:lang w:eastAsia="ko-KR"/>
              </w:rPr>
              <w:t>33.8</w:t>
            </w:r>
          </w:p>
        </w:tc>
        <w:tc>
          <w:tcPr>
            <w:tcW w:w="1798" w:type="dxa"/>
            <w:shd w:val="clear" w:color="auto" w:fill="auto"/>
            <w:hideMark/>
          </w:tcPr>
          <w:p w14:paraId="70159E5F" w14:textId="77777777" w:rsidR="003244CE" w:rsidRPr="00A73A1E" w:rsidRDefault="003244CE" w:rsidP="009C40C0">
            <w:pPr>
              <w:pStyle w:val="Tabletext"/>
              <w:jc w:val="center"/>
              <w:rPr>
                <w:sz w:val="18"/>
                <w:szCs w:val="18"/>
                <w:lang w:eastAsia="ko-KR"/>
              </w:rPr>
            </w:pPr>
            <w:r w:rsidRPr="00A73A1E">
              <w:rPr>
                <w:sz w:val="18"/>
                <w:szCs w:val="18"/>
                <w:lang w:eastAsia="ko-KR"/>
              </w:rPr>
              <w:t>35</w:t>
            </w:r>
          </w:p>
        </w:tc>
        <w:tc>
          <w:tcPr>
            <w:tcW w:w="1798" w:type="dxa"/>
            <w:shd w:val="clear" w:color="auto" w:fill="auto"/>
            <w:hideMark/>
          </w:tcPr>
          <w:p w14:paraId="0869844C" w14:textId="77777777" w:rsidR="003244CE" w:rsidRPr="00A73A1E" w:rsidRDefault="003244CE" w:rsidP="009C40C0">
            <w:pPr>
              <w:pStyle w:val="Tabletext"/>
              <w:jc w:val="center"/>
              <w:rPr>
                <w:sz w:val="18"/>
                <w:szCs w:val="18"/>
                <w:lang w:eastAsia="ko-KR"/>
              </w:rPr>
            </w:pPr>
            <w:r w:rsidRPr="00A73A1E">
              <w:rPr>
                <w:sz w:val="18"/>
                <w:szCs w:val="18"/>
                <w:lang w:eastAsia="ja-JP"/>
              </w:rPr>
              <w:t>78</w:t>
            </w:r>
          </w:p>
        </w:tc>
        <w:tc>
          <w:tcPr>
            <w:tcW w:w="1798" w:type="dxa"/>
            <w:shd w:val="clear" w:color="auto" w:fill="auto"/>
            <w:hideMark/>
          </w:tcPr>
          <w:p w14:paraId="53050CBC" w14:textId="77777777" w:rsidR="003244CE" w:rsidRPr="00A73A1E" w:rsidRDefault="003244CE" w:rsidP="009C40C0">
            <w:pPr>
              <w:pStyle w:val="Tabletext"/>
              <w:jc w:val="center"/>
              <w:rPr>
                <w:sz w:val="18"/>
                <w:szCs w:val="18"/>
                <w:lang w:eastAsia="ko-KR"/>
              </w:rPr>
            </w:pPr>
            <w:r w:rsidRPr="00A73A1E">
              <w:rPr>
                <w:sz w:val="18"/>
                <w:szCs w:val="18"/>
                <w:lang w:eastAsia="ja-JP"/>
              </w:rPr>
              <w:t>43-71</w:t>
            </w:r>
          </w:p>
        </w:tc>
        <w:tc>
          <w:tcPr>
            <w:tcW w:w="1798" w:type="dxa"/>
            <w:shd w:val="clear" w:color="auto" w:fill="auto"/>
            <w:hideMark/>
          </w:tcPr>
          <w:p w14:paraId="03C659D3" w14:textId="77777777" w:rsidR="003244CE" w:rsidRPr="00A73A1E" w:rsidRDefault="003244CE" w:rsidP="009C40C0">
            <w:pPr>
              <w:pStyle w:val="Tabletext"/>
              <w:jc w:val="center"/>
              <w:rPr>
                <w:sz w:val="18"/>
                <w:szCs w:val="18"/>
                <w:lang w:eastAsia="ko-KR"/>
              </w:rPr>
            </w:pPr>
            <w:r w:rsidRPr="00A73A1E">
              <w:rPr>
                <w:sz w:val="18"/>
                <w:szCs w:val="18"/>
                <w:lang w:eastAsia="ja-JP"/>
              </w:rPr>
              <w:t>37-67</w:t>
            </w:r>
          </w:p>
        </w:tc>
        <w:tc>
          <w:tcPr>
            <w:tcW w:w="1904" w:type="dxa"/>
            <w:shd w:val="clear" w:color="auto" w:fill="auto"/>
            <w:hideMark/>
          </w:tcPr>
          <w:p w14:paraId="6B7098BD" w14:textId="77777777" w:rsidR="003244CE" w:rsidRPr="00A73A1E" w:rsidRDefault="003244CE" w:rsidP="009C40C0">
            <w:pPr>
              <w:pStyle w:val="Tabletext"/>
              <w:jc w:val="center"/>
              <w:rPr>
                <w:sz w:val="18"/>
                <w:szCs w:val="18"/>
                <w:lang w:eastAsia="ko-KR"/>
              </w:rPr>
            </w:pPr>
            <w:r w:rsidRPr="00A73A1E">
              <w:rPr>
                <w:sz w:val="18"/>
                <w:szCs w:val="18"/>
                <w:lang w:eastAsia="ja-JP"/>
              </w:rPr>
              <w:t>18-43</w:t>
            </w:r>
          </w:p>
        </w:tc>
      </w:tr>
    </w:tbl>
    <w:p w14:paraId="5EA13D25" w14:textId="77777777" w:rsidR="00F02281" w:rsidRDefault="00F02281">
      <w:r>
        <w:br w:type="page"/>
      </w:r>
    </w:p>
    <w:p w14:paraId="7B4BD5F2" w14:textId="23DE2EFE" w:rsidR="00F02281" w:rsidRPr="00A73A1E" w:rsidRDefault="00F02281" w:rsidP="00F02281">
      <w:pPr>
        <w:pStyle w:val="TableNo"/>
        <w:spacing w:before="0"/>
      </w:pPr>
      <w:r w:rsidRPr="00A73A1E">
        <w:lastRenderedPageBreak/>
        <w:t>TABLE 1</w:t>
      </w:r>
      <w:r>
        <w:t xml:space="preserve"> (</w:t>
      </w:r>
      <w:r w:rsidRPr="00F02281">
        <w:rPr>
          <w:i/>
          <w:iCs/>
        </w:rPr>
        <w:t>end</w:t>
      </w:r>
      <w:r>
        <w:t>)</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887"/>
        <w:gridCol w:w="1904"/>
        <w:gridCol w:w="1798"/>
        <w:gridCol w:w="1798"/>
        <w:gridCol w:w="1798"/>
        <w:gridCol w:w="1798"/>
        <w:gridCol w:w="2046"/>
      </w:tblGrid>
      <w:tr w:rsidR="00F02281" w:rsidRPr="00A73A1E" w14:paraId="79192444" w14:textId="77777777" w:rsidTr="0031214F">
        <w:trPr>
          <w:trHeight w:val="20"/>
          <w:tblHeader/>
          <w:jc w:val="center"/>
        </w:trPr>
        <w:tc>
          <w:tcPr>
            <w:tcW w:w="2887" w:type="dxa"/>
            <w:shd w:val="clear" w:color="auto" w:fill="auto"/>
            <w:vAlign w:val="center"/>
            <w:hideMark/>
          </w:tcPr>
          <w:p w14:paraId="7ECC64D1" w14:textId="77777777" w:rsidR="00F02281" w:rsidRPr="00A73A1E" w:rsidRDefault="00F02281" w:rsidP="00F1274D">
            <w:pPr>
              <w:pStyle w:val="Tablehead"/>
              <w:rPr>
                <w:sz w:val="18"/>
                <w:szCs w:val="18"/>
                <w:lang w:eastAsia="ko-KR"/>
              </w:rPr>
            </w:pPr>
            <w:r w:rsidRPr="00A73A1E">
              <w:rPr>
                <w:sz w:val="18"/>
                <w:szCs w:val="18"/>
                <w:lang w:eastAsia="ja-JP"/>
              </w:rPr>
              <w:t>Parameters</w:t>
            </w:r>
          </w:p>
        </w:tc>
        <w:tc>
          <w:tcPr>
            <w:tcW w:w="1904" w:type="dxa"/>
            <w:shd w:val="clear" w:color="auto" w:fill="auto"/>
            <w:vAlign w:val="center"/>
            <w:hideMark/>
          </w:tcPr>
          <w:p w14:paraId="0244B50B" w14:textId="77777777" w:rsidR="00F02281" w:rsidRPr="00A73A1E" w:rsidRDefault="00F02281" w:rsidP="00F1274D">
            <w:pPr>
              <w:pStyle w:val="Tablehead"/>
              <w:rPr>
                <w:sz w:val="18"/>
                <w:szCs w:val="18"/>
                <w:lang w:eastAsia="ko-KR"/>
              </w:rPr>
            </w:pPr>
            <w:r w:rsidRPr="00A73A1E">
              <w:rPr>
                <w:sz w:val="18"/>
                <w:szCs w:val="18"/>
                <w:lang w:eastAsia="ko-KR"/>
              </w:rPr>
              <w:t>Standard SAR1</w:t>
            </w:r>
          </w:p>
        </w:tc>
        <w:tc>
          <w:tcPr>
            <w:tcW w:w="1798" w:type="dxa"/>
            <w:shd w:val="clear" w:color="auto" w:fill="auto"/>
            <w:vAlign w:val="center"/>
            <w:hideMark/>
          </w:tcPr>
          <w:p w14:paraId="20E21814" w14:textId="77777777" w:rsidR="00F02281" w:rsidRPr="00A73A1E" w:rsidRDefault="00F02281" w:rsidP="00F1274D">
            <w:pPr>
              <w:pStyle w:val="Tablehead"/>
              <w:rPr>
                <w:sz w:val="18"/>
                <w:szCs w:val="18"/>
                <w:lang w:eastAsia="ko-KR"/>
              </w:rPr>
            </w:pPr>
            <w:r w:rsidRPr="00A73A1E">
              <w:rPr>
                <w:sz w:val="18"/>
                <w:szCs w:val="18"/>
                <w:lang w:eastAsia="ko-KR"/>
              </w:rPr>
              <w:t>Standard SAR2</w:t>
            </w:r>
          </w:p>
        </w:tc>
        <w:tc>
          <w:tcPr>
            <w:tcW w:w="1798" w:type="dxa"/>
            <w:shd w:val="clear" w:color="auto" w:fill="auto"/>
            <w:vAlign w:val="center"/>
            <w:hideMark/>
          </w:tcPr>
          <w:p w14:paraId="1CC269C6" w14:textId="77777777" w:rsidR="00F02281" w:rsidRPr="00A73A1E" w:rsidRDefault="00F02281" w:rsidP="00F1274D">
            <w:pPr>
              <w:pStyle w:val="Tablehead"/>
              <w:rPr>
                <w:sz w:val="18"/>
                <w:szCs w:val="18"/>
                <w:lang w:eastAsia="ko-KR"/>
              </w:rPr>
            </w:pPr>
            <w:r w:rsidRPr="00A73A1E">
              <w:rPr>
                <w:sz w:val="18"/>
                <w:szCs w:val="18"/>
                <w:lang w:eastAsia="ja-JP"/>
              </w:rPr>
              <w:t>Standard SAR3</w:t>
            </w:r>
            <w:r>
              <w:rPr>
                <w:sz w:val="18"/>
                <w:szCs w:val="18"/>
                <w:lang w:eastAsia="ja-JP"/>
              </w:rPr>
              <w:br/>
            </w:r>
            <w:r w:rsidRPr="00A73A1E">
              <w:rPr>
                <w:sz w:val="18"/>
                <w:szCs w:val="18"/>
                <w:lang w:eastAsia="ja-JP"/>
              </w:rPr>
              <w:t>[SAR-B1]</w:t>
            </w:r>
          </w:p>
        </w:tc>
        <w:tc>
          <w:tcPr>
            <w:tcW w:w="1798" w:type="dxa"/>
            <w:shd w:val="clear" w:color="auto" w:fill="auto"/>
            <w:vAlign w:val="center"/>
            <w:hideMark/>
          </w:tcPr>
          <w:p w14:paraId="69608561" w14:textId="77777777" w:rsidR="00F02281" w:rsidRPr="00A73A1E" w:rsidRDefault="00F02281" w:rsidP="00F1274D">
            <w:pPr>
              <w:pStyle w:val="Tablehead"/>
              <w:rPr>
                <w:sz w:val="18"/>
                <w:szCs w:val="18"/>
                <w:lang w:eastAsia="ko-KR"/>
              </w:rPr>
            </w:pPr>
            <w:r w:rsidRPr="00A73A1E">
              <w:rPr>
                <w:sz w:val="18"/>
                <w:szCs w:val="18"/>
                <w:lang w:eastAsia="ja-JP"/>
              </w:rPr>
              <w:t>Standard SAR4</w:t>
            </w:r>
            <w:r w:rsidRPr="00A73A1E">
              <w:rPr>
                <w:sz w:val="18"/>
                <w:szCs w:val="18"/>
                <w:lang w:eastAsia="ja-JP"/>
              </w:rPr>
              <w:br/>
              <w:t>[SAR-B2]</w:t>
            </w:r>
          </w:p>
        </w:tc>
        <w:tc>
          <w:tcPr>
            <w:tcW w:w="1798" w:type="dxa"/>
            <w:shd w:val="clear" w:color="auto" w:fill="auto"/>
            <w:vAlign w:val="center"/>
            <w:hideMark/>
          </w:tcPr>
          <w:p w14:paraId="36E9B9C6" w14:textId="77777777" w:rsidR="00F02281" w:rsidRPr="00A73A1E" w:rsidRDefault="00F02281" w:rsidP="00F1274D">
            <w:pPr>
              <w:pStyle w:val="Tablehead"/>
              <w:rPr>
                <w:sz w:val="18"/>
                <w:szCs w:val="18"/>
                <w:lang w:eastAsia="ko-KR"/>
              </w:rPr>
            </w:pPr>
            <w:r w:rsidRPr="00A73A1E">
              <w:rPr>
                <w:sz w:val="18"/>
                <w:szCs w:val="18"/>
                <w:lang w:eastAsia="ja-JP"/>
              </w:rPr>
              <w:t>Standard SAR5</w:t>
            </w:r>
            <w:r>
              <w:rPr>
                <w:sz w:val="18"/>
                <w:szCs w:val="18"/>
                <w:lang w:eastAsia="ja-JP"/>
              </w:rPr>
              <w:br/>
            </w:r>
            <w:r w:rsidRPr="00A73A1E">
              <w:rPr>
                <w:sz w:val="18"/>
                <w:szCs w:val="18"/>
                <w:lang w:eastAsia="ja-JP"/>
              </w:rPr>
              <w:t>[SAR-B2]</w:t>
            </w:r>
          </w:p>
        </w:tc>
        <w:tc>
          <w:tcPr>
            <w:tcW w:w="2046" w:type="dxa"/>
            <w:shd w:val="clear" w:color="auto" w:fill="auto"/>
            <w:vAlign w:val="center"/>
            <w:hideMark/>
          </w:tcPr>
          <w:p w14:paraId="3F88AB1C" w14:textId="77777777" w:rsidR="00F02281" w:rsidRPr="00A73A1E" w:rsidRDefault="00F02281" w:rsidP="00F1274D">
            <w:pPr>
              <w:pStyle w:val="Tablehead"/>
              <w:rPr>
                <w:sz w:val="18"/>
                <w:szCs w:val="18"/>
                <w:lang w:eastAsia="ko-KR"/>
              </w:rPr>
            </w:pPr>
            <w:r w:rsidRPr="00A73A1E">
              <w:rPr>
                <w:sz w:val="18"/>
                <w:szCs w:val="18"/>
                <w:lang w:eastAsia="ja-JP"/>
              </w:rPr>
              <w:t>Standard SAR6</w:t>
            </w:r>
            <w:r w:rsidRPr="00A73A1E">
              <w:rPr>
                <w:sz w:val="18"/>
                <w:szCs w:val="18"/>
                <w:lang w:eastAsia="ja-JP"/>
              </w:rPr>
              <w:br/>
              <w:t>[SAR-B2]</w:t>
            </w:r>
          </w:p>
        </w:tc>
      </w:tr>
      <w:tr w:rsidR="003244CE" w:rsidRPr="00A73A1E" w14:paraId="29990C2C" w14:textId="77777777" w:rsidTr="0031214F">
        <w:trPr>
          <w:trHeight w:val="20"/>
          <w:jc w:val="center"/>
        </w:trPr>
        <w:tc>
          <w:tcPr>
            <w:tcW w:w="2887" w:type="dxa"/>
            <w:shd w:val="clear" w:color="auto" w:fill="auto"/>
            <w:hideMark/>
          </w:tcPr>
          <w:p w14:paraId="7E7AB7EC" w14:textId="7F28E334" w:rsidR="003244CE" w:rsidRPr="00A73A1E" w:rsidRDefault="003244CE" w:rsidP="00F02281">
            <w:pPr>
              <w:pStyle w:val="Tabletext"/>
              <w:jc w:val="left"/>
              <w:rPr>
                <w:sz w:val="18"/>
                <w:szCs w:val="18"/>
                <w:lang w:eastAsia="ko-KR"/>
              </w:rPr>
            </w:pPr>
            <w:r w:rsidRPr="00A73A1E">
              <w:rPr>
                <w:sz w:val="18"/>
                <w:szCs w:val="18"/>
                <w:lang w:eastAsia="ko-KR"/>
              </w:rPr>
              <w:t xml:space="preserve">Pulse repetition frequency maximum </w:t>
            </w:r>
            <w:r>
              <w:rPr>
                <w:sz w:val="18"/>
                <w:szCs w:val="18"/>
                <w:lang w:eastAsia="ko-KR"/>
              </w:rPr>
              <w:t>(</w:t>
            </w:r>
            <w:r w:rsidRPr="00A73A1E">
              <w:rPr>
                <w:sz w:val="18"/>
                <w:szCs w:val="18"/>
                <w:lang w:eastAsia="ko-KR"/>
              </w:rPr>
              <w:t>Hz</w:t>
            </w:r>
            <w:r>
              <w:rPr>
                <w:sz w:val="18"/>
                <w:szCs w:val="18"/>
                <w:lang w:eastAsia="ko-KR"/>
              </w:rPr>
              <w:t>)</w:t>
            </w:r>
          </w:p>
        </w:tc>
        <w:tc>
          <w:tcPr>
            <w:tcW w:w="1904" w:type="dxa"/>
            <w:shd w:val="clear" w:color="auto" w:fill="auto"/>
            <w:hideMark/>
          </w:tcPr>
          <w:p w14:paraId="44EEE00E" w14:textId="77777777" w:rsidR="003244CE" w:rsidRPr="00A73A1E" w:rsidRDefault="003244CE" w:rsidP="009C40C0">
            <w:pPr>
              <w:pStyle w:val="Tabletext"/>
              <w:jc w:val="center"/>
              <w:rPr>
                <w:sz w:val="18"/>
                <w:szCs w:val="18"/>
                <w:lang w:eastAsia="ko-KR"/>
              </w:rPr>
            </w:pPr>
            <w:r w:rsidRPr="00A73A1E">
              <w:rPr>
                <w:sz w:val="18"/>
                <w:szCs w:val="18"/>
                <w:lang w:eastAsia="ko-KR"/>
              </w:rPr>
              <w:t>1 736</w:t>
            </w:r>
          </w:p>
        </w:tc>
        <w:tc>
          <w:tcPr>
            <w:tcW w:w="1798" w:type="dxa"/>
            <w:shd w:val="clear" w:color="auto" w:fill="auto"/>
            <w:hideMark/>
          </w:tcPr>
          <w:p w14:paraId="1B1654BA" w14:textId="77777777" w:rsidR="003244CE" w:rsidRPr="00A73A1E" w:rsidRDefault="003244CE" w:rsidP="009C40C0">
            <w:pPr>
              <w:pStyle w:val="Tabletext"/>
              <w:jc w:val="center"/>
              <w:rPr>
                <w:sz w:val="18"/>
                <w:szCs w:val="18"/>
                <w:lang w:eastAsia="ko-KR"/>
              </w:rPr>
            </w:pPr>
            <w:r w:rsidRPr="00A73A1E">
              <w:rPr>
                <w:sz w:val="18"/>
                <w:szCs w:val="18"/>
                <w:lang w:eastAsia="ko-KR"/>
              </w:rPr>
              <w:t>1 607</w:t>
            </w:r>
          </w:p>
        </w:tc>
        <w:tc>
          <w:tcPr>
            <w:tcW w:w="1798" w:type="dxa"/>
            <w:shd w:val="clear" w:color="auto" w:fill="auto"/>
            <w:hideMark/>
          </w:tcPr>
          <w:p w14:paraId="42BD1CAA" w14:textId="77777777" w:rsidR="003244CE" w:rsidRPr="00A73A1E" w:rsidRDefault="003244CE" w:rsidP="009C40C0">
            <w:pPr>
              <w:pStyle w:val="Tabletext"/>
              <w:jc w:val="center"/>
              <w:rPr>
                <w:sz w:val="18"/>
                <w:szCs w:val="18"/>
                <w:lang w:eastAsia="ko-KR"/>
              </w:rPr>
            </w:pPr>
            <w:r w:rsidRPr="00A73A1E">
              <w:rPr>
                <w:sz w:val="18"/>
                <w:szCs w:val="18"/>
                <w:lang w:eastAsia="ja-JP"/>
              </w:rPr>
              <w:t>2 400</w:t>
            </w:r>
          </w:p>
        </w:tc>
        <w:tc>
          <w:tcPr>
            <w:tcW w:w="1798" w:type="dxa"/>
            <w:shd w:val="clear" w:color="auto" w:fill="auto"/>
            <w:hideMark/>
          </w:tcPr>
          <w:p w14:paraId="6C018F54" w14:textId="77777777" w:rsidR="003244CE" w:rsidRPr="00A73A1E" w:rsidRDefault="003244CE" w:rsidP="009C40C0">
            <w:pPr>
              <w:pStyle w:val="Tabletext"/>
              <w:jc w:val="center"/>
              <w:rPr>
                <w:sz w:val="18"/>
                <w:szCs w:val="18"/>
                <w:lang w:eastAsia="ko-KR"/>
              </w:rPr>
            </w:pPr>
            <w:r w:rsidRPr="00A73A1E">
              <w:rPr>
                <w:sz w:val="18"/>
                <w:szCs w:val="18"/>
                <w:lang w:eastAsia="ja-JP"/>
              </w:rPr>
              <w:t>1 620-2 670</w:t>
            </w:r>
          </w:p>
        </w:tc>
        <w:tc>
          <w:tcPr>
            <w:tcW w:w="1798" w:type="dxa"/>
            <w:shd w:val="clear" w:color="auto" w:fill="auto"/>
            <w:hideMark/>
          </w:tcPr>
          <w:p w14:paraId="12E48719" w14:textId="77777777" w:rsidR="003244CE" w:rsidRPr="00A73A1E" w:rsidRDefault="003244CE" w:rsidP="009C40C0">
            <w:pPr>
              <w:pStyle w:val="Tabletext"/>
              <w:jc w:val="center"/>
              <w:rPr>
                <w:sz w:val="18"/>
                <w:szCs w:val="18"/>
                <w:lang w:eastAsia="ko-KR"/>
              </w:rPr>
            </w:pPr>
            <w:r w:rsidRPr="00A73A1E">
              <w:rPr>
                <w:sz w:val="18"/>
                <w:szCs w:val="18"/>
                <w:lang w:eastAsia="ja-JP"/>
              </w:rPr>
              <w:t>1 050-1 860</w:t>
            </w:r>
          </w:p>
        </w:tc>
        <w:tc>
          <w:tcPr>
            <w:tcW w:w="2046" w:type="dxa"/>
            <w:shd w:val="clear" w:color="auto" w:fill="auto"/>
            <w:hideMark/>
          </w:tcPr>
          <w:p w14:paraId="641F8E0A" w14:textId="77777777" w:rsidR="003244CE" w:rsidRPr="00A73A1E" w:rsidRDefault="003244CE" w:rsidP="009C40C0">
            <w:pPr>
              <w:pStyle w:val="Tabletext"/>
              <w:jc w:val="center"/>
              <w:rPr>
                <w:sz w:val="18"/>
                <w:szCs w:val="18"/>
                <w:lang w:eastAsia="ko-KR"/>
              </w:rPr>
            </w:pPr>
            <w:r w:rsidRPr="00A73A1E">
              <w:rPr>
                <w:sz w:val="18"/>
                <w:szCs w:val="18"/>
                <w:lang w:eastAsia="ja-JP"/>
              </w:rPr>
              <w:t>1 550-3 640</w:t>
            </w:r>
          </w:p>
        </w:tc>
      </w:tr>
      <w:tr w:rsidR="003244CE" w:rsidRPr="00A73A1E" w14:paraId="02F7FB56" w14:textId="77777777" w:rsidTr="0031214F">
        <w:trPr>
          <w:trHeight w:val="20"/>
          <w:jc w:val="center"/>
        </w:trPr>
        <w:tc>
          <w:tcPr>
            <w:tcW w:w="2887" w:type="dxa"/>
            <w:shd w:val="clear" w:color="auto" w:fill="auto"/>
            <w:hideMark/>
          </w:tcPr>
          <w:p w14:paraId="6F74B518" w14:textId="77777777" w:rsidR="003244CE" w:rsidRPr="00A73A1E" w:rsidRDefault="003244CE" w:rsidP="00F02281">
            <w:pPr>
              <w:pStyle w:val="Tabletext"/>
              <w:jc w:val="left"/>
              <w:rPr>
                <w:sz w:val="18"/>
                <w:szCs w:val="18"/>
                <w:lang w:eastAsia="ko-KR"/>
              </w:rPr>
            </w:pPr>
            <w:r w:rsidRPr="00A73A1E">
              <w:rPr>
                <w:sz w:val="18"/>
                <w:szCs w:val="18"/>
                <w:lang w:eastAsia="ja-JP"/>
              </w:rPr>
              <w:t xml:space="preserve">Transmit average power </w:t>
            </w:r>
            <w:r>
              <w:rPr>
                <w:sz w:val="18"/>
                <w:szCs w:val="18"/>
                <w:lang w:eastAsia="ja-JP"/>
              </w:rPr>
              <w:t>(</w:t>
            </w:r>
            <w:r w:rsidRPr="00A73A1E">
              <w:rPr>
                <w:sz w:val="18"/>
                <w:szCs w:val="18"/>
                <w:lang w:eastAsia="ja-JP"/>
              </w:rPr>
              <w:t>W</w:t>
            </w:r>
            <w:r>
              <w:rPr>
                <w:sz w:val="18"/>
                <w:szCs w:val="18"/>
                <w:lang w:eastAsia="ja-JP"/>
              </w:rPr>
              <w:t>)</w:t>
            </w:r>
          </w:p>
        </w:tc>
        <w:tc>
          <w:tcPr>
            <w:tcW w:w="1904" w:type="dxa"/>
            <w:shd w:val="clear" w:color="auto" w:fill="auto"/>
            <w:hideMark/>
          </w:tcPr>
          <w:p w14:paraId="6B545400" w14:textId="77777777" w:rsidR="003244CE" w:rsidRPr="00A73A1E" w:rsidRDefault="003244CE" w:rsidP="009C40C0">
            <w:pPr>
              <w:pStyle w:val="Tabletext"/>
              <w:jc w:val="center"/>
              <w:rPr>
                <w:sz w:val="18"/>
                <w:szCs w:val="18"/>
                <w:lang w:eastAsia="ko-KR"/>
              </w:rPr>
            </w:pPr>
            <w:r w:rsidRPr="00A73A1E">
              <w:rPr>
                <w:sz w:val="18"/>
                <w:szCs w:val="18"/>
                <w:lang w:eastAsia="ja-JP"/>
              </w:rPr>
              <w:t>187.8</w:t>
            </w:r>
          </w:p>
        </w:tc>
        <w:tc>
          <w:tcPr>
            <w:tcW w:w="1798" w:type="dxa"/>
            <w:shd w:val="clear" w:color="auto" w:fill="auto"/>
            <w:hideMark/>
          </w:tcPr>
          <w:p w14:paraId="1D276EA0" w14:textId="77777777" w:rsidR="003244CE" w:rsidRPr="00A73A1E" w:rsidRDefault="003244CE" w:rsidP="009C40C0">
            <w:pPr>
              <w:pStyle w:val="Tabletext"/>
              <w:jc w:val="center"/>
              <w:rPr>
                <w:sz w:val="18"/>
                <w:szCs w:val="18"/>
                <w:lang w:eastAsia="ko-KR"/>
              </w:rPr>
            </w:pPr>
            <w:r w:rsidRPr="00A73A1E">
              <w:rPr>
                <w:sz w:val="18"/>
                <w:szCs w:val="18"/>
                <w:lang w:eastAsia="ja-JP"/>
              </w:rPr>
              <w:t>67.5</w:t>
            </w:r>
          </w:p>
        </w:tc>
        <w:tc>
          <w:tcPr>
            <w:tcW w:w="1798" w:type="dxa"/>
            <w:shd w:val="clear" w:color="auto" w:fill="auto"/>
            <w:hideMark/>
          </w:tcPr>
          <w:p w14:paraId="0CCBB5E3" w14:textId="77777777" w:rsidR="003244CE" w:rsidRPr="00A73A1E" w:rsidRDefault="003244CE" w:rsidP="009C40C0">
            <w:pPr>
              <w:pStyle w:val="Tabletext"/>
              <w:jc w:val="center"/>
              <w:rPr>
                <w:sz w:val="18"/>
                <w:szCs w:val="18"/>
                <w:lang w:eastAsia="ko-KR"/>
              </w:rPr>
            </w:pPr>
            <w:r w:rsidRPr="00A73A1E">
              <w:rPr>
                <w:sz w:val="18"/>
                <w:szCs w:val="18"/>
                <w:lang w:eastAsia="ja-JP"/>
              </w:rPr>
              <w:t>598.4</w:t>
            </w:r>
          </w:p>
        </w:tc>
        <w:tc>
          <w:tcPr>
            <w:tcW w:w="1798" w:type="dxa"/>
            <w:shd w:val="clear" w:color="auto" w:fill="auto"/>
            <w:hideMark/>
          </w:tcPr>
          <w:p w14:paraId="7E0D7D0F" w14:textId="77777777" w:rsidR="003244CE" w:rsidRPr="00A73A1E" w:rsidRDefault="003244CE" w:rsidP="009C40C0">
            <w:pPr>
              <w:pStyle w:val="Tabletext"/>
              <w:jc w:val="center"/>
              <w:rPr>
                <w:sz w:val="18"/>
                <w:szCs w:val="18"/>
                <w:lang w:eastAsia="ko-KR"/>
              </w:rPr>
            </w:pPr>
            <w:r w:rsidRPr="00A73A1E">
              <w:rPr>
                <w:sz w:val="18"/>
                <w:szCs w:val="18"/>
                <w:lang w:eastAsia="ja-JP"/>
              </w:rPr>
              <w:t>454.3</w:t>
            </w:r>
          </w:p>
        </w:tc>
        <w:tc>
          <w:tcPr>
            <w:tcW w:w="1798" w:type="dxa"/>
            <w:shd w:val="clear" w:color="auto" w:fill="auto"/>
            <w:hideMark/>
          </w:tcPr>
          <w:p w14:paraId="6683A01C" w14:textId="77777777" w:rsidR="003244CE" w:rsidRPr="00A73A1E" w:rsidRDefault="003244CE" w:rsidP="009C40C0">
            <w:pPr>
              <w:pStyle w:val="Tabletext"/>
              <w:jc w:val="center"/>
              <w:rPr>
                <w:sz w:val="18"/>
                <w:szCs w:val="18"/>
                <w:lang w:eastAsia="ko-KR"/>
              </w:rPr>
            </w:pPr>
            <w:r w:rsidRPr="00A73A1E">
              <w:rPr>
                <w:sz w:val="18"/>
                <w:szCs w:val="18"/>
                <w:lang w:eastAsia="ja-JP"/>
              </w:rPr>
              <w:t>428.4</w:t>
            </w:r>
          </w:p>
        </w:tc>
        <w:tc>
          <w:tcPr>
            <w:tcW w:w="2046" w:type="dxa"/>
            <w:shd w:val="clear" w:color="auto" w:fill="auto"/>
            <w:hideMark/>
          </w:tcPr>
          <w:p w14:paraId="62A22F28" w14:textId="77777777" w:rsidR="003244CE" w:rsidRPr="00A73A1E" w:rsidRDefault="003244CE" w:rsidP="009C40C0">
            <w:pPr>
              <w:pStyle w:val="Tabletext"/>
              <w:jc w:val="center"/>
              <w:rPr>
                <w:sz w:val="18"/>
                <w:szCs w:val="18"/>
                <w:lang w:eastAsia="ko-KR"/>
              </w:rPr>
            </w:pPr>
            <w:r w:rsidRPr="00A73A1E">
              <w:rPr>
                <w:sz w:val="18"/>
                <w:szCs w:val="18"/>
                <w:lang w:eastAsia="ja-JP"/>
              </w:rPr>
              <w:t>428.4</w:t>
            </w:r>
          </w:p>
        </w:tc>
      </w:tr>
      <w:tr w:rsidR="003244CE" w:rsidRPr="00A73A1E" w14:paraId="2FE8A54B" w14:textId="77777777" w:rsidTr="0031214F">
        <w:trPr>
          <w:trHeight w:val="20"/>
          <w:jc w:val="center"/>
        </w:trPr>
        <w:tc>
          <w:tcPr>
            <w:tcW w:w="2887" w:type="dxa"/>
            <w:shd w:val="clear" w:color="auto" w:fill="auto"/>
            <w:hideMark/>
          </w:tcPr>
          <w:p w14:paraId="7E71B1A2" w14:textId="77777777" w:rsidR="003244CE" w:rsidRPr="00A73A1E" w:rsidRDefault="003244CE" w:rsidP="00F02281">
            <w:pPr>
              <w:pStyle w:val="Tabletext"/>
              <w:jc w:val="left"/>
              <w:rPr>
                <w:sz w:val="18"/>
                <w:szCs w:val="18"/>
                <w:lang w:eastAsia="ko-KR"/>
              </w:rPr>
            </w:pPr>
            <w:proofErr w:type="spellStart"/>
            <w:r w:rsidRPr="00A73A1E">
              <w:rPr>
                <w:sz w:val="18"/>
                <w:szCs w:val="18"/>
                <w:lang w:eastAsia="ja-JP"/>
              </w:rPr>
              <w:t>e.i.r.p</w:t>
            </w:r>
            <w:proofErr w:type="spellEnd"/>
            <w:r w:rsidRPr="00A73A1E">
              <w:rPr>
                <w:sz w:val="18"/>
                <w:szCs w:val="18"/>
                <w:lang w:eastAsia="ja-JP"/>
              </w:rPr>
              <w:t xml:space="preserve">. average </w:t>
            </w:r>
            <w:r>
              <w:rPr>
                <w:sz w:val="18"/>
                <w:szCs w:val="18"/>
                <w:lang w:eastAsia="ja-JP"/>
              </w:rPr>
              <w:t>(</w:t>
            </w:r>
            <w:proofErr w:type="spellStart"/>
            <w:r w:rsidRPr="00A73A1E">
              <w:rPr>
                <w:sz w:val="18"/>
                <w:szCs w:val="18"/>
                <w:lang w:eastAsia="ja-JP"/>
              </w:rPr>
              <w:t>dBW</w:t>
            </w:r>
            <w:proofErr w:type="spellEnd"/>
            <w:r>
              <w:rPr>
                <w:sz w:val="18"/>
                <w:szCs w:val="18"/>
                <w:lang w:eastAsia="ja-JP"/>
              </w:rPr>
              <w:t>)</w:t>
            </w:r>
          </w:p>
        </w:tc>
        <w:tc>
          <w:tcPr>
            <w:tcW w:w="1904" w:type="dxa"/>
            <w:shd w:val="clear" w:color="auto" w:fill="auto"/>
            <w:hideMark/>
          </w:tcPr>
          <w:p w14:paraId="6AB8982D" w14:textId="77777777" w:rsidR="003244CE" w:rsidRPr="00A73A1E" w:rsidRDefault="003244CE" w:rsidP="009C40C0">
            <w:pPr>
              <w:pStyle w:val="Tabletext"/>
              <w:jc w:val="center"/>
              <w:rPr>
                <w:sz w:val="18"/>
                <w:szCs w:val="18"/>
                <w:lang w:eastAsia="ko-KR"/>
              </w:rPr>
            </w:pPr>
            <w:r w:rsidRPr="00A73A1E">
              <w:rPr>
                <w:sz w:val="18"/>
                <w:szCs w:val="18"/>
                <w:lang w:eastAsia="ja-JP"/>
              </w:rPr>
              <w:t>59.1</w:t>
            </w:r>
          </w:p>
        </w:tc>
        <w:tc>
          <w:tcPr>
            <w:tcW w:w="1798" w:type="dxa"/>
            <w:shd w:val="clear" w:color="auto" w:fill="auto"/>
            <w:hideMark/>
          </w:tcPr>
          <w:p w14:paraId="46B2DEB9" w14:textId="77777777" w:rsidR="003244CE" w:rsidRPr="00A73A1E" w:rsidRDefault="003244CE" w:rsidP="009C40C0">
            <w:pPr>
              <w:pStyle w:val="Tabletext"/>
              <w:jc w:val="center"/>
              <w:rPr>
                <w:sz w:val="18"/>
                <w:szCs w:val="18"/>
                <w:lang w:eastAsia="ko-KR"/>
              </w:rPr>
            </w:pPr>
            <w:r w:rsidRPr="00A73A1E">
              <w:rPr>
                <w:sz w:val="18"/>
                <w:szCs w:val="18"/>
                <w:lang w:eastAsia="ja-JP"/>
              </w:rPr>
              <w:t>51.3</w:t>
            </w:r>
          </w:p>
        </w:tc>
        <w:tc>
          <w:tcPr>
            <w:tcW w:w="1798" w:type="dxa"/>
            <w:shd w:val="clear" w:color="auto" w:fill="auto"/>
            <w:hideMark/>
          </w:tcPr>
          <w:p w14:paraId="57173A05" w14:textId="77777777" w:rsidR="003244CE" w:rsidRPr="00A73A1E" w:rsidRDefault="003244CE" w:rsidP="009C40C0">
            <w:pPr>
              <w:pStyle w:val="Tabletext"/>
              <w:jc w:val="center"/>
              <w:rPr>
                <w:sz w:val="18"/>
                <w:szCs w:val="18"/>
                <w:lang w:eastAsia="ko-KR"/>
              </w:rPr>
            </w:pPr>
            <w:r w:rsidRPr="00A73A1E">
              <w:rPr>
                <w:sz w:val="18"/>
                <w:szCs w:val="18"/>
                <w:lang w:eastAsia="ja-JP"/>
              </w:rPr>
              <w:t>61.2</w:t>
            </w:r>
          </w:p>
        </w:tc>
        <w:tc>
          <w:tcPr>
            <w:tcW w:w="1798" w:type="dxa"/>
            <w:shd w:val="clear" w:color="auto" w:fill="auto"/>
            <w:hideMark/>
          </w:tcPr>
          <w:p w14:paraId="3119B15A" w14:textId="77777777" w:rsidR="003244CE" w:rsidRPr="00A73A1E" w:rsidRDefault="003244CE" w:rsidP="009C40C0">
            <w:pPr>
              <w:pStyle w:val="Tabletext"/>
              <w:jc w:val="center"/>
              <w:rPr>
                <w:sz w:val="18"/>
                <w:szCs w:val="18"/>
                <w:lang w:eastAsia="ko-KR"/>
              </w:rPr>
            </w:pPr>
            <w:r w:rsidRPr="00A73A1E">
              <w:rPr>
                <w:sz w:val="18"/>
                <w:szCs w:val="18"/>
                <w:lang w:eastAsia="ja-JP"/>
              </w:rPr>
              <w:t>61.3</w:t>
            </w:r>
          </w:p>
        </w:tc>
        <w:tc>
          <w:tcPr>
            <w:tcW w:w="1798" w:type="dxa"/>
            <w:shd w:val="clear" w:color="auto" w:fill="auto"/>
            <w:hideMark/>
          </w:tcPr>
          <w:p w14:paraId="41B593E0" w14:textId="77777777" w:rsidR="003244CE" w:rsidRPr="00A73A1E" w:rsidRDefault="003244CE" w:rsidP="009C40C0">
            <w:pPr>
              <w:pStyle w:val="Tabletext"/>
              <w:jc w:val="center"/>
              <w:rPr>
                <w:sz w:val="18"/>
                <w:szCs w:val="18"/>
                <w:lang w:eastAsia="ko-KR"/>
              </w:rPr>
            </w:pPr>
            <w:r w:rsidRPr="00A73A1E">
              <w:rPr>
                <w:sz w:val="18"/>
                <w:szCs w:val="18"/>
                <w:lang w:eastAsia="ja-JP"/>
              </w:rPr>
              <w:t>62.9</w:t>
            </w:r>
          </w:p>
        </w:tc>
        <w:tc>
          <w:tcPr>
            <w:tcW w:w="2046" w:type="dxa"/>
            <w:shd w:val="clear" w:color="auto" w:fill="auto"/>
            <w:hideMark/>
          </w:tcPr>
          <w:p w14:paraId="6DF6CB78" w14:textId="77777777" w:rsidR="003244CE" w:rsidRPr="00A73A1E" w:rsidRDefault="003244CE" w:rsidP="009C40C0">
            <w:pPr>
              <w:pStyle w:val="Tabletext"/>
              <w:jc w:val="center"/>
              <w:rPr>
                <w:sz w:val="18"/>
                <w:szCs w:val="18"/>
                <w:lang w:eastAsia="ko-KR"/>
              </w:rPr>
            </w:pPr>
            <w:r w:rsidRPr="00A73A1E">
              <w:rPr>
                <w:sz w:val="18"/>
                <w:szCs w:val="18"/>
                <w:lang w:eastAsia="ja-JP"/>
              </w:rPr>
              <w:t>62.9</w:t>
            </w:r>
          </w:p>
        </w:tc>
      </w:tr>
      <w:tr w:rsidR="003244CE" w:rsidRPr="00A73A1E" w14:paraId="4BB7E664" w14:textId="77777777" w:rsidTr="0031214F">
        <w:trPr>
          <w:trHeight w:val="20"/>
          <w:jc w:val="center"/>
        </w:trPr>
        <w:tc>
          <w:tcPr>
            <w:tcW w:w="2887" w:type="dxa"/>
            <w:shd w:val="clear" w:color="auto" w:fill="auto"/>
            <w:hideMark/>
          </w:tcPr>
          <w:p w14:paraId="0B19FAE7" w14:textId="77777777" w:rsidR="003244CE" w:rsidRPr="00A73A1E" w:rsidRDefault="003244CE" w:rsidP="00F02281">
            <w:pPr>
              <w:pStyle w:val="Tabletext"/>
              <w:jc w:val="left"/>
              <w:rPr>
                <w:sz w:val="18"/>
                <w:szCs w:val="18"/>
                <w:lang w:eastAsia="ko-KR"/>
              </w:rPr>
            </w:pPr>
            <w:r w:rsidRPr="00A73A1E">
              <w:rPr>
                <w:sz w:val="18"/>
                <w:szCs w:val="18"/>
                <w:lang w:eastAsia="ko-KR"/>
              </w:rPr>
              <w:t xml:space="preserve">Chirp rate </w:t>
            </w:r>
            <w:r>
              <w:rPr>
                <w:sz w:val="18"/>
                <w:szCs w:val="18"/>
                <w:lang w:eastAsia="ko-KR"/>
              </w:rPr>
              <w:t>(</w:t>
            </w:r>
            <w:r w:rsidRPr="00A73A1E">
              <w:rPr>
                <w:sz w:val="18"/>
                <w:szCs w:val="18"/>
                <w:lang w:eastAsia="ko-KR"/>
              </w:rPr>
              <w:t>MHz/µs</w:t>
            </w:r>
            <w:r>
              <w:rPr>
                <w:sz w:val="18"/>
                <w:szCs w:val="18"/>
                <w:lang w:eastAsia="ko-KR"/>
              </w:rPr>
              <w:t>)</w:t>
            </w:r>
          </w:p>
        </w:tc>
        <w:tc>
          <w:tcPr>
            <w:tcW w:w="1904" w:type="dxa"/>
            <w:shd w:val="clear" w:color="auto" w:fill="auto"/>
            <w:hideMark/>
          </w:tcPr>
          <w:p w14:paraId="7EBB1C6C" w14:textId="77777777" w:rsidR="003244CE" w:rsidRPr="00A73A1E" w:rsidRDefault="003244CE" w:rsidP="009C40C0">
            <w:pPr>
              <w:pStyle w:val="Tabletext"/>
              <w:jc w:val="center"/>
              <w:rPr>
                <w:sz w:val="18"/>
                <w:szCs w:val="18"/>
                <w:lang w:eastAsia="ko-KR"/>
              </w:rPr>
            </w:pPr>
          </w:p>
        </w:tc>
        <w:tc>
          <w:tcPr>
            <w:tcW w:w="1798" w:type="dxa"/>
            <w:shd w:val="clear" w:color="auto" w:fill="auto"/>
            <w:hideMark/>
          </w:tcPr>
          <w:p w14:paraId="6B3E5763" w14:textId="77777777" w:rsidR="003244CE" w:rsidRPr="00A73A1E" w:rsidRDefault="003244CE" w:rsidP="009C40C0">
            <w:pPr>
              <w:pStyle w:val="Tabletext"/>
              <w:jc w:val="center"/>
              <w:rPr>
                <w:sz w:val="18"/>
                <w:szCs w:val="18"/>
                <w:lang w:eastAsia="ko-KR"/>
              </w:rPr>
            </w:pPr>
          </w:p>
        </w:tc>
        <w:tc>
          <w:tcPr>
            <w:tcW w:w="1798" w:type="dxa"/>
            <w:shd w:val="clear" w:color="auto" w:fill="auto"/>
            <w:hideMark/>
          </w:tcPr>
          <w:p w14:paraId="51AB706B" w14:textId="77777777" w:rsidR="003244CE" w:rsidRPr="00A73A1E" w:rsidRDefault="003244CE" w:rsidP="009C40C0">
            <w:pPr>
              <w:pStyle w:val="Tabletext"/>
              <w:jc w:val="center"/>
              <w:rPr>
                <w:sz w:val="18"/>
                <w:szCs w:val="18"/>
                <w:lang w:eastAsia="ko-KR"/>
              </w:rPr>
            </w:pPr>
          </w:p>
        </w:tc>
        <w:tc>
          <w:tcPr>
            <w:tcW w:w="1798" w:type="dxa"/>
            <w:shd w:val="clear" w:color="auto" w:fill="auto"/>
            <w:hideMark/>
          </w:tcPr>
          <w:p w14:paraId="390491A9" w14:textId="77777777" w:rsidR="003244CE" w:rsidRPr="00A73A1E" w:rsidRDefault="003244CE" w:rsidP="009C40C0">
            <w:pPr>
              <w:pStyle w:val="Tabletext"/>
              <w:jc w:val="center"/>
              <w:rPr>
                <w:sz w:val="18"/>
                <w:szCs w:val="18"/>
                <w:lang w:eastAsia="ko-KR"/>
              </w:rPr>
            </w:pPr>
            <w:r w:rsidRPr="00A73A1E">
              <w:rPr>
                <w:sz w:val="18"/>
                <w:szCs w:val="18"/>
                <w:lang w:eastAsia="ko-KR"/>
              </w:rPr>
              <w:t>1.18 to 1.95</w:t>
            </w:r>
          </w:p>
        </w:tc>
        <w:tc>
          <w:tcPr>
            <w:tcW w:w="1798" w:type="dxa"/>
            <w:shd w:val="clear" w:color="auto" w:fill="auto"/>
            <w:hideMark/>
          </w:tcPr>
          <w:p w14:paraId="7F54E399" w14:textId="77777777" w:rsidR="003244CE" w:rsidRPr="00A73A1E" w:rsidRDefault="003244CE" w:rsidP="009C40C0">
            <w:pPr>
              <w:pStyle w:val="Tabletext"/>
              <w:jc w:val="center"/>
              <w:rPr>
                <w:sz w:val="18"/>
                <w:szCs w:val="18"/>
                <w:lang w:eastAsia="ko-KR"/>
              </w:rPr>
            </w:pPr>
            <w:r w:rsidRPr="00A73A1E">
              <w:rPr>
                <w:sz w:val="18"/>
                <w:szCs w:val="18"/>
                <w:lang w:eastAsia="ko-KR"/>
              </w:rPr>
              <w:t>14 MHz: 0.21 to 0.38</w:t>
            </w:r>
            <w:r w:rsidRPr="00A73A1E">
              <w:rPr>
                <w:sz w:val="18"/>
                <w:szCs w:val="18"/>
                <w:lang w:eastAsia="ko-KR"/>
              </w:rPr>
              <w:br/>
              <w:t>28 MHz: 0.42 to 0.76</w:t>
            </w:r>
          </w:p>
        </w:tc>
        <w:tc>
          <w:tcPr>
            <w:tcW w:w="2046" w:type="dxa"/>
            <w:shd w:val="clear" w:color="auto" w:fill="auto"/>
            <w:hideMark/>
          </w:tcPr>
          <w:p w14:paraId="76AC514D" w14:textId="77777777" w:rsidR="003244CE" w:rsidRPr="00A73A1E" w:rsidRDefault="003244CE" w:rsidP="009C40C0">
            <w:pPr>
              <w:pStyle w:val="Tabletext"/>
              <w:jc w:val="center"/>
              <w:rPr>
                <w:sz w:val="18"/>
                <w:szCs w:val="18"/>
                <w:lang w:eastAsia="ko-KR"/>
              </w:rPr>
            </w:pPr>
            <w:r w:rsidRPr="00A73A1E">
              <w:rPr>
                <w:sz w:val="18"/>
                <w:szCs w:val="18"/>
                <w:lang w:eastAsia="ko-KR"/>
              </w:rPr>
              <w:t>0.65 to 1.56</w:t>
            </w:r>
          </w:p>
        </w:tc>
      </w:tr>
      <w:tr w:rsidR="003244CE" w:rsidRPr="00A73A1E" w14:paraId="20B6C9F0" w14:textId="77777777" w:rsidTr="0031214F">
        <w:trPr>
          <w:trHeight w:val="20"/>
          <w:jc w:val="center"/>
        </w:trPr>
        <w:tc>
          <w:tcPr>
            <w:tcW w:w="2887" w:type="dxa"/>
            <w:shd w:val="clear" w:color="auto" w:fill="auto"/>
            <w:hideMark/>
          </w:tcPr>
          <w:p w14:paraId="690E6810" w14:textId="77777777" w:rsidR="003244CE" w:rsidRPr="00A73A1E" w:rsidRDefault="003244CE" w:rsidP="00F02281">
            <w:pPr>
              <w:pStyle w:val="Tabletext"/>
              <w:jc w:val="left"/>
              <w:rPr>
                <w:sz w:val="18"/>
                <w:szCs w:val="18"/>
                <w:lang w:eastAsia="ko-KR"/>
              </w:rPr>
            </w:pPr>
            <w:r w:rsidRPr="00A73A1E">
              <w:rPr>
                <w:sz w:val="18"/>
                <w:szCs w:val="18"/>
                <w:lang w:eastAsia="ja-JP"/>
              </w:rPr>
              <w:t xml:space="preserve">Transmit duty cycle </w:t>
            </w:r>
            <w:r>
              <w:rPr>
                <w:sz w:val="18"/>
                <w:szCs w:val="18"/>
                <w:lang w:eastAsia="ja-JP"/>
              </w:rPr>
              <w:t>(</w:t>
            </w:r>
            <w:r w:rsidRPr="00A73A1E">
              <w:rPr>
                <w:sz w:val="18"/>
                <w:szCs w:val="18"/>
                <w:lang w:eastAsia="ja-JP"/>
              </w:rPr>
              <w:t>%</w:t>
            </w:r>
            <w:r>
              <w:rPr>
                <w:sz w:val="18"/>
                <w:szCs w:val="18"/>
                <w:lang w:eastAsia="ja-JP"/>
              </w:rPr>
              <w:t>)</w:t>
            </w:r>
            <w:r w:rsidRPr="00A73A1E">
              <w:rPr>
                <w:position w:val="6"/>
                <w:sz w:val="18"/>
                <w:szCs w:val="18"/>
              </w:rPr>
              <w:footnoteReference w:id="5"/>
            </w:r>
          </w:p>
        </w:tc>
        <w:tc>
          <w:tcPr>
            <w:tcW w:w="1904" w:type="dxa"/>
            <w:shd w:val="clear" w:color="auto" w:fill="auto"/>
            <w:hideMark/>
          </w:tcPr>
          <w:p w14:paraId="68BB1091" w14:textId="77777777" w:rsidR="003244CE" w:rsidRPr="00A73A1E" w:rsidRDefault="003244CE" w:rsidP="009C40C0">
            <w:pPr>
              <w:pStyle w:val="Tabletext"/>
              <w:jc w:val="center"/>
              <w:rPr>
                <w:sz w:val="18"/>
                <w:szCs w:val="18"/>
                <w:lang w:eastAsia="ko-KR"/>
              </w:rPr>
            </w:pPr>
            <w:r w:rsidRPr="00A73A1E">
              <w:rPr>
                <w:sz w:val="18"/>
                <w:szCs w:val="18"/>
                <w:lang w:eastAsia="ko-KR"/>
              </w:rPr>
              <w:t>5.87</w:t>
            </w:r>
          </w:p>
        </w:tc>
        <w:tc>
          <w:tcPr>
            <w:tcW w:w="1798" w:type="dxa"/>
            <w:shd w:val="clear" w:color="auto" w:fill="auto"/>
            <w:hideMark/>
          </w:tcPr>
          <w:p w14:paraId="6B7773F3" w14:textId="77777777" w:rsidR="003244CE" w:rsidRPr="00A73A1E" w:rsidRDefault="003244CE" w:rsidP="009C40C0">
            <w:pPr>
              <w:pStyle w:val="Tabletext"/>
              <w:jc w:val="center"/>
              <w:rPr>
                <w:sz w:val="18"/>
                <w:szCs w:val="18"/>
                <w:lang w:eastAsia="ko-KR"/>
              </w:rPr>
            </w:pPr>
            <w:r w:rsidRPr="00A73A1E">
              <w:rPr>
                <w:sz w:val="18"/>
                <w:szCs w:val="18"/>
                <w:lang w:eastAsia="ko-KR"/>
              </w:rPr>
              <w:t>5.62</w:t>
            </w:r>
          </w:p>
        </w:tc>
        <w:tc>
          <w:tcPr>
            <w:tcW w:w="1798" w:type="dxa"/>
            <w:shd w:val="clear" w:color="auto" w:fill="auto"/>
            <w:hideMark/>
          </w:tcPr>
          <w:p w14:paraId="60A812FB" w14:textId="77777777" w:rsidR="003244CE" w:rsidRPr="00A73A1E" w:rsidRDefault="003244CE" w:rsidP="009C40C0">
            <w:pPr>
              <w:pStyle w:val="Tabletext"/>
              <w:jc w:val="center"/>
              <w:rPr>
                <w:sz w:val="18"/>
                <w:szCs w:val="18"/>
                <w:lang w:eastAsia="ko-KR"/>
              </w:rPr>
            </w:pPr>
            <w:r w:rsidRPr="00A73A1E">
              <w:rPr>
                <w:sz w:val="18"/>
                <w:szCs w:val="18"/>
                <w:lang w:eastAsia="ja-JP"/>
              </w:rPr>
              <w:t>18.7</w:t>
            </w:r>
          </w:p>
        </w:tc>
        <w:tc>
          <w:tcPr>
            <w:tcW w:w="1798" w:type="dxa"/>
            <w:shd w:val="clear" w:color="auto" w:fill="auto"/>
            <w:hideMark/>
          </w:tcPr>
          <w:p w14:paraId="2AED21FE" w14:textId="77777777" w:rsidR="003244CE" w:rsidRPr="00A73A1E" w:rsidRDefault="003244CE" w:rsidP="009C40C0">
            <w:pPr>
              <w:pStyle w:val="Tabletext"/>
              <w:jc w:val="center"/>
              <w:rPr>
                <w:sz w:val="18"/>
                <w:szCs w:val="18"/>
                <w:lang w:eastAsia="ko-KR"/>
              </w:rPr>
            </w:pPr>
            <w:r w:rsidRPr="00A73A1E">
              <w:rPr>
                <w:sz w:val="18"/>
                <w:szCs w:val="18"/>
                <w:lang w:eastAsia="ja-JP"/>
              </w:rPr>
              <w:t>11.5</w:t>
            </w:r>
          </w:p>
        </w:tc>
        <w:tc>
          <w:tcPr>
            <w:tcW w:w="1798" w:type="dxa"/>
            <w:shd w:val="clear" w:color="auto" w:fill="auto"/>
            <w:hideMark/>
          </w:tcPr>
          <w:p w14:paraId="663DDBF2" w14:textId="77777777" w:rsidR="003244CE" w:rsidRPr="00A73A1E" w:rsidRDefault="003244CE" w:rsidP="009C40C0">
            <w:pPr>
              <w:pStyle w:val="Tabletext"/>
              <w:jc w:val="center"/>
              <w:rPr>
                <w:sz w:val="18"/>
                <w:szCs w:val="18"/>
                <w:lang w:eastAsia="ko-KR"/>
              </w:rPr>
            </w:pPr>
            <w:r w:rsidRPr="00A73A1E">
              <w:rPr>
                <w:sz w:val="18"/>
                <w:szCs w:val="18"/>
                <w:lang w:eastAsia="ja-JP"/>
              </w:rPr>
              <w:t>7</w:t>
            </w:r>
          </w:p>
        </w:tc>
        <w:tc>
          <w:tcPr>
            <w:tcW w:w="2046" w:type="dxa"/>
            <w:shd w:val="clear" w:color="auto" w:fill="auto"/>
            <w:hideMark/>
          </w:tcPr>
          <w:p w14:paraId="6E2BC879" w14:textId="77777777" w:rsidR="003244CE" w:rsidRPr="00A73A1E" w:rsidRDefault="003244CE" w:rsidP="009C40C0">
            <w:pPr>
              <w:pStyle w:val="Tabletext"/>
              <w:jc w:val="center"/>
              <w:rPr>
                <w:sz w:val="18"/>
                <w:szCs w:val="18"/>
                <w:lang w:eastAsia="ko-KR"/>
              </w:rPr>
            </w:pPr>
            <w:r w:rsidRPr="00A73A1E">
              <w:rPr>
                <w:sz w:val="18"/>
                <w:szCs w:val="18"/>
                <w:lang w:eastAsia="ja-JP"/>
              </w:rPr>
              <w:t>6.8</w:t>
            </w:r>
          </w:p>
        </w:tc>
      </w:tr>
      <w:tr w:rsidR="003244CE" w:rsidRPr="00A73A1E" w14:paraId="200338B5" w14:textId="77777777" w:rsidTr="0031214F">
        <w:trPr>
          <w:trHeight w:val="20"/>
          <w:jc w:val="center"/>
        </w:trPr>
        <w:tc>
          <w:tcPr>
            <w:tcW w:w="2887" w:type="dxa"/>
            <w:shd w:val="clear" w:color="auto" w:fill="auto"/>
            <w:hideMark/>
          </w:tcPr>
          <w:p w14:paraId="1F6DB8F5" w14:textId="77777777" w:rsidR="003244CE" w:rsidRPr="00A73A1E" w:rsidRDefault="003244CE" w:rsidP="00F02281">
            <w:pPr>
              <w:pStyle w:val="Tabletext"/>
              <w:jc w:val="left"/>
              <w:rPr>
                <w:sz w:val="18"/>
                <w:szCs w:val="18"/>
                <w:lang w:eastAsia="ko-KR"/>
              </w:rPr>
            </w:pPr>
            <w:r w:rsidRPr="00A73A1E">
              <w:rPr>
                <w:sz w:val="18"/>
                <w:szCs w:val="18"/>
                <w:lang w:eastAsia="ja-JP"/>
              </w:rPr>
              <w:t xml:space="preserve">Azimuth scan rate </w:t>
            </w:r>
            <w:r>
              <w:rPr>
                <w:sz w:val="18"/>
                <w:szCs w:val="18"/>
                <w:lang w:eastAsia="ja-JP"/>
              </w:rPr>
              <w:t>(</w:t>
            </w:r>
            <w:r w:rsidRPr="00A73A1E">
              <w:rPr>
                <w:sz w:val="18"/>
                <w:szCs w:val="18"/>
                <w:lang w:eastAsia="ja-JP"/>
              </w:rPr>
              <w:t>rpm</w:t>
            </w:r>
            <w:r>
              <w:rPr>
                <w:sz w:val="18"/>
                <w:szCs w:val="18"/>
                <w:lang w:eastAsia="ja-JP"/>
              </w:rPr>
              <w:t>)</w:t>
            </w:r>
          </w:p>
        </w:tc>
        <w:tc>
          <w:tcPr>
            <w:tcW w:w="1904" w:type="dxa"/>
            <w:shd w:val="clear" w:color="auto" w:fill="auto"/>
            <w:hideMark/>
          </w:tcPr>
          <w:p w14:paraId="4F5D4E65" w14:textId="77777777" w:rsidR="003244CE" w:rsidRPr="00A73A1E" w:rsidRDefault="003244CE" w:rsidP="009C40C0">
            <w:pPr>
              <w:pStyle w:val="Tabletext"/>
              <w:jc w:val="center"/>
              <w:rPr>
                <w:sz w:val="18"/>
                <w:szCs w:val="18"/>
                <w:lang w:eastAsia="ko-KR"/>
              </w:rPr>
            </w:pPr>
            <w:r w:rsidRPr="00A73A1E">
              <w:rPr>
                <w:sz w:val="18"/>
                <w:szCs w:val="18"/>
                <w:lang w:eastAsia="ja-JP"/>
              </w:rPr>
              <w:t>0</w:t>
            </w:r>
          </w:p>
        </w:tc>
        <w:tc>
          <w:tcPr>
            <w:tcW w:w="1798" w:type="dxa"/>
            <w:shd w:val="clear" w:color="auto" w:fill="auto"/>
            <w:hideMark/>
          </w:tcPr>
          <w:p w14:paraId="499545CB" w14:textId="77777777" w:rsidR="003244CE" w:rsidRPr="00A73A1E" w:rsidRDefault="003244CE" w:rsidP="009C40C0">
            <w:pPr>
              <w:pStyle w:val="Tabletext"/>
              <w:jc w:val="center"/>
              <w:rPr>
                <w:sz w:val="18"/>
                <w:szCs w:val="18"/>
                <w:lang w:eastAsia="ko-KR"/>
              </w:rPr>
            </w:pPr>
            <w:r w:rsidRPr="00A73A1E">
              <w:rPr>
                <w:sz w:val="18"/>
                <w:szCs w:val="18"/>
                <w:lang w:eastAsia="ko-KR"/>
              </w:rPr>
              <w:t>0</w:t>
            </w:r>
          </w:p>
        </w:tc>
        <w:tc>
          <w:tcPr>
            <w:tcW w:w="1798" w:type="dxa"/>
            <w:shd w:val="clear" w:color="auto" w:fill="auto"/>
            <w:hideMark/>
          </w:tcPr>
          <w:p w14:paraId="7EA3530F" w14:textId="77777777" w:rsidR="003244CE" w:rsidRPr="00A73A1E" w:rsidRDefault="003244CE" w:rsidP="009C40C0">
            <w:pPr>
              <w:pStyle w:val="Tabletext"/>
              <w:jc w:val="center"/>
              <w:rPr>
                <w:sz w:val="18"/>
                <w:szCs w:val="18"/>
                <w:lang w:eastAsia="ko-KR"/>
              </w:rPr>
            </w:pPr>
            <w:r w:rsidRPr="00A73A1E">
              <w:rPr>
                <w:sz w:val="18"/>
                <w:szCs w:val="18"/>
                <w:lang w:eastAsia="ja-JP"/>
              </w:rPr>
              <w:t>0</w:t>
            </w:r>
          </w:p>
        </w:tc>
        <w:tc>
          <w:tcPr>
            <w:tcW w:w="1798" w:type="dxa"/>
            <w:shd w:val="clear" w:color="auto" w:fill="auto"/>
            <w:hideMark/>
          </w:tcPr>
          <w:p w14:paraId="5AB6703E" w14:textId="77777777" w:rsidR="003244CE" w:rsidRPr="00A73A1E" w:rsidRDefault="003244CE" w:rsidP="009C40C0">
            <w:pPr>
              <w:pStyle w:val="Tabletext"/>
              <w:jc w:val="center"/>
              <w:rPr>
                <w:sz w:val="18"/>
                <w:szCs w:val="18"/>
                <w:lang w:eastAsia="ko-KR"/>
              </w:rPr>
            </w:pPr>
            <w:r w:rsidRPr="00A73A1E">
              <w:rPr>
                <w:sz w:val="18"/>
                <w:szCs w:val="18"/>
                <w:lang w:eastAsia="ja-JP"/>
              </w:rPr>
              <w:t>0</w:t>
            </w:r>
          </w:p>
        </w:tc>
        <w:tc>
          <w:tcPr>
            <w:tcW w:w="1798" w:type="dxa"/>
            <w:shd w:val="clear" w:color="auto" w:fill="auto"/>
            <w:hideMark/>
          </w:tcPr>
          <w:p w14:paraId="23FCD5DD" w14:textId="77777777" w:rsidR="003244CE" w:rsidRPr="00A73A1E" w:rsidRDefault="003244CE" w:rsidP="009C40C0">
            <w:pPr>
              <w:pStyle w:val="Tabletext"/>
              <w:jc w:val="center"/>
              <w:rPr>
                <w:sz w:val="18"/>
                <w:szCs w:val="18"/>
                <w:lang w:eastAsia="ko-KR"/>
              </w:rPr>
            </w:pPr>
            <w:r w:rsidRPr="00A73A1E">
              <w:rPr>
                <w:sz w:val="18"/>
                <w:szCs w:val="18"/>
                <w:lang w:eastAsia="ja-JP"/>
              </w:rPr>
              <w:t>0</w:t>
            </w:r>
          </w:p>
        </w:tc>
        <w:tc>
          <w:tcPr>
            <w:tcW w:w="2046" w:type="dxa"/>
            <w:shd w:val="clear" w:color="auto" w:fill="auto"/>
            <w:hideMark/>
          </w:tcPr>
          <w:p w14:paraId="35A542DF" w14:textId="77777777" w:rsidR="003244CE" w:rsidRPr="00A73A1E" w:rsidRDefault="003244CE" w:rsidP="009C40C0">
            <w:pPr>
              <w:pStyle w:val="Tabletext"/>
              <w:jc w:val="center"/>
              <w:rPr>
                <w:sz w:val="18"/>
                <w:szCs w:val="18"/>
                <w:lang w:eastAsia="ko-KR"/>
              </w:rPr>
            </w:pPr>
            <w:r w:rsidRPr="00A73A1E">
              <w:rPr>
                <w:sz w:val="18"/>
                <w:szCs w:val="18"/>
                <w:lang w:eastAsia="ja-JP"/>
              </w:rPr>
              <w:t>0</w:t>
            </w:r>
          </w:p>
        </w:tc>
      </w:tr>
      <w:tr w:rsidR="003244CE" w:rsidRPr="00A73A1E" w14:paraId="4271F04F" w14:textId="77777777" w:rsidTr="0031214F">
        <w:trPr>
          <w:trHeight w:val="20"/>
          <w:jc w:val="center"/>
        </w:trPr>
        <w:tc>
          <w:tcPr>
            <w:tcW w:w="2887" w:type="dxa"/>
            <w:shd w:val="clear" w:color="auto" w:fill="auto"/>
            <w:hideMark/>
          </w:tcPr>
          <w:p w14:paraId="36A34D79" w14:textId="77777777" w:rsidR="003244CE" w:rsidRPr="00A73A1E" w:rsidRDefault="003244CE" w:rsidP="00F02281">
            <w:pPr>
              <w:pStyle w:val="Tabletext"/>
              <w:jc w:val="left"/>
              <w:rPr>
                <w:sz w:val="18"/>
                <w:szCs w:val="18"/>
                <w:lang w:eastAsia="ko-KR"/>
              </w:rPr>
            </w:pPr>
            <w:r w:rsidRPr="00A73A1E">
              <w:rPr>
                <w:sz w:val="18"/>
                <w:szCs w:val="18"/>
                <w:lang w:eastAsia="ja-JP"/>
              </w:rPr>
              <w:t xml:space="preserve">Antenna </w:t>
            </w:r>
            <w:proofErr w:type="gramStart"/>
            <w:r w:rsidRPr="00A73A1E">
              <w:rPr>
                <w:sz w:val="18"/>
                <w:szCs w:val="18"/>
                <w:lang w:eastAsia="ja-JP"/>
              </w:rPr>
              <w:t>beam</w:t>
            </w:r>
            <w:proofErr w:type="gramEnd"/>
            <w:r w:rsidRPr="00A73A1E">
              <w:rPr>
                <w:sz w:val="18"/>
                <w:szCs w:val="18"/>
                <w:lang w:eastAsia="ja-JP"/>
              </w:rPr>
              <w:t xml:space="preserve"> transmit look angle </w:t>
            </w:r>
            <w:r>
              <w:rPr>
                <w:sz w:val="18"/>
                <w:szCs w:val="18"/>
                <w:lang w:eastAsia="ja-JP"/>
              </w:rPr>
              <w:t>(</w:t>
            </w:r>
            <w:r w:rsidRPr="00A73A1E">
              <w:rPr>
                <w:sz w:val="18"/>
                <w:szCs w:val="18"/>
                <w:lang w:eastAsia="ja-JP"/>
              </w:rPr>
              <w:t>degrees</w:t>
            </w:r>
            <w:r>
              <w:rPr>
                <w:sz w:val="18"/>
                <w:szCs w:val="18"/>
                <w:lang w:eastAsia="ja-JP"/>
              </w:rPr>
              <w:t>)</w:t>
            </w:r>
          </w:p>
        </w:tc>
        <w:tc>
          <w:tcPr>
            <w:tcW w:w="1904" w:type="dxa"/>
            <w:shd w:val="clear" w:color="auto" w:fill="auto"/>
            <w:hideMark/>
          </w:tcPr>
          <w:p w14:paraId="31DFED01" w14:textId="77777777" w:rsidR="003244CE" w:rsidRPr="00A73A1E" w:rsidRDefault="003244CE" w:rsidP="009C40C0">
            <w:pPr>
              <w:pStyle w:val="Tabletext"/>
              <w:jc w:val="center"/>
              <w:rPr>
                <w:sz w:val="18"/>
                <w:szCs w:val="18"/>
                <w:lang w:eastAsia="ko-KR"/>
              </w:rPr>
            </w:pPr>
            <w:r w:rsidRPr="00A73A1E">
              <w:rPr>
                <w:sz w:val="18"/>
                <w:szCs w:val="18"/>
                <w:lang w:eastAsia="ja-JP"/>
              </w:rPr>
              <w:t>20-55</w:t>
            </w:r>
          </w:p>
        </w:tc>
        <w:tc>
          <w:tcPr>
            <w:tcW w:w="1798" w:type="dxa"/>
            <w:shd w:val="clear" w:color="auto" w:fill="auto"/>
            <w:hideMark/>
          </w:tcPr>
          <w:p w14:paraId="7694153A" w14:textId="77777777" w:rsidR="003244CE" w:rsidRPr="00A73A1E" w:rsidRDefault="003244CE" w:rsidP="009C40C0">
            <w:pPr>
              <w:pStyle w:val="Tabletext"/>
              <w:jc w:val="center"/>
              <w:rPr>
                <w:sz w:val="18"/>
                <w:szCs w:val="18"/>
                <w:lang w:eastAsia="ko-KR"/>
              </w:rPr>
            </w:pPr>
            <w:r w:rsidRPr="00A73A1E">
              <w:rPr>
                <w:sz w:val="18"/>
                <w:szCs w:val="18"/>
                <w:lang w:eastAsia="ja-JP"/>
              </w:rPr>
              <w:t>35</w:t>
            </w:r>
          </w:p>
        </w:tc>
        <w:tc>
          <w:tcPr>
            <w:tcW w:w="1798" w:type="dxa"/>
            <w:shd w:val="clear" w:color="auto" w:fill="auto"/>
            <w:hideMark/>
          </w:tcPr>
          <w:p w14:paraId="29FF586B" w14:textId="77777777" w:rsidR="003244CE" w:rsidRPr="00A73A1E" w:rsidRDefault="003244CE" w:rsidP="009C40C0">
            <w:pPr>
              <w:pStyle w:val="Tabletext"/>
              <w:jc w:val="center"/>
              <w:rPr>
                <w:sz w:val="18"/>
                <w:szCs w:val="18"/>
                <w:lang w:eastAsia="ko-KR"/>
              </w:rPr>
            </w:pPr>
            <w:r w:rsidRPr="00A73A1E">
              <w:rPr>
                <w:sz w:val="18"/>
                <w:szCs w:val="18"/>
                <w:lang w:eastAsia="ja-JP"/>
              </w:rPr>
              <w:t>30</w:t>
            </w:r>
          </w:p>
        </w:tc>
        <w:tc>
          <w:tcPr>
            <w:tcW w:w="1798" w:type="dxa"/>
            <w:shd w:val="clear" w:color="auto" w:fill="auto"/>
            <w:hideMark/>
          </w:tcPr>
          <w:p w14:paraId="43EFCE92" w14:textId="77777777" w:rsidR="003244CE" w:rsidRPr="00A73A1E" w:rsidRDefault="003244CE" w:rsidP="009C40C0">
            <w:pPr>
              <w:pStyle w:val="Tabletext"/>
              <w:jc w:val="center"/>
              <w:rPr>
                <w:sz w:val="18"/>
                <w:szCs w:val="18"/>
                <w:lang w:eastAsia="ko-KR"/>
              </w:rPr>
            </w:pPr>
            <w:r w:rsidRPr="00A73A1E">
              <w:rPr>
                <w:sz w:val="18"/>
                <w:szCs w:val="18"/>
                <w:lang w:eastAsia="ja-JP"/>
              </w:rPr>
              <w:t>7.2 to 59</w:t>
            </w:r>
          </w:p>
        </w:tc>
        <w:tc>
          <w:tcPr>
            <w:tcW w:w="1798" w:type="dxa"/>
            <w:shd w:val="clear" w:color="auto" w:fill="auto"/>
            <w:hideMark/>
          </w:tcPr>
          <w:p w14:paraId="61D49EBD" w14:textId="77777777" w:rsidR="003244CE" w:rsidRPr="00A73A1E" w:rsidRDefault="003244CE" w:rsidP="009C40C0">
            <w:pPr>
              <w:pStyle w:val="Tabletext"/>
              <w:jc w:val="center"/>
              <w:rPr>
                <w:sz w:val="18"/>
                <w:szCs w:val="18"/>
                <w:lang w:eastAsia="ko-KR"/>
              </w:rPr>
            </w:pPr>
            <w:r w:rsidRPr="00A73A1E">
              <w:rPr>
                <w:sz w:val="18"/>
                <w:szCs w:val="18"/>
                <w:lang w:eastAsia="ja-JP"/>
              </w:rPr>
              <w:t>7.2 to 59</w:t>
            </w:r>
          </w:p>
        </w:tc>
        <w:tc>
          <w:tcPr>
            <w:tcW w:w="2046" w:type="dxa"/>
            <w:shd w:val="clear" w:color="auto" w:fill="auto"/>
            <w:hideMark/>
          </w:tcPr>
          <w:p w14:paraId="34DAA17C" w14:textId="77777777" w:rsidR="003244CE" w:rsidRPr="00A73A1E" w:rsidRDefault="003244CE" w:rsidP="009C40C0">
            <w:pPr>
              <w:pStyle w:val="Tabletext"/>
              <w:jc w:val="center"/>
              <w:rPr>
                <w:sz w:val="18"/>
                <w:szCs w:val="18"/>
                <w:lang w:eastAsia="ko-KR"/>
              </w:rPr>
            </w:pPr>
            <w:r w:rsidRPr="00A73A1E">
              <w:rPr>
                <w:sz w:val="18"/>
                <w:szCs w:val="18"/>
                <w:lang w:eastAsia="ja-JP"/>
              </w:rPr>
              <w:t>7.2 to 59</w:t>
            </w:r>
          </w:p>
        </w:tc>
      </w:tr>
      <w:tr w:rsidR="003244CE" w:rsidRPr="00A73A1E" w14:paraId="6B3F2DDE" w14:textId="77777777" w:rsidTr="0031214F">
        <w:trPr>
          <w:trHeight w:val="20"/>
          <w:jc w:val="center"/>
        </w:trPr>
        <w:tc>
          <w:tcPr>
            <w:tcW w:w="2887" w:type="dxa"/>
            <w:shd w:val="clear" w:color="auto" w:fill="auto"/>
            <w:hideMark/>
          </w:tcPr>
          <w:p w14:paraId="281CCD82" w14:textId="77777777" w:rsidR="003244CE" w:rsidRPr="00A73A1E" w:rsidRDefault="003244CE" w:rsidP="00F02281">
            <w:pPr>
              <w:pStyle w:val="Tabletext"/>
              <w:jc w:val="left"/>
              <w:rPr>
                <w:sz w:val="18"/>
                <w:szCs w:val="18"/>
                <w:lang w:eastAsia="ko-KR"/>
              </w:rPr>
            </w:pPr>
            <w:r w:rsidRPr="00A73A1E">
              <w:rPr>
                <w:sz w:val="18"/>
                <w:szCs w:val="18"/>
                <w:lang w:eastAsia="ko-KR"/>
              </w:rPr>
              <w:t xml:space="preserve">Antenna </w:t>
            </w:r>
            <w:proofErr w:type="gramStart"/>
            <w:r w:rsidRPr="00A73A1E">
              <w:rPr>
                <w:sz w:val="18"/>
                <w:szCs w:val="18"/>
                <w:lang w:eastAsia="ko-KR"/>
              </w:rPr>
              <w:t>beam</w:t>
            </w:r>
            <w:proofErr w:type="gramEnd"/>
            <w:r w:rsidRPr="00A73A1E">
              <w:rPr>
                <w:sz w:val="18"/>
                <w:szCs w:val="18"/>
                <w:lang w:eastAsia="ko-KR"/>
              </w:rPr>
              <w:t xml:space="preserve"> transmit azimuth angle </w:t>
            </w:r>
            <w:r>
              <w:rPr>
                <w:sz w:val="18"/>
                <w:szCs w:val="18"/>
                <w:lang w:eastAsia="ko-KR"/>
              </w:rPr>
              <w:t>(</w:t>
            </w:r>
            <w:r w:rsidRPr="00A73A1E">
              <w:rPr>
                <w:sz w:val="18"/>
                <w:szCs w:val="18"/>
                <w:lang w:eastAsia="ko-KR"/>
              </w:rPr>
              <w:t>degrees</w:t>
            </w:r>
            <w:r>
              <w:rPr>
                <w:sz w:val="18"/>
                <w:szCs w:val="18"/>
                <w:lang w:eastAsia="ko-KR"/>
              </w:rPr>
              <w:t>)</w:t>
            </w:r>
          </w:p>
        </w:tc>
        <w:tc>
          <w:tcPr>
            <w:tcW w:w="1904" w:type="dxa"/>
            <w:shd w:val="clear" w:color="auto" w:fill="auto"/>
            <w:hideMark/>
          </w:tcPr>
          <w:p w14:paraId="7404C0A7" w14:textId="77777777" w:rsidR="003244CE" w:rsidRPr="00A73A1E" w:rsidRDefault="003244CE" w:rsidP="009C40C0">
            <w:pPr>
              <w:pStyle w:val="Tabletext"/>
              <w:jc w:val="center"/>
              <w:rPr>
                <w:sz w:val="18"/>
                <w:szCs w:val="18"/>
                <w:lang w:eastAsia="ko-KR"/>
              </w:rPr>
            </w:pPr>
            <w:r w:rsidRPr="00A73A1E">
              <w:rPr>
                <w:sz w:val="18"/>
                <w:szCs w:val="18"/>
                <w:lang w:eastAsia="ko-KR"/>
              </w:rPr>
              <w:t>0</w:t>
            </w:r>
          </w:p>
        </w:tc>
        <w:tc>
          <w:tcPr>
            <w:tcW w:w="1798" w:type="dxa"/>
            <w:shd w:val="clear" w:color="auto" w:fill="auto"/>
            <w:hideMark/>
          </w:tcPr>
          <w:p w14:paraId="755FAAFE" w14:textId="77777777" w:rsidR="003244CE" w:rsidRPr="00A73A1E" w:rsidRDefault="003244CE" w:rsidP="009C40C0">
            <w:pPr>
              <w:pStyle w:val="Tabletext"/>
              <w:jc w:val="center"/>
              <w:rPr>
                <w:sz w:val="18"/>
                <w:szCs w:val="18"/>
                <w:lang w:eastAsia="ko-KR"/>
              </w:rPr>
            </w:pPr>
            <w:r w:rsidRPr="00A73A1E">
              <w:rPr>
                <w:sz w:val="18"/>
                <w:szCs w:val="18"/>
                <w:lang w:eastAsia="ko-KR"/>
              </w:rPr>
              <w:t>0</w:t>
            </w:r>
          </w:p>
        </w:tc>
        <w:tc>
          <w:tcPr>
            <w:tcW w:w="1798" w:type="dxa"/>
            <w:shd w:val="clear" w:color="auto" w:fill="auto"/>
            <w:hideMark/>
          </w:tcPr>
          <w:p w14:paraId="722FDADD" w14:textId="77777777" w:rsidR="003244CE" w:rsidRPr="00A73A1E" w:rsidRDefault="003244CE" w:rsidP="009C40C0">
            <w:pPr>
              <w:pStyle w:val="Tabletext"/>
              <w:jc w:val="center"/>
              <w:rPr>
                <w:sz w:val="18"/>
                <w:szCs w:val="18"/>
                <w:lang w:eastAsia="ko-KR"/>
              </w:rPr>
            </w:pPr>
            <w:r w:rsidRPr="00A73A1E">
              <w:rPr>
                <w:sz w:val="18"/>
                <w:szCs w:val="18"/>
                <w:lang w:eastAsia="ja-JP"/>
              </w:rPr>
              <w:t>0</w:t>
            </w:r>
          </w:p>
        </w:tc>
        <w:tc>
          <w:tcPr>
            <w:tcW w:w="1798" w:type="dxa"/>
            <w:shd w:val="clear" w:color="auto" w:fill="auto"/>
            <w:hideMark/>
          </w:tcPr>
          <w:p w14:paraId="30EC5595" w14:textId="77777777" w:rsidR="003244CE" w:rsidRPr="00A73A1E" w:rsidRDefault="003244CE" w:rsidP="009C40C0">
            <w:pPr>
              <w:pStyle w:val="Tabletext"/>
              <w:jc w:val="center"/>
              <w:rPr>
                <w:sz w:val="18"/>
                <w:szCs w:val="18"/>
                <w:lang w:eastAsia="ko-KR"/>
              </w:rPr>
            </w:pPr>
            <w:r w:rsidRPr="00A73A1E">
              <w:rPr>
                <w:rFonts w:eastAsia="Helvetica"/>
                <w:sz w:val="18"/>
                <w:szCs w:val="18"/>
                <w:lang w:eastAsia="ja-JP"/>
              </w:rPr>
              <w:t>±3.5</w:t>
            </w:r>
          </w:p>
        </w:tc>
        <w:tc>
          <w:tcPr>
            <w:tcW w:w="1798" w:type="dxa"/>
            <w:shd w:val="clear" w:color="auto" w:fill="auto"/>
            <w:hideMark/>
          </w:tcPr>
          <w:p w14:paraId="759C145C" w14:textId="77777777" w:rsidR="003244CE" w:rsidRPr="00A73A1E" w:rsidRDefault="003244CE" w:rsidP="009C40C0">
            <w:pPr>
              <w:pStyle w:val="Tabletext"/>
              <w:jc w:val="center"/>
              <w:rPr>
                <w:sz w:val="18"/>
                <w:szCs w:val="18"/>
                <w:lang w:eastAsia="ko-KR"/>
              </w:rPr>
            </w:pPr>
            <w:r w:rsidRPr="00A73A1E">
              <w:rPr>
                <w:sz w:val="18"/>
                <w:szCs w:val="18"/>
                <w:lang w:eastAsia="ja-JP"/>
              </w:rPr>
              <w:t>0</w:t>
            </w:r>
          </w:p>
        </w:tc>
        <w:tc>
          <w:tcPr>
            <w:tcW w:w="2046" w:type="dxa"/>
            <w:shd w:val="clear" w:color="auto" w:fill="auto"/>
            <w:hideMark/>
          </w:tcPr>
          <w:p w14:paraId="7FC60873" w14:textId="77777777" w:rsidR="003244CE" w:rsidRPr="00A73A1E" w:rsidRDefault="003244CE" w:rsidP="009C40C0">
            <w:pPr>
              <w:pStyle w:val="Tabletext"/>
              <w:jc w:val="center"/>
              <w:rPr>
                <w:sz w:val="18"/>
                <w:szCs w:val="18"/>
                <w:lang w:eastAsia="ko-KR"/>
              </w:rPr>
            </w:pPr>
            <w:r w:rsidRPr="00A73A1E">
              <w:rPr>
                <w:sz w:val="18"/>
                <w:szCs w:val="18"/>
                <w:lang w:eastAsia="ja-JP"/>
              </w:rPr>
              <w:t>0</w:t>
            </w:r>
          </w:p>
        </w:tc>
      </w:tr>
      <w:tr w:rsidR="003244CE" w:rsidRPr="00A73A1E" w14:paraId="1B16DB8C" w14:textId="77777777" w:rsidTr="0031214F">
        <w:trPr>
          <w:trHeight w:val="20"/>
          <w:jc w:val="center"/>
        </w:trPr>
        <w:tc>
          <w:tcPr>
            <w:tcW w:w="2887" w:type="dxa"/>
            <w:shd w:val="clear" w:color="auto" w:fill="auto"/>
            <w:hideMark/>
          </w:tcPr>
          <w:p w14:paraId="71CF94DB" w14:textId="77777777" w:rsidR="003244CE" w:rsidRPr="00A73A1E" w:rsidRDefault="003244CE" w:rsidP="009C40C0">
            <w:pPr>
              <w:pStyle w:val="Tabletext"/>
              <w:rPr>
                <w:sz w:val="18"/>
                <w:szCs w:val="18"/>
                <w:lang w:eastAsia="ko-KR"/>
              </w:rPr>
            </w:pPr>
            <w:r w:rsidRPr="00A73A1E">
              <w:rPr>
                <w:sz w:val="18"/>
                <w:szCs w:val="18"/>
                <w:lang w:eastAsia="ja-JP"/>
              </w:rPr>
              <w:t>NOTE</w:t>
            </w:r>
          </w:p>
        </w:tc>
        <w:tc>
          <w:tcPr>
            <w:tcW w:w="1904" w:type="dxa"/>
            <w:shd w:val="clear" w:color="auto" w:fill="auto"/>
            <w:hideMark/>
          </w:tcPr>
          <w:p w14:paraId="438E9576" w14:textId="77777777" w:rsidR="003244CE" w:rsidRPr="00A73A1E" w:rsidRDefault="003244CE" w:rsidP="009C40C0">
            <w:pPr>
              <w:pStyle w:val="Tabletext"/>
              <w:jc w:val="center"/>
              <w:rPr>
                <w:sz w:val="18"/>
                <w:szCs w:val="18"/>
                <w:lang w:eastAsia="ko-KR"/>
              </w:rPr>
            </w:pPr>
            <w:r w:rsidRPr="00A73A1E">
              <w:rPr>
                <w:sz w:val="18"/>
                <w:szCs w:val="18"/>
                <w:lang w:eastAsia="ja-JP"/>
              </w:rPr>
              <w:t>Transmits beam orthogonal to flight path (</w:t>
            </w:r>
            <w:proofErr w:type="spellStart"/>
            <w:r w:rsidRPr="00A73A1E">
              <w:rPr>
                <w:sz w:val="18"/>
                <w:szCs w:val="18"/>
                <w:lang w:eastAsia="ja-JP"/>
              </w:rPr>
              <w:t>az</w:t>
            </w:r>
            <w:proofErr w:type="spellEnd"/>
            <w:r w:rsidRPr="00A73A1E">
              <w:rPr>
                <w:sz w:val="18"/>
                <w:szCs w:val="18"/>
                <w:lang w:eastAsia="ja-JP"/>
              </w:rPr>
              <w:t xml:space="preserve"> angle of 0 degrees) at selectable look angle 20 to 55 degrees</w:t>
            </w:r>
          </w:p>
        </w:tc>
        <w:tc>
          <w:tcPr>
            <w:tcW w:w="1798" w:type="dxa"/>
            <w:shd w:val="clear" w:color="auto" w:fill="auto"/>
            <w:hideMark/>
          </w:tcPr>
          <w:p w14:paraId="5008AC1A" w14:textId="77777777" w:rsidR="003244CE" w:rsidRPr="00A73A1E" w:rsidRDefault="003244CE" w:rsidP="009C40C0">
            <w:pPr>
              <w:pStyle w:val="Tabletext"/>
              <w:jc w:val="center"/>
              <w:rPr>
                <w:sz w:val="18"/>
                <w:szCs w:val="18"/>
                <w:lang w:eastAsia="ko-KR"/>
              </w:rPr>
            </w:pPr>
            <w:r w:rsidRPr="00A73A1E">
              <w:rPr>
                <w:sz w:val="18"/>
                <w:szCs w:val="18"/>
                <w:lang w:eastAsia="ja-JP"/>
              </w:rPr>
              <w:t>Transmits beam orthogonal to flight path (</w:t>
            </w:r>
            <w:proofErr w:type="spellStart"/>
            <w:r w:rsidRPr="00A73A1E">
              <w:rPr>
                <w:sz w:val="18"/>
                <w:szCs w:val="18"/>
                <w:lang w:eastAsia="ja-JP"/>
              </w:rPr>
              <w:t>az</w:t>
            </w:r>
            <w:proofErr w:type="spellEnd"/>
            <w:r w:rsidRPr="00A73A1E">
              <w:rPr>
                <w:sz w:val="18"/>
                <w:szCs w:val="18"/>
                <w:lang w:eastAsia="ja-JP"/>
              </w:rPr>
              <w:t> angle of 0 degrees) at fixed look angle 35 degrees</w:t>
            </w:r>
          </w:p>
        </w:tc>
        <w:tc>
          <w:tcPr>
            <w:tcW w:w="1798" w:type="dxa"/>
            <w:shd w:val="clear" w:color="auto" w:fill="auto"/>
            <w:hideMark/>
          </w:tcPr>
          <w:p w14:paraId="77BF5249" w14:textId="77777777" w:rsidR="003244CE" w:rsidRPr="00A73A1E" w:rsidRDefault="003244CE" w:rsidP="009C40C0">
            <w:pPr>
              <w:pStyle w:val="Tabletext"/>
              <w:jc w:val="center"/>
              <w:rPr>
                <w:sz w:val="18"/>
                <w:szCs w:val="18"/>
                <w:lang w:eastAsia="ko-KR"/>
              </w:rPr>
            </w:pPr>
            <w:r w:rsidRPr="00A73A1E">
              <w:rPr>
                <w:sz w:val="18"/>
                <w:szCs w:val="18"/>
                <w:lang w:eastAsia="ja-JP"/>
              </w:rPr>
              <w:t>Transmits wide beam in elevation, receives with multiple narrow beams in elevation during receive interval.</w:t>
            </w:r>
          </w:p>
        </w:tc>
        <w:tc>
          <w:tcPr>
            <w:tcW w:w="1798" w:type="dxa"/>
            <w:shd w:val="clear" w:color="auto" w:fill="auto"/>
            <w:hideMark/>
          </w:tcPr>
          <w:p w14:paraId="01C4A97E" w14:textId="77777777" w:rsidR="003244CE" w:rsidRPr="00A73A1E" w:rsidRDefault="003244CE" w:rsidP="009C40C0">
            <w:pPr>
              <w:pStyle w:val="Tabletext"/>
              <w:jc w:val="center"/>
              <w:rPr>
                <w:sz w:val="18"/>
                <w:szCs w:val="18"/>
                <w:lang w:eastAsia="ko-KR"/>
              </w:rPr>
            </w:pPr>
            <w:r w:rsidRPr="00A73A1E">
              <w:rPr>
                <w:sz w:val="18"/>
                <w:szCs w:val="18"/>
                <w:lang w:eastAsia="ja-JP"/>
              </w:rPr>
              <w:t xml:space="preserve">Transmits beam orthogonal to flight path (azimuth angle of </w:t>
            </w:r>
            <w:r w:rsidRPr="00A73A1E">
              <w:rPr>
                <w:rFonts w:eastAsia="Helvetica"/>
                <w:sz w:val="18"/>
                <w:szCs w:val="18"/>
                <w:lang w:eastAsia="ja-JP"/>
              </w:rPr>
              <w:t>±3.5 degrees for spotlight SAR observation) at selectable look angle 7.2</w:t>
            </w:r>
            <w:r w:rsidRPr="00A73A1E">
              <w:rPr>
                <w:sz w:val="18"/>
                <w:szCs w:val="18"/>
                <w:lang w:eastAsia="ja-JP"/>
              </w:rPr>
              <w:t xml:space="preserve"> to 59 degrees</w:t>
            </w:r>
          </w:p>
        </w:tc>
        <w:tc>
          <w:tcPr>
            <w:tcW w:w="1798" w:type="dxa"/>
            <w:shd w:val="clear" w:color="auto" w:fill="auto"/>
            <w:hideMark/>
          </w:tcPr>
          <w:p w14:paraId="70A6FAB2" w14:textId="77777777" w:rsidR="003244CE" w:rsidRPr="00A73A1E" w:rsidRDefault="003244CE" w:rsidP="009C40C0">
            <w:pPr>
              <w:pStyle w:val="Tabletext"/>
              <w:jc w:val="center"/>
              <w:rPr>
                <w:sz w:val="18"/>
                <w:szCs w:val="18"/>
                <w:lang w:eastAsia="ko-KR"/>
              </w:rPr>
            </w:pPr>
            <w:r w:rsidRPr="00A73A1E">
              <w:rPr>
                <w:sz w:val="18"/>
                <w:szCs w:val="18"/>
                <w:lang w:eastAsia="ja-JP"/>
              </w:rPr>
              <w:t xml:space="preserve">Transmits beam orthogonal to flight path (azimuth angle of 0 degrees; </w:t>
            </w:r>
            <w:proofErr w:type="spellStart"/>
            <w:r w:rsidRPr="00A73A1E">
              <w:rPr>
                <w:sz w:val="18"/>
                <w:szCs w:val="18"/>
                <w:lang w:eastAsia="ja-JP"/>
              </w:rPr>
              <w:t>ScanSAR</w:t>
            </w:r>
            <w:proofErr w:type="spellEnd"/>
            <w:r w:rsidRPr="00A73A1E">
              <w:rPr>
                <w:sz w:val="18"/>
                <w:szCs w:val="18"/>
                <w:lang w:eastAsia="ja-JP"/>
              </w:rPr>
              <w:t>) at selectable look angle 7.2 to 59 degrees</w:t>
            </w:r>
          </w:p>
        </w:tc>
        <w:tc>
          <w:tcPr>
            <w:tcW w:w="2046" w:type="dxa"/>
            <w:shd w:val="clear" w:color="auto" w:fill="auto"/>
            <w:hideMark/>
          </w:tcPr>
          <w:p w14:paraId="50EC7A26" w14:textId="77777777" w:rsidR="003244CE" w:rsidRPr="00A73A1E" w:rsidRDefault="003244CE" w:rsidP="009C40C0">
            <w:pPr>
              <w:pStyle w:val="Tabletext"/>
              <w:jc w:val="center"/>
              <w:rPr>
                <w:sz w:val="18"/>
                <w:szCs w:val="18"/>
                <w:lang w:eastAsia="ko-KR"/>
              </w:rPr>
            </w:pPr>
            <w:r w:rsidRPr="00A73A1E">
              <w:rPr>
                <w:sz w:val="18"/>
                <w:szCs w:val="18"/>
                <w:lang w:eastAsia="ja-JP"/>
              </w:rPr>
              <w:t>Transmits beam orthogonal to flight path (azimuth angle of 0 degrees; Strip map SAR) at selectable look angle 7.2 to 59 degrees</w:t>
            </w:r>
          </w:p>
        </w:tc>
      </w:tr>
    </w:tbl>
    <w:p w14:paraId="56F1583C" w14:textId="77777777" w:rsidR="003244CE" w:rsidRDefault="003244CE" w:rsidP="003244CE">
      <w:pPr>
        <w:pStyle w:val="Tablefin"/>
      </w:pPr>
    </w:p>
    <w:p w14:paraId="613AAAAD" w14:textId="77777777" w:rsidR="00F02281" w:rsidRPr="00F02281" w:rsidRDefault="00F02281" w:rsidP="00F02281"/>
    <w:p w14:paraId="03D2CF7D" w14:textId="77777777" w:rsidR="003244CE" w:rsidRPr="00A73A1E" w:rsidRDefault="003244CE" w:rsidP="003244CE">
      <w:pPr>
        <w:pStyle w:val="Tablefin"/>
        <w:sectPr w:rsidR="003244CE" w:rsidRPr="00A73A1E" w:rsidSect="00684163">
          <w:headerReference w:type="even" r:id="rId35"/>
          <w:headerReference w:type="default" r:id="rId36"/>
          <w:footerReference w:type="even" r:id="rId37"/>
          <w:footerReference w:type="default" r:id="rId38"/>
          <w:footerReference w:type="first" r:id="rId39"/>
          <w:pgSz w:w="16834" w:h="11907" w:orient="landscape" w:code="9"/>
          <w:pgMar w:top="1134" w:right="1418" w:bottom="1134" w:left="1134" w:header="720" w:footer="482" w:gutter="0"/>
          <w:paperSrc w:first="15" w:other="15"/>
          <w:cols w:space="720"/>
          <w:docGrid w:linePitch="326"/>
        </w:sectPr>
      </w:pPr>
    </w:p>
    <w:p w14:paraId="496EB225" w14:textId="77777777" w:rsidR="003244CE" w:rsidRPr="00A73A1E" w:rsidRDefault="003244CE" w:rsidP="003244CE">
      <w:pPr>
        <w:rPr>
          <w:szCs w:val="24"/>
          <w:lang w:eastAsia="ja-JP"/>
        </w:rPr>
      </w:pPr>
      <w:r w:rsidRPr="00A73A1E">
        <w:lastRenderedPageBreak/>
        <w:t xml:space="preserve">All six spaceborne SARs in Table 1 transmit linear FM pulses with pulse widths and pulse repetition frequencies as shown in the Table resulting in a range of pulse-to-pulse, or static, duty cycle values from 5% to 18.7%. </w:t>
      </w:r>
      <w:r w:rsidRPr="00A73A1E">
        <w:rPr>
          <w:szCs w:val="24"/>
          <w:lang w:eastAsia="ja-JP"/>
        </w:rPr>
        <w:t>They transmit on antenna beams orthogonal to the flight path (azimuth angle of 0 degrees) at either a selectable look angle for the pass or at a fixed look angle for the mission.</w:t>
      </w:r>
    </w:p>
    <w:p w14:paraId="36B51713" w14:textId="1319C56B" w:rsidR="003244CE" w:rsidRPr="00A73A1E" w:rsidRDefault="003244CE" w:rsidP="003244CE">
      <w:pPr>
        <w:pStyle w:val="TableNo"/>
      </w:pPr>
      <w:r w:rsidRPr="00A73A1E">
        <w:t>T</w:t>
      </w:r>
      <w:r w:rsidR="00B73155">
        <w:t>ABLE</w:t>
      </w:r>
      <w:r w:rsidRPr="00A73A1E">
        <w:t xml:space="preserve"> 2</w:t>
      </w:r>
    </w:p>
    <w:p w14:paraId="5C430160" w14:textId="77777777" w:rsidR="003244CE" w:rsidRPr="00A73A1E" w:rsidRDefault="003244CE" w:rsidP="003244CE">
      <w:pPr>
        <w:pStyle w:val="Tabletitle"/>
      </w:pPr>
      <w:r w:rsidRPr="00A73A1E">
        <w:t>Standard SAR1 antenna gain equations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67"/>
        <w:gridCol w:w="4110"/>
        <w:gridCol w:w="2694"/>
      </w:tblGrid>
      <w:tr w:rsidR="003244CE" w:rsidRPr="00A73A1E" w14:paraId="0EAF28EF" w14:textId="77777777" w:rsidTr="009C40C0">
        <w:trPr>
          <w:cantSplit/>
          <w:jc w:val="center"/>
        </w:trPr>
        <w:tc>
          <w:tcPr>
            <w:tcW w:w="1667" w:type="dxa"/>
            <w:vAlign w:val="center"/>
          </w:tcPr>
          <w:p w14:paraId="1198B90A" w14:textId="77777777" w:rsidR="003244CE" w:rsidRPr="00A73A1E" w:rsidRDefault="003244CE" w:rsidP="009C40C0">
            <w:pPr>
              <w:pStyle w:val="Tablehead"/>
            </w:pPr>
            <w:r w:rsidRPr="00A73A1E">
              <w:t>Pattern</w:t>
            </w:r>
          </w:p>
        </w:tc>
        <w:tc>
          <w:tcPr>
            <w:tcW w:w="4110" w:type="dxa"/>
            <w:vAlign w:val="center"/>
          </w:tcPr>
          <w:p w14:paraId="2AFF5D19" w14:textId="77777777" w:rsidR="003244CE" w:rsidRPr="00A73A1E" w:rsidRDefault="003244CE" w:rsidP="009C40C0">
            <w:pPr>
              <w:pStyle w:val="Tablehead"/>
            </w:pPr>
            <w:r w:rsidRPr="00A73A1E">
              <w:t xml:space="preserve">Gain </w:t>
            </w:r>
            <w:proofErr w:type="gramStart"/>
            <w:r w:rsidRPr="00A73A1E">
              <w:rPr>
                <w:i/>
              </w:rPr>
              <w:t>G</w:t>
            </w:r>
            <w:r w:rsidRPr="00A73A1E">
              <w:t>(</w:t>
            </w:r>
            <w:proofErr w:type="gramEnd"/>
            <w:r w:rsidRPr="00A73A1E">
              <w:rPr>
                <w:rFonts w:ascii="Symbol" w:hAnsi="Symbol"/>
              </w:rPr>
              <w:t></w:t>
            </w:r>
            <w:r w:rsidRPr="00A73A1E">
              <w:t>) (</w:t>
            </w:r>
            <w:proofErr w:type="spellStart"/>
            <w:r w:rsidRPr="00A73A1E">
              <w:t>dBi</w:t>
            </w:r>
            <w:proofErr w:type="spellEnd"/>
            <w:r w:rsidRPr="00A73A1E">
              <w:t>) as a function of</w:t>
            </w:r>
            <w:r w:rsidRPr="00A73A1E">
              <w:br/>
              <w:t xml:space="preserve">off-axis angle </w:t>
            </w:r>
            <w:r w:rsidRPr="00A73A1E">
              <w:rPr>
                <w:rFonts w:ascii="Symbol" w:hAnsi="Symbol"/>
              </w:rPr>
              <w:t></w:t>
            </w:r>
            <w:r w:rsidRPr="00A73A1E">
              <w:t xml:space="preserve"> (degrees)</w:t>
            </w:r>
          </w:p>
        </w:tc>
        <w:tc>
          <w:tcPr>
            <w:tcW w:w="2694" w:type="dxa"/>
            <w:vAlign w:val="center"/>
          </w:tcPr>
          <w:p w14:paraId="21A33EDB" w14:textId="77777777" w:rsidR="003244CE" w:rsidRPr="00A73A1E" w:rsidRDefault="003244CE" w:rsidP="009C40C0">
            <w:pPr>
              <w:pStyle w:val="Tablehead"/>
            </w:pPr>
            <w:r w:rsidRPr="00A73A1E">
              <w:t>Angle range</w:t>
            </w:r>
          </w:p>
        </w:tc>
      </w:tr>
      <w:tr w:rsidR="003244CE" w:rsidRPr="00A73A1E" w14:paraId="1CFC9C47" w14:textId="77777777" w:rsidTr="009C40C0">
        <w:trPr>
          <w:cantSplit/>
          <w:jc w:val="center"/>
        </w:trPr>
        <w:tc>
          <w:tcPr>
            <w:tcW w:w="1667" w:type="dxa"/>
            <w:vAlign w:val="center"/>
          </w:tcPr>
          <w:p w14:paraId="70C21656" w14:textId="77777777" w:rsidR="003244CE" w:rsidRPr="00A73A1E" w:rsidRDefault="003244CE" w:rsidP="00F61F49">
            <w:pPr>
              <w:pStyle w:val="Tabletext"/>
              <w:jc w:val="left"/>
            </w:pPr>
            <w:r w:rsidRPr="00A73A1E">
              <w:t>Vertical</w:t>
            </w:r>
            <w:r w:rsidRPr="00A73A1E">
              <w:br/>
              <w:t>(elevation)</w:t>
            </w:r>
          </w:p>
        </w:tc>
        <w:tc>
          <w:tcPr>
            <w:tcW w:w="4110" w:type="dxa"/>
          </w:tcPr>
          <w:p w14:paraId="60DFE650" w14:textId="77777777" w:rsidR="003244CE" w:rsidRPr="00A73A1E" w:rsidRDefault="003244CE" w:rsidP="00F61F49">
            <w:pPr>
              <w:pStyle w:val="Tabletext"/>
              <w:jc w:val="left"/>
              <w:rPr>
                <w:b/>
              </w:rPr>
            </w:pPr>
            <w:r w:rsidRPr="00A73A1E">
              <w:rPr>
                <w:i/>
              </w:rPr>
              <w:t>G</w:t>
            </w:r>
            <w:r w:rsidRPr="00A73A1E">
              <w:rPr>
                <w:i/>
                <w:position w:val="-4"/>
              </w:rPr>
              <w:t>v</w:t>
            </w:r>
            <w:r w:rsidRPr="00A73A1E">
              <w:rPr>
                <w:rFonts w:ascii="Tms Rmn" w:hAnsi="Tms Rmn"/>
              </w:rPr>
              <w:t> </w:t>
            </w:r>
            <w:r w:rsidRPr="00A73A1E">
              <w:t>(</w:t>
            </w:r>
            <w:r w:rsidRPr="00A73A1E">
              <w:rPr>
                <w:rFonts w:ascii="Symbol" w:hAnsi="Symbol"/>
              </w:rPr>
              <w:t></w:t>
            </w:r>
            <w:proofErr w:type="gramStart"/>
            <w:r w:rsidRPr="00A73A1E">
              <w:rPr>
                <w:i/>
                <w:position w:val="-4"/>
              </w:rPr>
              <w:t>v</w:t>
            </w:r>
            <w:r w:rsidRPr="00A73A1E">
              <w:rPr>
                <w:rFonts w:ascii="Tms Rmn" w:hAnsi="Tms Rmn"/>
              </w:rPr>
              <w:t> </w:t>
            </w:r>
            <w:r w:rsidRPr="00A73A1E">
              <w:t>)</w:t>
            </w:r>
            <w:proofErr w:type="gramEnd"/>
            <w:r>
              <w:t xml:space="preserve"> </w:t>
            </w:r>
            <w:r w:rsidRPr="00A73A1E">
              <w:rPr>
                <w:rFonts w:ascii="Symbol" w:hAnsi="Symbol"/>
              </w:rPr>
              <w:t></w:t>
            </w:r>
            <w:r>
              <w:t xml:space="preserve"> </w:t>
            </w:r>
            <w:r w:rsidRPr="00A73A1E">
              <w:t>36.4</w:t>
            </w:r>
            <w:r>
              <w:t xml:space="preserve"> </w:t>
            </w:r>
            <w:r w:rsidRPr="00A73A1E">
              <w:t>–</w:t>
            </w:r>
            <w:r>
              <w:t xml:space="preserve"> </w:t>
            </w:r>
            <w:r w:rsidRPr="00A73A1E">
              <w:t>0.478(</w:t>
            </w:r>
            <w:r w:rsidRPr="00A73A1E">
              <w:rPr>
                <w:rFonts w:ascii="Symbol" w:hAnsi="Symbol"/>
              </w:rPr>
              <w:t></w:t>
            </w:r>
            <w:r w:rsidRPr="00A73A1E">
              <w:rPr>
                <w:i/>
                <w:position w:val="-4"/>
              </w:rPr>
              <w:t>v</w:t>
            </w:r>
            <w:r w:rsidRPr="00A73A1E">
              <w:rPr>
                <w:rFonts w:ascii="Tms Rmn" w:hAnsi="Tms Rmn"/>
              </w:rPr>
              <w:t> </w:t>
            </w:r>
            <w:r w:rsidRPr="00A73A1E">
              <w:t>)</w:t>
            </w:r>
            <w:r w:rsidRPr="00A73A1E">
              <w:rPr>
                <w:position w:val="6"/>
              </w:rPr>
              <w:t>2</w:t>
            </w:r>
            <w:r w:rsidRPr="00A73A1E">
              <w:br/>
            </w:r>
            <w:r w:rsidRPr="00A73A1E">
              <w:rPr>
                <w:i/>
              </w:rPr>
              <w:t>G</w:t>
            </w:r>
            <w:r w:rsidRPr="00A73A1E">
              <w:rPr>
                <w:i/>
                <w:position w:val="-4"/>
              </w:rPr>
              <w:t>v</w:t>
            </w:r>
            <w:r w:rsidRPr="00A73A1E">
              <w:rPr>
                <w:rFonts w:ascii="Tms Rmn" w:hAnsi="Tms Rmn"/>
              </w:rPr>
              <w:t> </w:t>
            </w:r>
            <w:r w:rsidRPr="00A73A1E">
              <w:t>(</w:t>
            </w:r>
            <w:r w:rsidRPr="00A73A1E">
              <w:rPr>
                <w:rFonts w:ascii="Symbol" w:hAnsi="Symbol"/>
              </w:rPr>
              <w:t></w:t>
            </w:r>
            <w:r w:rsidRPr="00A73A1E">
              <w:rPr>
                <w:i/>
                <w:position w:val="-4"/>
              </w:rPr>
              <w:t>v</w:t>
            </w:r>
            <w:r w:rsidRPr="00A73A1E">
              <w:rPr>
                <w:rFonts w:ascii="Tms Rmn" w:hAnsi="Tms Rmn"/>
              </w:rPr>
              <w:t> </w:t>
            </w:r>
            <w:r w:rsidRPr="00A73A1E">
              <w:t>)</w:t>
            </w:r>
            <w:r>
              <w:t xml:space="preserve"> </w:t>
            </w:r>
            <w:r w:rsidRPr="00A73A1E">
              <w:rPr>
                <w:rFonts w:ascii="Symbol" w:hAnsi="Symbol"/>
              </w:rPr>
              <w:t></w:t>
            </w:r>
            <w:r>
              <w:t xml:space="preserve"> </w:t>
            </w:r>
            <w:r w:rsidRPr="00A73A1E">
              <w:t>33.8</w:t>
            </w:r>
            <w:r>
              <w:t xml:space="preserve"> </w:t>
            </w:r>
            <w:r w:rsidRPr="00A73A1E">
              <w:t>–</w:t>
            </w:r>
            <w:r>
              <w:t xml:space="preserve"> </w:t>
            </w:r>
            <w:r w:rsidRPr="00A73A1E">
              <w:t xml:space="preserve">1.0 </w:t>
            </w:r>
            <w:r w:rsidRPr="00A73A1E">
              <w:rPr>
                <w:rFonts w:ascii="Symbol" w:hAnsi="Symbol"/>
              </w:rPr>
              <w:t></w:t>
            </w:r>
            <w:r w:rsidRPr="00A73A1E">
              <w:rPr>
                <w:i/>
                <w:position w:val="-4"/>
              </w:rPr>
              <w:t>v</w:t>
            </w:r>
            <w:r w:rsidRPr="00A73A1E">
              <w:br/>
            </w:r>
            <w:r w:rsidRPr="00A73A1E">
              <w:rPr>
                <w:i/>
              </w:rPr>
              <w:t>G</w:t>
            </w:r>
            <w:r w:rsidRPr="00A73A1E">
              <w:rPr>
                <w:i/>
                <w:position w:val="-4"/>
              </w:rPr>
              <w:t>v</w:t>
            </w:r>
            <w:r w:rsidRPr="00A73A1E">
              <w:rPr>
                <w:rFonts w:ascii="Tms Rmn" w:hAnsi="Tms Rmn"/>
              </w:rPr>
              <w:t> </w:t>
            </w:r>
            <w:r w:rsidRPr="00A73A1E">
              <w:t>(</w:t>
            </w:r>
            <w:r w:rsidRPr="00A73A1E">
              <w:rPr>
                <w:rFonts w:ascii="Symbol" w:hAnsi="Symbol"/>
              </w:rPr>
              <w:t></w:t>
            </w:r>
            <w:r w:rsidRPr="00A73A1E">
              <w:rPr>
                <w:i/>
                <w:position w:val="-4"/>
              </w:rPr>
              <w:t>v</w:t>
            </w:r>
            <w:r w:rsidRPr="00A73A1E">
              <w:rPr>
                <w:rFonts w:ascii="Tms Rmn" w:hAnsi="Tms Rmn"/>
              </w:rPr>
              <w:t> </w:t>
            </w:r>
            <w:r w:rsidRPr="00A73A1E">
              <w:t>)</w:t>
            </w:r>
            <w:r>
              <w:t xml:space="preserve"> </w:t>
            </w:r>
            <w:r w:rsidRPr="00A73A1E">
              <w:rPr>
                <w:rFonts w:ascii="Symbol" w:hAnsi="Symbol"/>
              </w:rPr>
              <w:t></w:t>
            </w:r>
            <w:r>
              <w:t xml:space="preserve"> </w:t>
            </w:r>
            <w:r w:rsidRPr="00A73A1E">
              <w:t>–11</w:t>
            </w:r>
          </w:p>
        </w:tc>
        <w:tc>
          <w:tcPr>
            <w:tcW w:w="2694" w:type="dxa"/>
          </w:tcPr>
          <w:p w14:paraId="08937BAF" w14:textId="26509837" w:rsidR="003244CE" w:rsidRPr="00A73A1E" w:rsidRDefault="003244CE" w:rsidP="00F61F49">
            <w:pPr>
              <w:pStyle w:val="Tabletext"/>
              <w:jc w:val="center"/>
              <w:rPr>
                <w:b/>
              </w:rPr>
            </w:pPr>
            <w:r w:rsidRPr="00A73A1E">
              <w:t>0</w:t>
            </w:r>
            <w:r w:rsidRPr="00A73A1E">
              <w:rPr>
                <w:rFonts w:ascii="Symbol" w:hAnsi="Symbol"/>
              </w:rPr>
              <w:t></w:t>
            </w:r>
            <w:r w:rsidRPr="00A73A1E">
              <w:rPr>
                <w:rFonts w:ascii="Symbol" w:hAnsi="Symbol"/>
              </w:rPr>
              <w:tab/>
            </w:r>
            <w:r w:rsidRPr="00A73A1E">
              <w:rPr>
                <w:rFonts w:ascii="Symbol" w:hAnsi="Symbol"/>
              </w:rPr>
              <w:t></w:t>
            </w:r>
            <w:r>
              <w:t xml:space="preserve"> </w:t>
            </w:r>
            <w:r w:rsidRPr="00A73A1E">
              <w:rPr>
                <w:rtl/>
                <w:lang w:bidi="he-IL"/>
              </w:rPr>
              <w:t>׀</w:t>
            </w:r>
            <w:r w:rsidRPr="00A73A1E">
              <w:rPr>
                <w:rFonts w:ascii="Symbol" w:hAnsi="Symbol"/>
              </w:rPr>
              <w:t></w:t>
            </w:r>
            <w:r w:rsidRPr="00A73A1E">
              <w:rPr>
                <w:i/>
                <w:position w:val="-4"/>
              </w:rPr>
              <w:t>v</w:t>
            </w:r>
            <w:r w:rsidRPr="00A73A1E">
              <w:rPr>
                <w:rtl/>
                <w:lang w:bidi="he-IL"/>
              </w:rPr>
              <w:t xml:space="preserve"> ׀</w:t>
            </w:r>
            <w:r w:rsidRPr="00A73A1E">
              <w:rPr>
                <w:rFonts w:ascii="Symbol" w:hAnsi="Symbol"/>
              </w:rPr>
              <w:t></w:t>
            </w:r>
            <w:r>
              <w:t xml:space="preserve"> </w:t>
            </w:r>
            <w:r w:rsidRPr="00A73A1E">
              <w:t>3.6</w:t>
            </w:r>
            <w:r w:rsidRPr="00A73A1E">
              <w:rPr>
                <w:rFonts w:ascii="Symbol" w:hAnsi="Symbol"/>
              </w:rPr>
              <w:t></w:t>
            </w:r>
            <w:r w:rsidRPr="00A73A1E">
              <w:br/>
            </w:r>
            <w:r w:rsidRPr="00A73A1E">
              <w:rPr>
                <w:rFonts w:ascii="Cambria Math" w:hAnsi="Cambria Math" w:cs="Cambria Math"/>
              </w:rPr>
              <w:t> </w:t>
            </w:r>
            <w:r w:rsidRPr="00A73A1E">
              <w:t>3.6</w:t>
            </w:r>
            <w:r w:rsidRPr="00A73A1E">
              <w:rPr>
                <w:rFonts w:ascii="Symbol" w:hAnsi="Symbol"/>
              </w:rPr>
              <w:t></w:t>
            </w:r>
            <w:r w:rsidRPr="00A73A1E">
              <w:tab/>
              <w:t>≤</w:t>
            </w:r>
            <w:r>
              <w:t xml:space="preserve"> </w:t>
            </w:r>
            <w:r w:rsidRPr="00A73A1E">
              <w:rPr>
                <w:rtl/>
                <w:lang w:bidi="he-IL"/>
              </w:rPr>
              <w:t>׀</w:t>
            </w:r>
            <w:r w:rsidRPr="00A73A1E">
              <w:rPr>
                <w:rFonts w:ascii="Symbol" w:hAnsi="Symbol"/>
              </w:rPr>
              <w:t></w:t>
            </w:r>
            <w:r>
              <w:rPr>
                <w:lang w:bidi="he-IL"/>
              </w:rPr>
              <w:t xml:space="preserve"> </w:t>
            </w:r>
            <w:r w:rsidRPr="00A73A1E">
              <w:rPr>
                <w:rtl/>
                <w:lang w:bidi="he-IL"/>
              </w:rPr>
              <w:t>׀</w:t>
            </w:r>
            <w:r w:rsidR="00167153">
              <w:rPr>
                <w:rFonts w:hint="cs"/>
                <w:rtl/>
                <w:lang w:bidi="he-IL"/>
              </w:rPr>
              <w:t xml:space="preserve"> </w:t>
            </w:r>
            <w:r w:rsidRPr="00A73A1E">
              <w:rPr>
                <w:rFonts w:ascii="Symbol" w:hAnsi="Symbol"/>
              </w:rPr>
              <w:t></w:t>
            </w:r>
            <w:r>
              <w:t xml:space="preserve"> </w:t>
            </w:r>
            <w:r w:rsidRPr="00A73A1E">
              <w:t>45</w:t>
            </w:r>
            <w:r w:rsidRPr="00A73A1E">
              <w:rPr>
                <w:rFonts w:ascii="Symbol" w:hAnsi="Symbol"/>
              </w:rPr>
              <w:t></w:t>
            </w:r>
            <w:r w:rsidRPr="00A73A1E">
              <w:br/>
            </w:r>
            <w:proofErr w:type="gramStart"/>
            <w:r w:rsidRPr="00A73A1E">
              <w:tab/>
            </w:r>
            <w:r>
              <w:t xml:space="preserve">  </w:t>
            </w:r>
            <w:r w:rsidRPr="00A73A1E">
              <w:rPr>
                <w:rtl/>
                <w:lang w:bidi="he-IL"/>
              </w:rPr>
              <w:t>׀</w:t>
            </w:r>
            <w:proofErr w:type="gramEnd"/>
            <w:r w:rsidRPr="00A73A1E">
              <w:rPr>
                <w:rFonts w:ascii="Symbol" w:hAnsi="Symbol"/>
              </w:rPr>
              <w:t></w:t>
            </w:r>
            <w:r w:rsidRPr="00A73A1E">
              <w:rPr>
                <w:i/>
                <w:position w:val="-4"/>
              </w:rPr>
              <w:t>v</w:t>
            </w:r>
            <w:r w:rsidRPr="00A73A1E">
              <w:rPr>
                <w:rtl/>
                <w:lang w:bidi="he-IL"/>
              </w:rPr>
              <w:t xml:space="preserve"> ׀</w:t>
            </w:r>
            <w:r w:rsidRPr="00A73A1E">
              <w:t>≥</w:t>
            </w:r>
            <w:r>
              <w:t xml:space="preserve"> </w:t>
            </w:r>
            <w:r w:rsidRPr="00A73A1E">
              <w:t>45</w:t>
            </w:r>
            <w:r w:rsidRPr="00A73A1E">
              <w:rPr>
                <w:rFonts w:ascii="Symbol" w:hAnsi="Symbol"/>
              </w:rPr>
              <w:t></w:t>
            </w:r>
          </w:p>
        </w:tc>
      </w:tr>
      <w:tr w:rsidR="003244CE" w:rsidRPr="00A73A1E" w14:paraId="415B766B" w14:textId="77777777" w:rsidTr="009C40C0">
        <w:trPr>
          <w:cantSplit/>
          <w:jc w:val="center"/>
        </w:trPr>
        <w:tc>
          <w:tcPr>
            <w:tcW w:w="1667" w:type="dxa"/>
            <w:vAlign w:val="center"/>
          </w:tcPr>
          <w:p w14:paraId="22041002" w14:textId="77777777" w:rsidR="003244CE" w:rsidRPr="00A73A1E" w:rsidRDefault="003244CE" w:rsidP="00F61F49">
            <w:pPr>
              <w:pStyle w:val="Tabletext"/>
              <w:jc w:val="left"/>
            </w:pPr>
            <w:r w:rsidRPr="00A73A1E">
              <w:t>Horizontal</w:t>
            </w:r>
            <w:r w:rsidRPr="00A73A1E">
              <w:br/>
              <w:t>(azimuth)</w:t>
            </w:r>
          </w:p>
        </w:tc>
        <w:tc>
          <w:tcPr>
            <w:tcW w:w="4110" w:type="dxa"/>
          </w:tcPr>
          <w:p w14:paraId="10E6E9C2" w14:textId="77777777" w:rsidR="003244CE" w:rsidRPr="00A73A1E" w:rsidRDefault="003244CE" w:rsidP="00F61F49">
            <w:pPr>
              <w:pStyle w:val="Tabletext"/>
              <w:jc w:val="left"/>
              <w:rPr>
                <w:b/>
              </w:rPr>
            </w:pPr>
            <w:r w:rsidRPr="00A73A1E">
              <w:rPr>
                <w:i/>
              </w:rPr>
              <w:t>G</w:t>
            </w:r>
            <w:r w:rsidRPr="00A73A1E">
              <w:rPr>
                <w:i/>
                <w:position w:val="-4"/>
              </w:rPr>
              <w:t>h</w:t>
            </w:r>
            <w:r w:rsidRPr="00A73A1E">
              <w:rPr>
                <w:rFonts w:ascii="Tms Rmn" w:hAnsi="Tms Rmn"/>
              </w:rPr>
              <w:t> </w:t>
            </w:r>
            <w:r w:rsidRPr="00A73A1E">
              <w:t>(</w:t>
            </w:r>
            <w:r w:rsidRPr="00A73A1E">
              <w:rPr>
                <w:rFonts w:ascii="Symbol" w:hAnsi="Symbol"/>
              </w:rPr>
              <w:t></w:t>
            </w:r>
            <w:proofErr w:type="gramStart"/>
            <w:r w:rsidRPr="00A73A1E">
              <w:rPr>
                <w:i/>
                <w:position w:val="-4"/>
              </w:rPr>
              <w:t>h</w:t>
            </w:r>
            <w:r w:rsidRPr="00A73A1E">
              <w:rPr>
                <w:rFonts w:ascii="Tms Rmn" w:hAnsi="Tms Rmn"/>
              </w:rPr>
              <w:t> </w:t>
            </w:r>
            <w:r w:rsidRPr="00A73A1E">
              <w:t>)</w:t>
            </w:r>
            <w:proofErr w:type="gramEnd"/>
            <w:r>
              <w:t xml:space="preserve"> </w:t>
            </w:r>
            <w:r w:rsidRPr="00A73A1E">
              <w:rPr>
                <w:rFonts w:ascii="Symbol" w:hAnsi="Symbol"/>
              </w:rPr>
              <w:t></w:t>
            </w:r>
            <w:r>
              <w:t xml:space="preserve"> </w:t>
            </w:r>
            <w:r w:rsidRPr="00A73A1E">
              <w:t>0.0</w:t>
            </w:r>
            <w:r>
              <w:t xml:space="preserve"> </w:t>
            </w:r>
            <w:r w:rsidRPr="00A73A1E">
              <w:t>–</w:t>
            </w:r>
            <w:r>
              <w:t xml:space="preserve"> </w:t>
            </w:r>
            <w:r w:rsidRPr="00A73A1E">
              <w:t>19.6(</w:t>
            </w:r>
            <w:r w:rsidRPr="00A73A1E">
              <w:rPr>
                <w:rFonts w:ascii="Symbol" w:hAnsi="Symbol"/>
              </w:rPr>
              <w:t></w:t>
            </w:r>
            <w:r w:rsidRPr="00A73A1E">
              <w:rPr>
                <w:i/>
                <w:position w:val="-4"/>
              </w:rPr>
              <w:t>h</w:t>
            </w:r>
            <w:r w:rsidRPr="00A73A1E">
              <w:rPr>
                <w:rFonts w:ascii="Tms Rmn" w:hAnsi="Tms Rmn"/>
                <w:position w:val="-4"/>
                <w:vertAlign w:val="subscript"/>
              </w:rPr>
              <w:t> </w:t>
            </w:r>
            <w:r w:rsidRPr="00A73A1E">
              <w:t>)</w:t>
            </w:r>
            <w:r w:rsidRPr="00A73A1E">
              <w:rPr>
                <w:position w:val="6"/>
              </w:rPr>
              <w:t>2</w:t>
            </w:r>
            <w:r w:rsidRPr="00A73A1E">
              <w:br/>
            </w:r>
            <w:r w:rsidRPr="00A73A1E">
              <w:rPr>
                <w:i/>
              </w:rPr>
              <w:t>G</w:t>
            </w:r>
            <w:r w:rsidRPr="00A73A1E">
              <w:rPr>
                <w:i/>
                <w:position w:val="-4"/>
              </w:rPr>
              <w:t>h</w:t>
            </w:r>
            <w:r w:rsidRPr="00A73A1E">
              <w:rPr>
                <w:rFonts w:ascii="Tms Rmn" w:hAnsi="Tms Rmn"/>
              </w:rPr>
              <w:t> </w:t>
            </w:r>
            <w:r w:rsidRPr="00A73A1E">
              <w:t>(</w:t>
            </w:r>
            <w:r w:rsidRPr="00A73A1E">
              <w:rPr>
                <w:rFonts w:ascii="Symbol" w:hAnsi="Symbol"/>
              </w:rPr>
              <w:t></w:t>
            </w:r>
            <w:r w:rsidRPr="00A73A1E">
              <w:rPr>
                <w:i/>
                <w:position w:val="-4"/>
              </w:rPr>
              <w:t>h</w:t>
            </w:r>
            <w:r w:rsidRPr="00A73A1E">
              <w:rPr>
                <w:rFonts w:ascii="Tms Rmn" w:hAnsi="Tms Rmn"/>
              </w:rPr>
              <w:t> </w:t>
            </w:r>
            <w:r w:rsidRPr="00A73A1E">
              <w:t>)</w:t>
            </w:r>
            <w:r>
              <w:t xml:space="preserve"> </w:t>
            </w:r>
            <w:r w:rsidRPr="00A73A1E">
              <w:rPr>
                <w:rFonts w:ascii="Symbol" w:hAnsi="Symbol"/>
              </w:rPr>
              <w:t></w:t>
            </w:r>
            <w:r>
              <w:t xml:space="preserve"> </w:t>
            </w:r>
            <w:r w:rsidRPr="00A73A1E">
              <w:t>–24.5</w:t>
            </w:r>
            <w:r>
              <w:t xml:space="preserve"> </w:t>
            </w:r>
            <w:r w:rsidRPr="00A73A1E">
              <w:t>–</w:t>
            </w:r>
            <w:r>
              <w:t xml:space="preserve"> </w:t>
            </w:r>
            <w:r w:rsidRPr="00A73A1E">
              <w:t xml:space="preserve">0.47 </w:t>
            </w:r>
            <w:r w:rsidRPr="00A73A1E">
              <w:rPr>
                <w:rFonts w:ascii="Symbol" w:hAnsi="Symbol"/>
              </w:rPr>
              <w:t></w:t>
            </w:r>
            <w:r w:rsidRPr="00A73A1E">
              <w:rPr>
                <w:i/>
                <w:position w:val="-4"/>
              </w:rPr>
              <w:t>h</w:t>
            </w:r>
            <w:r w:rsidRPr="00A73A1E">
              <w:br/>
            </w:r>
            <w:r w:rsidRPr="00A73A1E">
              <w:rPr>
                <w:i/>
              </w:rPr>
              <w:t>G</w:t>
            </w:r>
            <w:r w:rsidRPr="00A73A1E">
              <w:rPr>
                <w:i/>
                <w:position w:val="-4"/>
              </w:rPr>
              <w:t>h</w:t>
            </w:r>
            <w:r w:rsidRPr="00A73A1E">
              <w:rPr>
                <w:rFonts w:ascii="Tms Rmn" w:hAnsi="Tms Rmn"/>
              </w:rPr>
              <w:t> </w:t>
            </w:r>
            <w:r w:rsidRPr="00A73A1E">
              <w:t>(</w:t>
            </w:r>
            <w:r w:rsidRPr="00A73A1E">
              <w:rPr>
                <w:rFonts w:ascii="Symbol" w:hAnsi="Symbol"/>
              </w:rPr>
              <w:t></w:t>
            </w:r>
            <w:r w:rsidRPr="00A73A1E">
              <w:rPr>
                <w:i/>
                <w:position w:val="-4"/>
              </w:rPr>
              <w:t>h</w:t>
            </w:r>
            <w:r w:rsidRPr="00A73A1E">
              <w:rPr>
                <w:rFonts w:ascii="Tms Rmn" w:hAnsi="Tms Rmn"/>
              </w:rPr>
              <w:t> </w:t>
            </w:r>
            <w:r w:rsidRPr="00A73A1E">
              <w:t>)</w:t>
            </w:r>
            <w:r>
              <w:t xml:space="preserve"> </w:t>
            </w:r>
            <w:r w:rsidRPr="00A73A1E">
              <w:rPr>
                <w:rFonts w:ascii="Symbol" w:hAnsi="Symbol"/>
              </w:rPr>
              <w:t></w:t>
            </w:r>
            <w:r>
              <w:t xml:space="preserve"> </w:t>
            </w:r>
            <w:r w:rsidRPr="00A73A1E">
              <w:t xml:space="preserve">–30.5 </w:t>
            </w:r>
          </w:p>
        </w:tc>
        <w:tc>
          <w:tcPr>
            <w:tcW w:w="2694" w:type="dxa"/>
          </w:tcPr>
          <w:p w14:paraId="05A26077" w14:textId="111CD0FE" w:rsidR="003244CE" w:rsidRPr="00A73A1E" w:rsidRDefault="003244CE" w:rsidP="00F61F49">
            <w:pPr>
              <w:pStyle w:val="Tabletext"/>
              <w:jc w:val="center"/>
              <w:rPr>
                <w:b/>
              </w:rPr>
            </w:pPr>
            <w:r w:rsidRPr="00A73A1E">
              <w:t>0</w:t>
            </w:r>
            <w:r w:rsidRPr="00A73A1E">
              <w:rPr>
                <w:rFonts w:ascii="Symbol" w:hAnsi="Symbol"/>
              </w:rPr>
              <w:t></w:t>
            </w:r>
            <w:r w:rsidRPr="00A73A1E">
              <w:rPr>
                <w:rFonts w:ascii="Symbol" w:hAnsi="Symbol"/>
              </w:rPr>
              <w:tab/>
            </w:r>
            <w:r w:rsidRPr="00A73A1E">
              <w:rPr>
                <w:rFonts w:ascii="Symbol" w:hAnsi="Symbol"/>
              </w:rPr>
              <w:t></w:t>
            </w:r>
            <w:r w:rsidRPr="00A73A1E">
              <w:rPr>
                <w:rFonts w:ascii="Symbol" w:hAnsi="Symbol"/>
              </w:rPr>
              <w:t></w:t>
            </w:r>
            <w:r w:rsidRPr="00A73A1E">
              <w:t> </w:t>
            </w:r>
            <w:r w:rsidRPr="00A73A1E">
              <w:rPr>
                <w:rtl/>
                <w:lang w:bidi="he-IL"/>
              </w:rPr>
              <w:t>׀</w:t>
            </w:r>
            <w:r w:rsidRPr="00A73A1E">
              <w:rPr>
                <w:rFonts w:ascii="Symbol" w:hAnsi="Symbol"/>
              </w:rPr>
              <w:t></w:t>
            </w:r>
            <w:r w:rsidRPr="00A73A1E">
              <w:rPr>
                <w:i/>
                <w:position w:val="-4"/>
              </w:rPr>
              <w:t>h</w:t>
            </w:r>
            <w:r w:rsidRPr="00A73A1E">
              <w:rPr>
                <w:rtl/>
                <w:lang w:bidi="he-IL"/>
              </w:rPr>
              <w:t xml:space="preserve"> ׀</w:t>
            </w:r>
            <w:r w:rsidRPr="00A73A1E">
              <w:rPr>
                <w:rFonts w:ascii="Symbol" w:hAnsi="Symbol"/>
              </w:rPr>
              <w:t></w:t>
            </w:r>
            <w:r>
              <w:t xml:space="preserve"> </w:t>
            </w:r>
            <w:r w:rsidRPr="00A73A1E">
              <w:t>1.13</w:t>
            </w:r>
            <w:r w:rsidRPr="00A73A1E">
              <w:rPr>
                <w:rFonts w:ascii="Symbol" w:hAnsi="Symbol"/>
              </w:rPr>
              <w:t></w:t>
            </w:r>
            <w:r w:rsidRPr="00A73A1E">
              <w:br/>
              <w:t>1.13</w:t>
            </w:r>
            <w:r w:rsidRPr="00A73A1E">
              <w:rPr>
                <w:rFonts w:ascii="Symbol" w:hAnsi="Symbol"/>
              </w:rPr>
              <w:t></w:t>
            </w:r>
            <w:r w:rsidRPr="00A73A1E">
              <w:rPr>
                <w:rFonts w:ascii="Symbol" w:hAnsi="Symbol"/>
              </w:rPr>
              <w:tab/>
            </w:r>
            <w:r w:rsidRPr="00A73A1E">
              <w:t>≤</w:t>
            </w:r>
            <w:r>
              <w:t xml:space="preserve"> </w:t>
            </w:r>
            <w:r w:rsidRPr="00A73A1E">
              <w:rPr>
                <w:rtl/>
                <w:lang w:bidi="he-IL"/>
              </w:rPr>
              <w:t>׀</w:t>
            </w:r>
            <w:r w:rsidRPr="00A73A1E">
              <w:rPr>
                <w:rFonts w:ascii="Symbol" w:hAnsi="Symbol"/>
              </w:rPr>
              <w:t></w:t>
            </w:r>
            <w:r w:rsidRPr="00A73A1E">
              <w:rPr>
                <w:i/>
                <w:position w:val="-4"/>
              </w:rPr>
              <w:t>h</w:t>
            </w:r>
            <w:r>
              <w:rPr>
                <w:lang w:bidi="he-IL"/>
              </w:rPr>
              <w:t xml:space="preserve"> </w:t>
            </w:r>
            <w:r w:rsidRPr="00A73A1E">
              <w:rPr>
                <w:rtl/>
                <w:lang w:bidi="he-IL"/>
              </w:rPr>
              <w:t>׀</w:t>
            </w:r>
            <w:r w:rsidRPr="00A73A1E">
              <w:rPr>
                <w:rFonts w:ascii="Symbol" w:hAnsi="Symbol"/>
              </w:rPr>
              <w:t></w:t>
            </w:r>
            <w:r w:rsidRPr="00A73A1E">
              <w:rPr>
                <w:rFonts w:ascii="Symbol" w:hAnsi="Symbol"/>
              </w:rPr>
              <w:t></w:t>
            </w:r>
            <w:r>
              <w:t xml:space="preserve"> </w:t>
            </w:r>
            <w:r w:rsidRPr="00A73A1E">
              <w:t>12.7</w:t>
            </w:r>
            <w:r w:rsidRPr="00A73A1E">
              <w:rPr>
                <w:rFonts w:ascii="Symbol" w:hAnsi="Symbol"/>
              </w:rPr>
              <w:t></w:t>
            </w:r>
            <w:r w:rsidRPr="00A73A1E">
              <w:br/>
            </w:r>
            <w:r w:rsidRPr="00A73A1E">
              <w:tab/>
            </w:r>
            <w:r>
              <w:t xml:space="preserve"> </w:t>
            </w:r>
            <w:r w:rsidRPr="00A73A1E">
              <w:rPr>
                <w:rtl/>
                <w:lang w:bidi="he-IL"/>
              </w:rPr>
              <w:t>׀</w:t>
            </w:r>
            <w:r w:rsidRPr="00A73A1E">
              <w:rPr>
                <w:rFonts w:ascii="Symbol" w:hAnsi="Symbol"/>
              </w:rPr>
              <w:t></w:t>
            </w:r>
            <w:r w:rsidRPr="00A73A1E">
              <w:rPr>
                <w:i/>
                <w:position w:val="-4"/>
              </w:rPr>
              <w:t>h</w:t>
            </w:r>
            <w:r>
              <w:rPr>
                <w:lang w:bidi="he-IL"/>
              </w:rPr>
              <w:t xml:space="preserve"> </w:t>
            </w:r>
            <w:r w:rsidRPr="00A73A1E">
              <w:rPr>
                <w:rtl/>
                <w:lang w:bidi="he-IL"/>
              </w:rPr>
              <w:t>׀</w:t>
            </w:r>
            <w:r w:rsidRPr="00A73A1E">
              <w:rPr>
                <w:rFonts w:ascii="Symbol" w:hAnsi="Symbol"/>
              </w:rPr>
              <w:t></w:t>
            </w:r>
            <w:r w:rsidRPr="00A73A1E">
              <w:rPr>
                <w:rFonts w:ascii="Symbol" w:hAnsi="Symbol"/>
              </w:rPr>
              <w:t></w:t>
            </w:r>
            <w:r w:rsidRPr="00A73A1E">
              <w:t>≥</w:t>
            </w:r>
            <w:r>
              <w:t xml:space="preserve"> </w:t>
            </w:r>
            <w:r w:rsidRPr="00A73A1E">
              <w:t>12.7</w:t>
            </w:r>
            <w:r w:rsidRPr="00A73A1E">
              <w:rPr>
                <w:rFonts w:ascii="Symbol" w:hAnsi="Symbol"/>
              </w:rPr>
              <w:t></w:t>
            </w:r>
          </w:p>
        </w:tc>
      </w:tr>
      <w:tr w:rsidR="003244CE" w:rsidRPr="00A73A1E" w14:paraId="692F91FE" w14:textId="77777777" w:rsidTr="009C40C0">
        <w:trPr>
          <w:cantSplit/>
          <w:jc w:val="center"/>
        </w:trPr>
        <w:tc>
          <w:tcPr>
            <w:tcW w:w="1667" w:type="dxa"/>
            <w:vAlign w:val="center"/>
          </w:tcPr>
          <w:p w14:paraId="6CDAC1C2" w14:textId="77777777" w:rsidR="003244CE" w:rsidRPr="00A73A1E" w:rsidRDefault="003244CE" w:rsidP="00F61F49">
            <w:pPr>
              <w:pStyle w:val="Tabletext"/>
              <w:jc w:val="left"/>
            </w:pPr>
            <w:r w:rsidRPr="00A73A1E">
              <w:t>Beam pattern</w:t>
            </w:r>
          </w:p>
        </w:tc>
        <w:tc>
          <w:tcPr>
            <w:tcW w:w="4110" w:type="dxa"/>
          </w:tcPr>
          <w:p w14:paraId="1F4815FB" w14:textId="77777777" w:rsidR="003244CE" w:rsidRPr="00A73A1E" w:rsidRDefault="003244CE" w:rsidP="00F61F49">
            <w:pPr>
              <w:pStyle w:val="Tabletext"/>
              <w:jc w:val="left"/>
            </w:pPr>
            <w:proofErr w:type="gramStart"/>
            <w:r w:rsidRPr="00A73A1E">
              <w:rPr>
                <w:i/>
              </w:rPr>
              <w:t>G</w:t>
            </w:r>
            <w:r w:rsidRPr="00A73A1E">
              <w:t>(</w:t>
            </w:r>
            <w:proofErr w:type="gramEnd"/>
            <w:r w:rsidRPr="00A73A1E">
              <w:rPr>
                <w:rFonts w:ascii="Symbol" w:hAnsi="Symbol"/>
              </w:rPr>
              <w:t></w:t>
            </w:r>
            <w:r w:rsidRPr="00A73A1E">
              <w:t>)</w:t>
            </w:r>
            <w:r>
              <w:t xml:space="preserve"> </w:t>
            </w:r>
            <w:r w:rsidRPr="00A73A1E">
              <w:rPr>
                <w:rFonts w:ascii="Symbol" w:hAnsi="Symbol"/>
              </w:rPr>
              <w:t></w:t>
            </w:r>
            <w:r>
              <w:t xml:space="preserve"> </w:t>
            </w:r>
            <w:r w:rsidRPr="00A73A1E">
              <w:t>{</w:t>
            </w:r>
            <w:r w:rsidRPr="00A73A1E">
              <w:rPr>
                <w:i/>
              </w:rPr>
              <w:t>G</w:t>
            </w:r>
            <w:r w:rsidRPr="00A73A1E">
              <w:rPr>
                <w:i/>
                <w:position w:val="-4"/>
              </w:rPr>
              <w:t>v</w:t>
            </w:r>
            <w:r w:rsidRPr="00A73A1E">
              <w:rPr>
                <w:rFonts w:ascii="Tms Rmn" w:hAnsi="Tms Rmn"/>
              </w:rPr>
              <w:t> </w:t>
            </w:r>
            <w:r w:rsidRPr="00A73A1E">
              <w:t>(</w:t>
            </w:r>
            <w:r w:rsidRPr="00A73A1E">
              <w:rPr>
                <w:rFonts w:ascii="Symbol" w:hAnsi="Symbol"/>
              </w:rPr>
              <w:t></w:t>
            </w:r>
            <w:r w:rsidRPr="00A73A1E">
              <w:rPr>
                <w:i/>
                <w:position w:val="-4"/>
              </w:rPr>
              <w:t>v</w:t>
            </w:r>
            <w:r w:rsidRPr="00A73A1E">
              <w:rPr>
                <w:rFonts w:ascii="Tms Rmn" w:hAnsi="Tms Rmn"/>
              </w:rPr>
              <w:t> </w:t>
            </w:r>
            <w:r w:rsidRPr="00A73A1E">
              <w:t>)</w:t>
            </w:r>
            <w:r>
              <w:t xml:space="preserve"> </w:t>
            </w:r>
            <w:r w:rsidRPr="00A73A1E">
              <w:rPr>
                <w:rFonts w:ascii="Symbol" w:hAnsi="Symbol"/>
              </w:rPr>
              <w:t></w:t>
            </w:r>
            <w:r>
              <w:t xml:space="preserve"> </w:t>
            </w:r>
            <w:r w:rsidRPr="00A73A1E">
              <w:rPr>
                <w:i/>
              </w:rPr>
              <w:t>G</w:t>
            </w:r>
            <w:r w:rsidRPr="00A73A1E">
              <w:rPr>
                <w:i/>
                <w:position w:val="-4"/>
              </w:rPr>
              <w:t>h</w:t>
            </w:r>
            <w:r w:rsidRPr="00A73A1E">
              <w:rPr>
                <w:rFonts w:ascii="Tms Rmn" w:hAnsi="Tms Rmn"/>
              </w:rPr>
              <w:t> </w:t>
            </w:r>
            <w:r w:rsidRPr="00A73A1E">
              <w:t>(</w:t>
            </w:r>
            <w:r w:rsidRPr="00A73A1E">
              <w:rPr>
                <w:rFonts w:ascii="Symbol" w:hAnsi="Symbol"/>
              </w:rPr>
              <w:t></w:t>
            </w:r>
            <w:r w:rsidRPr="00A73A1E">
              <w:rPr>
                <w:i/>
                <w:position w:val="-4"/>
              </w:rPr>
              <w:t>h</w:t>
            </w:r>
            <w:r w:rsidRPr="00A73A1E">
              <w:rPr>
                <w:rFonts w:ascii="Tms Rmn" w:hAnsi="Tms Rmn"/>
              </w:rPr>
              <w:t> </w:t>
            </w:r>
            <w:r w:rsidRPr="00A73A1E">
              <w:t>),</w:t>
            </w:r>
            <w:r>
              <w:t xml:space="preserve"> </w:t>
            </w:r>
            <w:r w:rsidRPr="00A73A1E">
              <w:t>–11} max</w:t>
            </w:r>
          </w:p>
        </w:tc>
        <w:tc>
          <w:tcPr>
            <w:tcW w:w="2694" w:type="dxa"/>
          </w:tcPr>
          <w:p w14:paraId="2B80043E" w14:textId="77777777" w:rsidR="003244CE" w:rsidRPr="00A73A1E" w:rsidRDefault="003244CE" w:rsidP="00F61F49">
            <w:pPr>
              <w:pStyle w:val="Tabletext"/>
              <w:jc w:val="center"/>
              <w:rPr>
                <w:lang w:eastAsia="ja-JP"/>
              </w:rPr>
            </w:pPr>
            <w:r w:rsidRPr="00A73A1E">
              <w:rPr>
                <w:lang w:eastAsia="ja-JP"/>
              </w:rPr>
              <w:t>-</w:t>
            </w:r>
          </w:p>
        </w:tc>
      </w:tr>
    </w:tbl>
    <w:p w14:paraId="6100A473" w14:textId="77777777" w:rsidR="003244CE" w:rsidRPr="00A73A1E" w:rsidRDefault="003244CE" w:rsidP="003244CE">
      <w:pPr>
        <w:pStyle w:val="Tablefin"/>
      </w:pPr>
    </w:p>
    <w:p w14:paraId="70B1AE2F" w14:textId="3C56DC2A" w:rsidR="003244CE" w:rsidRPr="00A73A1E" w:rsidRDefault="003244CE" w:rsidP="003244CE">
      <w:pPr>
        <w:pStyle w:val="TableNo"/>
      </w:pPr>
      <w:r w:rsidRPr="00A73A1E">
        <w:t>T</w:t>
      </w:r>
      <w:r w:rsidR="009F5488">
        <w:t>ABLE</w:t>
      </w:r>
      <w:r w:rsidRPr="00A73A1E">
        <w:t xml:space="preserve"> 3</w:t>
      </w:r>
    </w:p>
    <w:p w14:paraId="6B743C2E" w14:textId="77777777" w:rsidR="003244CE" w:rsidRPr="00A73A1E" w:rsidRDefault="003244CE" w:rsidP="003244CE">
      <w:pPr>
        <w:pStyle w:val="Tabletitle"/>
      </w:pPr>
      <w:r w:rsidRPr="00A73A1E">
        <w:t>Standard SAR2 antenna gain equations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67"/>
        <w:gridCol w:w="4110"/>
        <w:gridCol w:w="2694"/>
      </w:tblGrid>
      <w:tr w:rsidR="003244CE" w:rsidRPr="00A73A1E" w14:paraId="43BAAFAA" w14:textId="77777777" w:rsidTr="009C40C0">
        <w:trPr>
          <w:cantSplit/>
          <w:jc w:val="center"/>
        </w:trPr>
        <w:tc>
          <w:tcPr>
            <w:tcW w:w="1667" w:type="dxa"/>
            <w:vAlign w:val="center"/>
          </w:tcPr>
          <w:p w14:paraId="65359B55" w14:textId="77777777" w:rsidR="003244CE" w:rsidRPr="00A73A1E" w:rsidRDefault="003244CE" w:rsidP="001A71CF">
            <w:pPr>
              <w:pStyle w:val="Tablehead"/>
            </w:pPr>
            <w:r w:rsidRPr="00A73A1E">
              <w:t>Pattern</w:t>
            </w:r>
          </w:p>
        </w:tc>
        <w:tc>
          <w:tcPr>
            <w:tcW w:w="4110" w:type="dxa"/>
            <w:vAlign w:val="center"/>
          </w:tcPr>
          <w:p w14:paraId="5494F800" w14:textId="77777777" w:rsidR="003244CE" w:rsidRPr="00A73A1E" w:rsidRDefault="003244CE" w:rsidP="001A71CF">
            <w:pPr>
              <w:pStyle w:val="Tablehead"/>
            </w:pPr>
            <w:r w:rsidRPr="00A73A1E">
              <w:t xml:space="preserve">Gain </w:t>
            </w:r>
            <w:proofErr w:type="gramStart"/>
            <w:r w:rsidRPr="00A73A1E">
              <w:rPr>
                <w:i/>
              </w:rPr>
              <w:t>G</w:t>
            </w:r>
            <w:r w:rsidRPr="00A73A1E">
              <w:t>(</w:t>
            </w:r>
            <w:proofErr w:type="gramEnd"/>
            <w:r w:rsidRPr="00A73A1E">
              <w:rPr>
                <w:rFonts w:ascii="Symbol" w:hAnsi="Symbol"/>
              </w:rPr>
              <w:t></w:t>
            </w:r>
            <w:r w:rsidRPr="00A73A1E">
              <w:t>) (</w:t>
            </w:r>
            <w:proofErr w:type="spellStart"/>
            <w:r w:rsidRPr="00A73A1E">
              <w:t>dBi</w:t>
            </w:r>
            <w:proofErr w:type="spellEnd"/>
            <w:r w:rsidRPr="00A73A1E">
              <w:t>) as a function of</w:t>
            </w:r>
            <w:r w:rsidRPr="00A73A1E">
              <w:br/>
              <w:t xml:space="preserve">off-axis angle </w:t>
            </w:r>
            <w:r w:rsidRPr="00A73A1E">
              <w:rPr>
                <w:rFonts w:ascii="Symbol" w:hAnsi="Symbol"/>
              </w:rPr>
              <w:t></w:t>
            </w:r>
            <w:r w:rsidRPr="00A73A1E">
              <w:t xml:space="preserve"> (degrees)</w:t>
            </w:r>
          </w:p>
        </w:tc>
        <w:tc>
          <w:tcPr>
            <w:tcW w:w="2694" w:type="dxa"/>
            <w:vAlign w:val="center"/>
          </w:tcPr>
          <w:p w14:paraId="71FAF5F5" w14:textId="77777777" w:rsidR="003244CE" w:rsidRPr="00A73A1E" w:rsidRDefault="003244CE" w:rsidP="001A71CF">
            <w:pPr>
              <w:pStyle w:val="Tablehead"/>
            </w:pPr>
            <w:r w:rsidRPr="00A73A1E">
              <w:t>Angle range</w:t>
            </w:r>
          </w:p>
        </w:tc>
      </w:tr>
      <w:tr w:rsidR="003244CE" w:rsidRPr="00A73A1E" w14:paraId="34AE6D1B" w14:textId="77777777" w:rsidTr="009C40C0">
        <w:trPr>
          <w:cantSplit/>
          <w:jc w:val="center"/>
        </w:trPr>
        <w:tc>
          <w:tcPr>
            <w:tcW w:w="1667" w:type="dxa"/>
            <w:vAlign w:val="center"/>
          </w:tcPr>
          <w:p w14:paraId="6BF1E9BE" w14:textId="77777777" w:rsidR="003244CE" w:rsidRPr="00A73A1E" w:rsidRDefault="003244CE" w:rsidP="001A71CF">
            <w:pPr>
              <w:pStyle w:val="Tabletext"/>
              <w:jc w:val="left"/>
            </w:pPr>
            <w:r w:rsidRPr="00A73A1E">
              <w:t>Vertical</w:t>
            </w:r>
            <w:r w:rsidRPr="00A73A1E">
              <w:br/>
              <w:t>(elevation)</w:t>
            </w:r>
          </w:p>
        </w:tc>
        <w:tc>
          <w:tcPr>
            <w:tcW w:w="4110" w:type="dxa"/>
          </w:tcPr>
          <w:p w14:paraId="3AA107D3" w14:textId="77777777" w:rsidR="003244CE" w:rsidRPr="00A73A1E" w:rsidRDefault="003244CE" w:rsidP="001A71CF">
            <w:pPr>
              <w:pStyle w:val="Tabletext"/>
              <w:jc w:val="left"/>
            </w:pPr>
            <w:r w:rsidRPr="00A73A1E">
              <w:rPr>
                <w:i/>
              </w:rPr>
              <w:t>G</w:t>
            </w:r>
            <w:r w:rsidRPr="00A73A1E">
              <w:rPr>
                <w:i/>
                <w:position w:val="-4"/>
              </w:rPr>
              <w:t>v</w:t>
            </w:r>
            <w:r w:rsidRPr="00A73A1E">
              <w:rPr>
                <w:rFonts w:ascii="Tms Rmn" w:hAnsi="Tms Rmn"/>
              </w:rPr>
              <w:t> </w:t>
            </w:r>
            <w:r w:rsidRPr="00A73A1E">
              <w:t>(</w:t>
            </w:r>
            <w:r w:rsidRPr="00A73A1E">
              <w:rPr>
                <w:rFonts w:ascii="Symbol" w:hAnsi="Symbol"/>
              </w:rPr>
              <w:t></w:t>
            </w:r>
            <w:proofErr w:type="gramStart"/>
            <w:r w:rsidRPr="00A73A1E">
              <w:rPr>
                <w:i/>
                <w:position w:val="-4"/>
              </w:rPr>
              <w:t>v</w:t>
            </w:r>
            <w:r w:rsidRPr="00A73A1E">
              <w:rPr>
                <w:rFonts w:ascii="Tms Rmn" w:hAnsi="Tms Rmn"/>
              </w:rPr>
              <w:t> </w:t>
            </w:r>
            <w:r w:rsidRPr="00A73A1E">
              <w:t>)</w:t>
            </w:r>
            <w:proofErr w:type="gramEnd"/>
            <w:r>
              <w:t xml:space="preserve"> </w:t>
            </w:r>
            <w:r w:rsidRPr="00A73A1E">
              <w:rPr>
                <w:rFonts w:ascii="Symbol" w:hAnsi="Symbol"/>
              </w:rPr>
              <w:t></w:t>
            </w:r>
            <w:r w:rsidRPr="00A73A1E">
              <w:t xml:space="preserve"> 33.0 – 0.320(</w:t>
            </w:r>
            <w:r w:rsidRPr="00A73A1E">
              <w:rPr>
                <w:rFonts w:ascii="Symbol" w:hAnsi="Symbol"/>
              </w:rPr>
              <w:t></w:t>
            </w:r>
            <w:r w:rsidRPr="00A73A1E">
              <w:rPr>
                <w:i/>
                <w:position w:val="-4"/>
              </w:rPr>
              <w:t>v</w:t>
            </w:r>
            <w:r w:rsidRPr="00A73A1E">
              <w:rPr>
                <w:rFonts w:ascii="Tms Rmn" w:hAnsi="Tms Rmn"/>
              </w:rPr>
              <w:t> </w:t>
            </w:r>
            <w:r w:rsidRPr="00A73A1E">
              <w:t>)</w:t>
            </w:r>
            <w:r w:rsidRPr="00A73A1E">
              <w:rPr>
                <w:position w:val="6"/>
              </w:rPr>
              <w:t>2</w:t>
            </w:r>
            <w:r w:rsidRPr="00A73A1E">
              <w:br/>
            </w:r>
            <w:r w:rsidRPr="00A73A1E">
              <w:rPr>
                <w:i/>
              </w:rPr>
              <w:t>G</w:t>
            </w:r>
            <w:r w:rsidRPr="00A73A1E">
              <w:rPr>
                <w:i/>
                <w:position w:val="-4"/>
              </w:rPr>
              <w:t>v</w:t>
            </w:r>
            <w:r w:rsidRPr="00A73A1E">
              <w:rPr>
                <w:rFonts w:ascii="Tms Rmn" w:hAnsi="Tms Rmn"/>
              </w:rPr>
              <w:t> </w:t>
            </w:r>
            <w:r w:rsidRPr="00A73A1E">
              <w:t>(</w:t>
            </w:r>
            <w:r w:rsidRPr="00A73A1E">
              <w:rPr>
                <w:rFonts w:ascii="Symbol" w:hAnsi="Symbol"/>
              </w:rPr>
              <w:t></w:t>
            </w:r>
            <w:r w:rsidRPr="00A73A1E">
              <w:rPr>
                <w:i/>
                <w:position w:val="-4"/>
              </w:rPr>
              <w:t>v</w:t>
            </w:r>
            <w:r w:rsidRPr="00A73A1E">
              <w:rPr>
                <w:rFonts w:ascii="Tms Rmn" w:hAnsi="Tms Rmn"/>
              </w:rPr>
              <w:t> </w:t>
            </w:r>
            <w:r w:rsidRPr="00A73A1E">
              <w:t>)</w:t>
            </w:r>
            <w:r>
              <w:t xml:space="preserve"> </w:t>
            </w:r>
            <w:r w:rsidRPr="00A73A1E">
              <w:rPr>
                <w:rFonts w:ascii="Symbol" w:hAnsi="Symbol"/>
              </w:rPr>
              <w:t></w:t>
            </w:r>
            <w:r w:rsidRPr="00A73A1E">
              <w:t xml:space="preserve"> 30.4 – 0.818 </w:t>
            </w:r>
            <w:r w:rsidRPr="00A73A1E">
              <w:rPr>
                <w:rFonts w:ascii="Symbol" w:hAnsi="Symbol"/>
              </w:rPr>
              <w:t></w:t>
            </w:r>
            <w:r w:rsidRPr="00A73A1E">
              <w:rPr>
                <w:i/>
                <w:position w:val="-4"/>
              </w:rPr>
              <w:t>v</w:t>
            </w:r>
            <w:r w:rsidRPr="00A73A1E">
              <w:br/>
            </w:r>
            <w:r w:rsidRPr="00A73A1E">
              <w:rPr>
                <w:i/>
              </w:rPr>
              <w:t>G</w:t>
            </w:r>
            <w:r w:rsidRPr="00A73A1E">
              <w:rPr>
                <w:i/>
                <w:position w:val="-4"/>
              </w:rPr>
              <w:t>v</w:t>
            </w:r>
            <w:r w:rsidRPr="00A73A1E">
              <w:rPr>
                <w:rFonts w:ascii="Tms Rmn" w:hAnsi="Tms Rmn"/>
              </w:rPr>
              <w:t> </w:t>
            </w:r>
            <w:r w:rsidRPr="00A73A1E">
              <w:t>(</w:t>
            </w:r>
            <w:r w:rsidRPr="00A73A1E">
              <w:rPr>
                <w:rFonts w:ascii="Symbol" w:hAnsi="Symbol"/>
              </w:rPr>
              <w:t></w:t>
            </w:r>
            <w:r w:rsidRPr="00A73A1E">
              <w:rPr>
                <w:i/>
                <w:position w:val="-4"/>
              </w:rPr>
              <w:t>v</w:t>
            </w:r>
            <w:r w:rsidRPr="00A73A1E">
              <w:rPr>
                <w:rFonts w:ascii="Tms Rmn" w:hAnsi="Tms Rmn"/>
              </w:rPr>
              <w:t> </w:t>
            </w:r>
            <w:r w:rsidRPr="00A73A1E">
              <w:t>)</w:t>
            </w:r>
            <w:r>
              <w:t xml:space="preserve"> </w:t>
            </w:r>
            <w:r w:rsidRPr="00A73A1E">
              <w:rPr>
                <w:rFonts w:ascii="Symbol" w:hAnsi="Symbol"/>
              </w:rPr>
              <w:t></w:t>
            </w:r>
            <w:r w:rsidRPr="00A73A1E">
              <w:t xml:space="preserve"> –11</w:t>
            </w:r>
          </w:p>
        </w:tc>
        <w:tc>
          <w:tcPr>
            <w:tcW w:w="2694" w:type="dxa"/>
          </w:tcPr>
          <w:p w14:paraId="4EB5EF69" w14:textId="385E48EE" w:rsidR="003244CE" w:rsidRPr="00A73A1E" w:rsidRDefault="003244CE" w:rsidP="001A71CF">
            <w:pPr>
              <w:pStyle w:val="Tabletext"/>
              <w:jc w:val="center"/>
            </w:pPr>
            <w:r w:rsidRPr="00A73A1E">
              <w:t>0</w:t>
            </w:r>
            <w:r w:rsidRPr="00A73A1E">
              <w:rPr>
                <w:rFonts w:ascii="Symbol" w:hAnsi="Symbol"/>
              </w:rPr>
              <w:t></w:t>
            </w:r>
            <w:r w:rsidRPr="00A73A1E">
              <w:rPr>
                <w:rFonts w:ascii="Symbol" w:hAnsi="Symbol"/>
              </w:rPr>
              <w:tab/>
            </w:r>
            <w:r w:rsidRPr="00A73A1E">
              <w:rPr>
                <w:rFonts w:ascii="Symbol" w:hAnsi="Symbol"/>
              </w:rPr>
              <w:t></w:t>
            </w:r>
            <w:r>
              <w:t xml:space="preserve"> </w:t>
            </w:r>
            <w:r w:rsidRPr="00A73A1E">
              <w:rPr>
                <w:rtl/>
                <w:lang w:bidi="he-IL"/>
              </w:rPr>
              <w:t>׀</w:t>
            </w:r>
            <w:r w:rsidRPr="00A73A1E">
              <w:rPr>
                <w:rFonts w:ascii="Symbol" w:hAnsi="Symbol"/>
              </w:rPr>
              <w:t></w:t>
            </w:r>
            <w:r w:rsidRPr="00A73A1E">
              <w:rPr>
                <w:i/>
                <w:position w:val="-4"/>
              </w:rPr>
              <w:t>v</w:t>
            </w:r>
            <w:r w:rsidRPr="00A73A1E">
              <w:rPr>
                <w:rtl/>
                <w:lang w:bidi="he-IL"/>
              </w:rPr>
              <w:t>׀</w:t>
            </w:r>
            <w:r>
              <w:rPr>
                <w:lang w:bidi="he-IL"/>
              </w:rPr>
              <w:t xml:space="preserve"> </w:t>
            </w:r>
            <w:r w:rsidRPr="00A73A1E">
              <w:rPr>
                <w:rFonts w:ascii="Symbol" w:hAnsi="Symbol"/>
              </w:rPr>
              <w:t></w:t>
            </w:r>
            <w:r>
              <w:t xml:space="preserve"> </w:t>
            </w:r>
            <w:r w:rsidRPr="00A73A1E">
              <w:t>4.4</w:t>
            </w:r>
            <w:r w:rsidRPr="00A73A1E">
              <w:rPr>
                <w:rFonts w:ascii="Symbol" w:hAnsi="Symbol"/>
              </w:rPr>
              <w:t></w:t>
            </w:r>
            <w:r w:rsidRPr="00A73A1E">
              <w:br/>
            </w:r>
            <w:r w:rsidRPr="00A73A1E">
              <w:rPr>
                <w:rFonts w:ascii="Cambria Math" w:hAnsi="Cambria Math" w:cs="Cambria Math"/>
              </w:rPr>
              <w:t> </w:t>
            </w:r>
            <w:r w:rsidRPr="00A73A1E">
              <w:t>4.4</w:t>
            </w:r>
            <w:r w:rsidRPr="00A73A1E">
              <w:rPr>
                <w:rFonts w:ascii="Symbol" w:hAnsi="Symbol"/>
              </w:rPr>
              <w:t></w:t>
            </w:r>
            <w:r w:rsidRPr="00A73A1E">
              <w:tab/>
              <w:t>≤</w:t>
            </w:r>
            <w:r>
              <w:t xml:space="preserve"> </w:t>
            </w:r>
            <w:r w:rsidRPr="00A73A1E">
              <w:rPr>
                <w:rtl/>
                <w:lang w:bidi="he-IL"/>
              </w:rPr>
              <w:t>׀</w:t>
            </w:r>
            <w:r w:rsidRPr="00A73A1E">
              <w:rPr>
                <w:rFonts w:ascii="Symbol" w:hAnsi="Symbol"/>
              </w:rPr>
              <w:t></w:t>
            </w:r>
            <w:r w:rsidRPr="00A73A1E">
              <w:rPr>
                <w:i/>
                <w:position w:val="-4"/>
              </w:rPr>
              <w:t>v</w:t>
            </w:r>
            <w:r w:rsidRPr="00A73A1E">
              <w:rPr>
                <w:rtl/>
                <w:lang w:bidi="he-IL"/>
              </w:rPr>
              <w:t>׀</w:t>
            </w:r>
            <w:r w:rsidRPr="00A73A1E">
              <w:rPr>
                <w:rFonts w:ascii="Symbol" w:hAnsi="Symbol"/>
              </w:rPr>
              <w:t></w:t>
            </w:r>
            <w:r w:rsidRPr="00A73A1E">
              <w:rPr>
                <w:rFonts w:ascii="Symbol" w:hAnsi="Symbol"/>
              </w:rPr>
              <w:t></w:t>
            </w:r>
            <w:r>
              <w:t xml:space="preserve"> </w:t>
            </w:r>
            <w:r w:rsidRPr="00A73A1E">
              <w:t>50.6</w:t>
            </w:r>
            <w:r w:rsidRPr="00A73A1E">
              <w:rPr>
                <w:rFonts w:ascii="Symbol" w:hAnsi="Symbol"/>
              </w:rPr>
              <w:t></w:t>
            </w:r>
            <w:r w:rsidRPr="00A73A1E">
              <w:br/>
            </w:r>
            <w:r w:rsidRPr="00A73A1E">
              <w:tab/>
            </w:r>
            <w:r w:rsidRPr="00A73A1E">
              <w:rPr>
                <w:rFonts w:ascii="Cambria Math" w:hAnsi="Cambria Math" w:cs="Cambria Math"/>
              </w:rPr>
              <w:t> </w:t>
            </w:r>
            <w:r w:rsidRPr="00A73A1E">
              <w:rPr>
                <w:rtl/>
                <w:lang w:bidi="he-IL"/>
              </w:rPr>
              <w:t>׀</w:t>
            </w:r>
            <w:r w:rsidRPr="00A73A1E">
              <w:rPr>
                <w:rFonts w:ascii="Symbol" w:hAnsi="Symbol"/>
              </w:rPr>
              <w:t></w:t>
            </w:r>
            <w:proofErr w:type="gramStart"/>
            <w:r w:rsidRPr="00A73A1E">
              <w:rPr>
                <w:i/>
                <w:position w:val="-4"/>
              </w:rPr>
              <w:t>v</w:t>
            </w:r>
            <w:r>
              <w:rPr>
                <w:i/>
                <w:position w:val="-4"/>
              </w:rPr>
              <w:t xml:space="preserve"> </w:t>
            </w:r>
            <w:r w:rsidRPr="00A73A1E">
              <w:rPr>
                <w:rtl/>
                <w:lang w:bidi="he-IL"/>
              </w:rPr>
              <w:t xml:space="preserve"> ׀</w:t>
            </w:r>
            <w:proofErr w:type="gramEnd"/>
            <w:r w:rsidRPr="00A73A1E">
              <w:rPr>
                <w:rFonts w:ascii="Symbol" w:hAnsi="Symbol"/>
              </w:rPr>
              <w:t></w:t>
            </w:r>
            <w:r w:rsidRPr="00A73A1E">
              <w:t>≥</w:t>
            </w:r>
            <w:r>
              <w:t xml:space="preserve"> </w:t>
            </w:r>
            <w:r w:rsidRPr="00A73A1E">
              <w:t>50.6</w:t>
            </w:r>
            <w:r w:rsidRPr="00A73A1E">
              <w:rPr>
                <w:rFonts w:ascii="Symbol" w:hAnsi="Symbol"/>
              </w:rPr>
              <w:t></w:t>
            </w:r>
          </w:p>
        </w:tc>
      </w:tr>
      <w:tr w:rsidR="003244CE" w:rsidRPr="00A73A1E" w14:paraId="7903ADB9" w14:textId="77777777" w:rsidTr="009C40C0">
        <w:trPr>
          <w:cantSplit/>
          <w:jc w:val="center"/>
        </w:trPr>
        <w:tc>
          <w:tcPr>
            <w:tcW w:w="1667" w:type="dxa"/>
            <w:vAlign w:val="center"/>
          </w:tcPr>
          <w:p w14:paraId="229C761C" w14:textId="77777777" w:rsidR="003244CE" w:rsidRPr="00A73A1E" w:rsidRDefault="003244CE" w:rsidP="001A71CF">
            <w:pPr>
              <w:pStyle w:val="Tabletext"/>
              <w:jc w:val="left"/>
            </w:pPr>
            <w:r w:rsidRPr="00A73A1E">
              <w:t>Horizontal</w:t>
            </w:r>
            <w:r w:rsidRPr="00A73A1E">
              <w:br/>
              <w:t>(azimuth)</w:t>
            </w:r>
          </w:p>
        </w:tc>
        <w:tc>
          <w:tcPr>
            <w:tcW w:w="4110" w:type="dxa"/>
          </w:tcPr>
          <w:p w14:paraId="676BC6B8" w14:textId="77777777" w:rsidR="003244CE" w:rsidRPr="00A73A1E" w:rsidRDefault="003244CE" w:rsidP="001A71CF">
            <w:pPr>
              <w:pStyle w:val="Tabletext"/>
              <w:jc w:val="left"/>
            </w:pPr>
            <w:r w:rsidRPr="00A73A1E">
              <w:rPr>
                <w:i/>
              </w:rPr>
              <w:t>G</w:t>
            </w:r>
            <w:r w:rsidRPr="00A73A1E">
              <w:rPr>
                <w:i/>
                <w:position w:val="-4"/>
              </w:rPr>
              <w:t>h</w:t>
            </w:r>
            <w:r w:rsidRPr="00A73A1E">
              <w:rPr>
                <w:rFonts w:ascii="Tms Rmn" w:hAnsi="Tms Rmn"/>
              </w:rPr>
              <w:t> </w:t>
            </w:r>
            <w:r w:rsidRPr="00A73A1E">
              <w:t>(</w:t>
            </w:r>
            <w:r w:rsidRPr="00A73A1E">
              <w:rPr>
                <w:rFonts w:ascii="Symbol" w:hAnsi="Symbol"/>
              </w:rPr>
              <w:t></w:t>
            </w:r>
            <w:proofErr w:type="gramStart"/>
            <w:r w:rsidRPr="00A73A1E">
              <w:rPr>
                <w:i/>
                <w:position w:val="-4"/>
              </w:rPr>
              <w:t>h</w:t>
            </w:r>
            <w:r w:rsidRPr="00A73A1E">
              <w:rPr>
                <w:rFonts w:ascii="Tms Rmn" w:hAnsi="Tms Rmn"/>
              </w:rPr>
              <w:t> </w:t>
            </w:r>
            <w:r w:rsidRPr="00A73A1E">
              <w:t>)</w:t>
            </w:r>
            <w:proofErr w:type="gramEnd"/>
            <w:r>
              <w:t xml:space="preserve"> </w:t>
            </w:r>
            <w:r w:rsidRPr="00A73A1E">
              <w:rPr>
                <w:rFonts w:ascii="Symbol" w:hAnsi="Symbol"/>
              </w:rPr>
              <w:t></w:t>
            </w:r>
            <w:r w:rsidRPr="00A73A1E">
              <w:t xml:space="preserve"> 0.0 – 19.6(</w:t>
            </w:r>
            <w:r w:rsidRPr="00A73A1E">
              <w:rPr>
                <w:rFonts w:ascii="Symbol" w:hAnsi="Symbol"/>
              </w:rPr>
              <w:t></w:t>
            </w:r>
            <w:r w:rsidRPr="00A73A1E">
              <w:rPr>
                <w:i/>
                <w:position w:val="-4"/>
              </w:rPr>
              <w:t>h</w:t>
            </w:r>
            <w:r w:rsidRPr="00A73A1E">
              <w:rPr>
                <w:rFonts w:ascii="Tms Rmn" w:hAnsi="Tms Rmn"/>
                <w:position w:val="-4"/>
                <w:vertAlign w:val="subscript"/>
              </w:rPr>
              <w:t> </w:t>
            </w:r>
            <w:r w:rsidRPr="00A73A1E">
              <w:t>)</w:t>
            </w:r>
            <w:r w:rsidRPr="00A73A1E">
              <w:rPr>
                <w:position w:val="6"/>
              </w:rPr>
              <w:t>2</w:t>
            </w:r>
            <w:r w:rsidRPr="00A73A1E">
              <w:br/>
            </w:r>
            <w:r w:rsidRPr="00A73A1E">
              <w:rPr>
                <w:i/>
              </w:rPr>
              <w:t>G</w:t>
            </w:r>
            <w:r w:rsidRPr="00A73A1E">
              <w:rPr>
                <w:i/>
                <w:position w:val="-4"/>
              </w:rPr>
              <w:t>h</w:t>
            </w:r>
            <w:r w:rsidRPr="00A73A1E">
              <w:rPr>
                <w:rFonts w:ascii="Tms Rmn" w:hAnsi="Tms Rmn"/>
              </w:rPr>
              <w:t> </w:t>
            </w:r>
            <w:r w:rsidRPr="00A73A1E">
              <w:t>(</w:t>
            </w:r>
            <w:r w:rsidRPr="00A73A1E">
              <w:rPr>
                <w:rFonts w:ascii="Symbol" w:hAnsi="Symbol"/>
              </w:rPr>
              <w:t></w:t>
            </w:r>
            <w:r w:rsidRPr="00A73A1E">
              <w:rPr>
                <w:i/>
                <w:position w:val="-4"/>
              </w:rPr>
              <w:t>h</w:t>
            </w:r>
            <w:r w:rsidRPr="00A73A1E">
              <w:rPr>
                <w:rFonts w:ascii="Tms Rmn" w:hAnsi="Tms Rmn"/>
              </w:rPr>
              <w:t> </w:t>
            </w:r>
            <w:r w:rsidRPr="00A73A1E">
              <w:t>)</w:t>
            </w:r>
            <w:r>
              <w:t xml:space="preserve"> </w:t>
            </w:r>
            <w:r w:rsidRPr="00A73A1E">
              <w:rPr>
                <w:rFonts w:ascii="Symbol" w:hAnsi="Symbol"/>
              </w:rPr>
              <w:t></w:t>
            </w:r>
            <w:r w:rsidRPr="00A73A1E">
              <w:t xml:space="preserve"> –24.5 – 0.47 </w:t>
            </w:r>
            <w:r w:rsidRPr="00A73A1E">
              <w:rPr>
                <w:rFonts w:ascii="Symbol" w:hAnsi="Symbol"/>
              </w:rPr>
              <w:t></w:t>
            </w:r>
            <w:r w:rsidRPr="00A73A1E">
              <w:rPr>
                <w:i/>
                <w:position w:val="-4"/>
              </w:rPr>
              <w:t>h</w:t>
            </w:r>
            <w:r w:rsidRPr="00A73A1E">
              <w:br/>
            </w:r>
            <w:r w:rsidRPr="00A73A1E">
              <w:rPr>
                <w:i/>
              </w:rPr>
              <w:t>G</w:t>
            </w:r>
            <w:r w:rsidRPr="00A73A1E">
              <w:rPr>
                <w:i/>
                <w:position w:val="-4"/>
              </w:rPr>
              <w:t>h</w:t>
            </w:r>
            <w:r w:rsidRPr="00A73A1E">
              <w:rPr>
                <w:rFonts w:ascii="Tms Rmn" w:hAnsi="Tms Rmn"/>
              </w:rPr>
              <w:t> </w:t>
            </w:r>
            <w:r w:rsidRPr="00A73A1E">
              <w:t>(</w:t>
            </w:r>
            <w:r w:rsidRPr="00A73A1E">
              <w:rPr>
                <w:rFonts w:ascii="Symbol" w:hAnsi="Symbol"/>
              </w:rPr>
              <w:t></w:t>
            </w:r>
            <w:r w:rsidRPr="00A73A1E">
              <w:rPr>
                <w:i/>
                <w:position w:val="-4"/>
              </w:rPr>
              <w:t>h</w:t>
            </w:r>
            <w:r w:rsidRPr="00A73A1E">
              <w:rPr>
                <w:rFonts w:ascii="Tms Rmn" w:hAnsi="Tms Rmn"/>
              </w:rPr>
              <w:t> </w:t>
            </w:r>
            <w:r w:rsidRPr="00A73A1E">
              <w:t>)</w:t>
            </w:r>
            <w:r>
              <w:t xml:space="preserve"> </w:t>
            </w:r>
            <w:r w:rsidRPr="00A73A1E">
              <w:rPr>
                <w:rFonts w:ascii="Symbol" w:hAnsi="Symbol"/>
              </w:rPr>
              <w:t></w:t>
            </w:r>
            <w:r w:rsidRPr="00A73A1E">
              <w:t xml:space="preserve"> –30.5</w:t>
            </w:r>
          </w:p>
        </w:tc>
        <w:tc>
          <w:tcPr>
            <w:tcW w:w="2694" w:type="dxa"/>
          </w:tcPr>
          <w:p w14:paraId="2CB363AD" w14:textId="77777777" w:rsidR="003244CE" w:rsidRPr="00A73A1E" w:rsidRDefault="003244CE" w:rsidP="001A71CF">
            <w:pPr>
              <w:pStyle w:val="Tabletext"/>
              <w:jc w:val="center"/>
            </w:pPr>
            <w:r w:rsidRPr="00A73A1E">
              <w:t>0</w:t>
            </w:r>
            <w:r w:rsidRPr="00A73A1E">
              <w:rPr>
                <w:rFonts w:ascii="Symbol" w:hAnsi="Symbol"/>
              </w:rPr>
              <w:t></w:t>
            </w:r>
            <w:r w:rsidRPr="00A73A1E">
              <w:rPr>
                <w:rFonts w:ascii="Symbol" w:hAnsi="Symbol"/>
              </w:rPr>
              <w:tab/>
            </w:r>
            <w:r w:rsidRPr="00A73A1E">
              <w:rPr>
                <w:rFonts w:ascii="Symbol" w:hAnsi="Symbol"/>
              </w:rPr>
              <w:t></w:t>
            </w:r>
            <w:r>
              <w:t xml:space="preserve"> </w:t>
            </w:r>
            <w:r w:rsidRPr="00A73A1E">
              <w:rPr>
                <w:rtl/>
                <w:lang w:bidi="he-IL"/>
              </w:rPr>
              <w:t>׀</w:t>
            </w:r>
            <w:r w:rsidRPr="00A73A1E">
              <w:rPr>
                <w:rFonts w:ascii="Symbol" w:hAnsi="Symbol"/>
              </w:rPr>
              <w:t></w:t>
            </w:r>
            <w:r w:rsidRPr="00A73A1E">
              <w:rPr>
                <w:i/>
                <w:position w:val="-4"/>
              </w:rPr>
              <w:t>h</w:t>
            </w:r>
            <w:r w:rsidRPr="00A73A1E">
              <w:rPr>
                <w:rtl/>
                <w:lang w:bidi="he-IL"/>
              </w:rPr>
              <w:t>׀</w:t>
            </w:r>
            <w:r w:rsidRPr="00A73A1E">
              <w:rPr>
                <w:rFonts w:ascii="Symbol" w:hAnsi="Symbol"/>
              </w:rPr>
              <w:t></w:t>
            </w:r>
            <w:r w:rsidRPr="00A73A1E">
              <w:rPr>
                <w:rFonts w:ascii="Symbol" w:hAnsi="Symbol"/>
              </w:rPr>
              <w:t></w:t>
            </w:r>
            <w:r>
              <w:t xml:space="preserve"> </w:t>
            </w:r>
            <w:r w:rsidRPr="00A73A1E">
              <w:t>1.13</w:t>
            </w:r>
            <w:r w:rsidRPr="00A73A1E">
              <w:rPr>
                <w:rFonts w:ascii="Symbol" w:hAnsi="Symbol"/>
              </w:rPr>
              <w:t></w:t>
            </w:r>
            <w:r w:rsidRPr="00A73A1E">
              <w:br/>
              <w:t>1.13</w:t>
            </w:r>
            <w:r w:rsidRPr="00A73A1E">
              <w:rPr>
                <w:rFonts w:ascii="Symbol" w:hAnsi="Symbol"/>
              </w:rPr>
              <w:t></w:t>
            </w:r>
            <w:r w:rsidRPr="00A73A1E">
              <w:rPr>
                <w:rFonts w:ascii="Symbol" w:hAnsi="Symbol"/>
              </w:rPr>
              <w:tab/>
            </w:r>
            <w:r w:rsidRPr="00A73A1E">
              <w:t>≤</w:t>
            </w:r>
            <w:r>
              <w:t xml:space="preserve"> </w:t>
            </w:r>
            <w:r w:rsidRPr="00A73A1E">
              <w:rPr>
                <w:rtl/>
                <w:lang w:bidi="he-IL"/>
              </w:rPr>
              <w:t>׀</w:t>
            </w:r>
            <w:r w:rsidRPr="00A73A1E">
              <w:rPr>
                <w:rFonts w:ascii="Symbol" w:hAnsi="Symbol"/>
              </w:rPr>
              <w:t></w:t>
            </w:r>
            <w:r w:rsidRPr="00A73A1E">
              <w:rPr>
                <w:i/>
                <w:position w:val="-4"/>
              </w:rPr>
              <w:t>h</w:t>
            </w:r>
            <w:r>
              <w:rPr>
                <w:lang w:bidi="he-IL"/>
              </w:rPr>
              <w:t xml:space="preserve"> </w:t>
            </w:r>
            <w:r w:rsidRPr="00A73A1E">
              <w:rPr>
                <w:rtl/>
                <w:lang w:bidi="he-IL"/>
              </w:rPr>
              <w:t>׀</w:t>
            </w:r>
            <w:r w:rsidRPr="00A73A1E">
              <w:rPr>
                <w:rFonts w:ascii="Symbol" w:hAnsi="Symbol"/>
              </w:rPr>
              <w:t></w:t>
            </w:r>
            <w:r w:rsidRPr="00A73A1E">
              <w:rPr>
                <w:rFonts w:ascii="Symbol" w:hAnsi="Symbol"/>
              </w:rPr>
              <w:t></w:t>
            </w:r>
            <w:r>
              <w:t xml:space="preserve"> </w:t>
            </w:r>
            <w:r w:rsidRPr="00A73A1E">
              <w:t>12.7</w:t>
            </w:r>
            <w:r w:rsidRPr="00A73A1E">
              <w:rPr>
                <w:rFonts w:ascii="Symbol" w:hAnsi="Symbol"/>
              </w:rPr>
              <w:t></w:t>
            </w:r>
            <w:r w:rsidRPr="00A73A1E">
              <w:br/>
            </w:r>
            <w:r w:rsidRPr="00A73A1E">
              <w:tab/>
            </w:r>
            <w:r>
              <w:t xml:space="preserve"> </w:t>
            </w:r>
            <w:r w:rsidRPr="00A73A1E">
              <w:rPr>
                <w:rtl/>
                <w:lang w:bidi="he-IL"/>
              </w:rPr>
              <w:t>׀</w:t>
            </w:r>
            <w:r w:rsidRPr="00A73A1E">
              <w:rPr>
                <w:rFonts w:ascii="Symbol" w:hAnsi="Symbol"/>
              </w:rPr>
              <w:t></w:t>
            </w:r>
            <w:r w:rsidRPr="00A73A1E">
              <w:rPr>
                <w:i/>
                <w:position w:val="-4"/>
              </w:rPr>
              <w:t>h</w:t>
            </w:r>
            <w:r>
              <w:rPr>
                <w:lang w:bidi="he-IL"/>
              </w:rPr>
              <w:t xml:space="preserve"> </w:t>
            </w:r>
            <w:r w:rsidRPr="00A73A1E">
              <w:rPr>
                <w:rtl/>
                <w:lang w:bidi="he-IL"/>
              </w:rPr>
              <w:t>׀</w:t>
            </w:r>
            <w:r w:rsidRPr="00A73A1E">
              <w:rPr>
                <w:rFonts w:ascii="Symbol" w:hAnsi="Symbol"/>
              </w:rPr>
              <w:t></w:t>
            </w:r>
            <w:r w:rsidRPr="00A73A1E">
              <w:rPr>
                <w:rFonts w:ascii="Symbol" w:hAnsi="Symbol"/>
              </w:rPr>
              <w:t></w:t>
            </w:r>
            <w:r w:rsidRPr="00A73A1E">
              <w:t>≥</w:t>
            </w:r>
            <w:r>
              <w:t xml:space="preserve"> </w:t>
            </w:r>
            <w:r w:rsidRPr="00A73A1E">
              <w:t>12.7</w:t>
            </w:r>
            <w:r w:rsidRPr="00A73A1E">
              <w:rPr>
                <w:rFonts w:ascii="Symbol" w:hAnsi="Symbol"/>
              </w:rPr>
              <w:t></w:t>
            </w:r>
          </w:p>
        </w:tc>
      </w:tr>
      <w:tr w:rsidR="003244CE" w:rsidRPr="00A73A1E" w14:paraId="662733AE" w14:textId="77777777" w:rsidTr="009C40C0">
        <w:trPr>
          <w:cantSplit/>
          <w:jc w:val="center"/>
        </w:trPr>
        <w:tc>
          <w:tcPr>
            <w:tcW w:w="1667" w:type="dxa"/>
            <w:vAlign w:val="center"/>
          </w:tcPr>
          <w:p w14:paraId="1D2C9629" w14:textId="77777777" w:rsidR="003244CE" w:rsidRPr="00A73A1E" w:rsidRDefault="003244CE" w:rsidP="001A71CF">
            <w:pPr>
              <w:pStyle w:val="Tabletext"/>
              <w:jc w:val="left"/>
            </w:pPr>
            <w:r w:rsidRPr="00A73A1E">
              <w:t>Beam pattern</w:t>
            </w:r>
          </w:p>
        </w:tc>
        <w:tc>
          <w:tcPr>
            <w:tcW w:w="4110" w:type="dxa"/>
          </w:tcPr>
          <w:p w14:paraId="5289516D" w14:textId="77777777" w:rsidR="003244CE" w:rsidRPr="00A73A1E" w:rsidRDefault="003244CE" w:rsidP="001A71CF">
            <w:pPr>
              <w:pStyle w:val="Tabletext"/>
              <w:jc w:val="left"/>
            </w:pPr>
            <w:proofErr w:type="gramStart"/>
            <w:r w:rsidRPr="00A73A1E">
              <w:rPr>
                <w:i/>
              </w:rPr>
              <w:t>G</w:t>
            </w:r>
            <w:r w:rsidRPr="00A73A1E">
              <w:t>(</w:t>
            </w:r>
            <w:proofErr w:type="gramEnd"/>
            <w:r w:rsidRPr="00A73A1E">
              <w:rPr>
                <w:rFonts w:ascii="Symbol" w:hAnsi="Symbol"/>
              </w:rPr>
              <w:t></w:t>
            </w:r>
            <w:r w:rsidRPr="00A73A1E">
              <w:t xml:space="preserve">)  </w:t>
            </w:r>
            <w:r w:rsidRPr="00A73A1E">
              <w:rPr>
                <w:rFonts w:ascii="Symbol" w:hAnsi="Symbol"/>
              </w:rPr>
              <w:t></w:t>
            </w:r>
            <w:r w:rsidRPr="00A73A1E">
              <w:t xml:space="preserve"> {</w:t>
            </w:r>
            <w:r w:rsidRPr="00A73A1E">
              <w:rPr>
                <w:i/>
              </w:rPr>
              <w:t>G</w:t>
            </w:r>
            <w:r w:rsidRPr="00A73A1E">
              <w:rPr>
                <w:i/>
                <w:position w:val="-4"/>
              </w:rPr>
              <w:t>v</w:t>
            </w:r>
            <w:r w:rsidRPr="00A73A1E">
              <w:rPr>
                <w:rFonts w:ascii="Tms Rmn" w:hAnsi="Tms Rmn"/>
              </w:rPr>
              <w:t> </w:t>
            </w:r>
            <w:r w:rsidRPr="00A73A1E">
              <w:t>(</w:t>
            </w:r>
            <w:r w:rsidRPr="00A73A1E">
              <w:rPr>
                <w:rFonts w:ascii="Symbol" w:hAnsi="Symbol"/>
              </w:rPr>
              <w:t></w:t>
            </w:r>
            <w:r w:rsidRPr="00A73A1E">
              <w:rPr>
                <w:i/>
                <w:position w:val="-4"/>
              </w:rPr>
              <w:t>v</w:t>
            </w:r>
            <w:r w:rsidRPr="00A73A1E">
              <w:rPr>
                <w:rFonts w:ascii="Tms Rmn" w:hAnsi="Tms Rmn"/>
              </w:rPr>
              <w:t> </w:t>
            </w:r>
            <w:r w:rsidRPr="00A73A1E">
              <w:t xml:space="preserve">) </w:t>
            </w:r>
            <w:r w:rsidRPr="00A73A1E">
              <w:rPr>
                <w:rFonts w:ascii="Symbol" w:hAnsi="Symbol"/>
              </w:rPr>
              <w:t></w:t>
            </w:r>
            <w:r w:rsidRPr="00A73A1E">
              <w:t xml:space="preserve"> </w:t>
            </w:r>
            <w:r w:rsidRPr="00A73A1E">
              <w:rPr>
                <w:i/>
              </w:rPr>
              <w:t>G</w:t>
            </w:r>
            <w:r w:rsidRPr="00A73A1E">
              <w:rPr>
                <w:i/>
                <w:position w:val="-4"/>
              </w:rPr>
              <w:t>h</w:t>
            </w:r>
            <w:r w:rsidRPr="00A73A1E">
              <w:rPr>
                <w:rFonts w:ascii="Tms Rmn" w:hAnsi="Tms Rmn"/>
              </w:rPr>
              <w:t> </w:t>
            </w:r>
            <w:r w:rsidRPr="00A73A1E">
              <w:t>(</w:t>
            </w:r>
            <w:r w:rsidRPr="00A73A1E">
              <w:rPr>
                <w:rFonts w:ascii="Symbol" w:hAnsi="Symbol"/>
              </w:rPr>
              <w:t></w:t>
            </w:r>
            <w:r w:rsidRPr="00A73A1E">
              <w:rPr>
                <w:i/>
                <w:position w:val="-4"/>
              </w:rPr>
              <w:t>h</w:t>
            </w:r>
            <w:r w:rsidRPr="00A73A1E">
              <w:rPr>
                <w:rFonts w:ascii="Tms Rmn" w:hAnsi="Tms Rmn"/>
              </w:rPr>
              <w:t> </w:t>
            </w:r>
            <w:r w:rsidRPr="00A73A1E">
              <w:t>), –11} max</w:t>
            </w:r>
          </w:p>
        </w:tc>
        <w:tc>
          <w:tcPr>
            <w:tcW w:w="2694" w:type="dxa"/>
          </w:tcPr>
          <w:p w14:paraId="790594B7" w14:textId="77777777" w:rsidR="003244CE" w:rsidRPr="00A73A1E" w:rsidRDefault="003244CE" w:rsidP="001A71CF">
            <w:pPr>
              <w:pStyle w:val="Tabletext"/>
              <w:jc w:val="center"/>
            </w:pPr>
            <w:r w:rsidRPr="00A73A1E">
              <w:rPr>
                <w:lang w:eastAsia="ja-JP"/>
              </w:rPr>
              <w:t>-</w:t>
            </w:r>
          </w:p>
        </w:tc>
      </w:tr>
    </w:tbl>
    <w:p w14:paraId="08F67627" w14:textId="77777777" w:rsidR="003244CE" w:rsidRPr="00A73A1E" w:rsidRDefault="003244CE" w:rsidP="003244CE">
      <w:pPr>
        <w:pStyle w:val="Tablefin"/>
      </w:pPr>
    </w:p>
    <w:p w14:paraId="721F64C5" w14:textId="5774C212" w:rsidR="003244CE" w:rsidRPr="00A73A1E" w:rsidRDefault="003244CE" w:rsidP="00167153">
      <w:pPr>
        <w:pStyle w:val="TableNo"/>
        <w:keepLines/>
      </w:pPr>
      <w:r w:rsidRPr="00A73A1E">
        <w:lastRenderedPageBreak/>
        <w:t>T</w:t>
      </w:r>
      <w:r w:rsidR="00BC5388">
        <w:t>ABLE</w:t>
      </w:r>
      <w:r w:rsidRPr="00A73A1E">
        <w:t xml:space="preserve"> 4</w:t>
      </w:r>
    </w:p>
    <w:p w14:paraId="3969D905" w14:textId="77777777" w:rsidR="003244CE" w:rsidRPr="00A73A1E" w:rsidRDefault="003244CE" w:rsidP="00167153">
      <w:pPr>
        <w:pStyle w:val="Tabletitle"/>
        <w:keepLines/>
        <w:rPr>
          <w:lang w:eastAsia="ja-JP"/>
        </w:rPr>
      </w:pPr>
      <w:r w:rsidRPr="00A73A1E">
        <w:t>Standard SAR</w:t>
      </w:r>
      <w:r w:rsidRPr="00A73A1E">
        <w:rPr>
          <w:lang w:eastAsia="ja-JP"/>
        </w:rPr>
        <w:t>3</w:t>
      </w:r>
      <w:r w:rsidRPr="00A73A1E">
        <w:t xml:space="preserve"> antenna gain equations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464"/>
        <w:gridCol w:w="4819"/>
        <w:gridCol w:w="2789"/>
      </w:tblGrid>
      <w:tr w:rsidR="003244CE" w:rsidRPr="00A73A1E" w14:paraId="6A81420A" w14:textId="77777777" w:rsidTr="00167153">
        <w:trPr>
          <w:cantSplit/>
          <w:tblHeader/>
          <w:jc w:val="center"/>
        </w:trPr>
        <w:tc>
          <w:tcPr>
            <w:tcW w:w="1367" w:type="dxa"/>
            <w:vAlign w:val="center"/>
          </w:tcPr>
          <w:p w14:paraId="2CB76D9C" w14:textId="77777777" w:rsidR="003244CE" w:rsidRPr="00167153" w:rsidRDefault="003244CE" w:rsidP="00167153">
            <w:pPr>
              <w:pStyle w:val="Tablehead"/>
              <w:keepLines/>
              <w:rPr>
                <w:szCs w:val="22"/>
              </w:rPr>
            </w:pPr>
            <w:r w:rsidRPr="00167153">
              <w:rPr>
                <w:szCs w:val="22"/>
              </w:rPr>
              <w:t>Pattern</w:t>
            </w:r>
          </w:p>
        </w:tc>
        <w:tc>
          <w:tcPr>
            <w:tcW w:w="4500" w:type="dxa"/>
            <w:vAlign w:val="center"/>
          </w:tcPr>
          <w:p w14:paraId="13F4B684" w14:textId="77777777" w:rsidR="003244CE" w:rsidRPr="00167153" w:rsidRDefault="003244CE" w:rsidP="00167153">
            <w:pPr>
              <w:pStyle w:val="Tablehead"/>
              <w:keepLines/>
              <w:rPr>
                <w:rFonts w:ascii="Times New Roman Bold" w:hAnsi="Times New Roman Bold" w:cs="Times New Roman Bold"/>
                <w:szCs w:val="22"/>
              </w:rPr>
            </w:pPr>
            <w:r w:rsidRPr="00167153">
              <w:rPr>
                <w:rFonts w:ascii="Times New Roman Bold" w:hAnsi="Times New Roman Bold" w:cs="Times New Roman Bold"/>
                <w:szCs w:val="22"/>
              </w:rPr>
              <w:t xml:space="preserve">Gain </w:t>
            </w:r>
            <w:proofErr w:type="gramStart"/>
            <w:r w:rsidRPr="00167153">
              <w:rPr>
                <w:rFonts w:ascii="Times New Roman Bold" w:hAnsi="Times New Roman Bold" w:cs="Times New Roman Bold"/>
                <w:i/>
                <w:szCs w:val="22"/>
              </w:rPr>
              <w:t>G</w:t>
            </w:r>
            <w:r w:rsidRPr="00167153">
              <w:rPr>
                <w:rFonts w:ascii="Times New Roman Bold" w:hAnsi="Times New Roman Bold" w:cs="Times New Roman Bold"/>
                <w:szCs w:val="22"/>
              </w:rPr>
              <w:t>(</w:t>
            </w:r>
            <w:proofErr w:type="gramEnd"/>
            <w:r w:rsidRPr="00167153">
              <w:rPr>
                <w:rFonts w:ascii="Symbol" w:hAnsi="Symbol" w:cs="Times New Roman Bold"/>
                <w:szCs w:val="22"/>
              </w:rPr>
              <w:t></w:t>
            </w:r>
            <w:r w:rsidRPr="00167153">
              <w:rPr>
                <w:rFonts w:ascii="Times New Roman Bold" w:hAnsi="Times New Roman Bold" w:cs="Times New Roman Bold"/>
                <w:szCs w:val="22"/>
              </w:rPr>
              <w:t>) (</w:t>
            </w:r>
            <w:proofErr w:type="spellStart"/>
            <w:r w:rsidRPr="00167153">
              <w:rPr>
                <w:rFonts w:ascii="Times New Roman Bold" w:hAnsi="Times New Roman Bold" w:cs="Times New Roman Bold"/>
                <w:szCs w:val="22"/>
              </w:rPr>
              <w:t>dBi</w:t>
            </w:r>
            <w:proofErr w:type="spellEnd"/>
            <w:r w:rsidRPr="00167153">
              <w:rPr>
                <w:rFonts w:ascii="Times New Roman Bold" w:hAnsi="Times New Roman Bold" w:cs="Times New Roman Bold"/>
                <w:szCs w:val="22"/>
              </w:rPr>
              <w:t>) as a function of</w:t>
            </w:r>
            <w:r w:rsidRPr="00167153">
              <w:rPr>
                <w:rFonts w:ascii="Times New Roman Bold" w:hAnsi="Times New Roman Bold" w:cs="Times New Roman Bold"/>
                <w:szCs w:val="22"/>
              </w:rPr>
              <w:br/>
              <w:t xml:space="preserve">off-axis angle </w:t>
            </w:r>
            <w:r w:rsidRPr="00167153">
              <w:rPr>
                <w:rFonts w:ascii="Symbol" w:hAnsi="Symbol" w:cs="Times New Roman Bold"/>
                <w:szCs w:val="22"/>
              </w:rPr>
              <w:t></w:t>
            </w:r>
            <w:r w:rsidRPr="00167153">
              <w:rPr>
                <w:rFonts w:ascii="Times New Roman Bold" w:hAnsi="Times New Roman Bold" w:cs="Times New Roman Bold"/>
                <w:szCs w:val="22"/>
              </w:rPr>
              <w:t xml:space="preserve"> (degrees)</w:t>
            </w:r>
          </w:p>
        </w:tc>
        <w:tc>
          <w:tcPr>
            <w:tcW w:w="2604" w:type="dxa"/>
            <w:vAlign w:val="center"/>
          </w:tcPr>
          <w:p w14:paraId="2E0AAC50" w14:textId="77777777" w:rsidR="003244CE" w:rsidRPr="00167153" w:rsidRDefault="003244CE" w:rsidP="00167153">
            <w:pPr>
              <w:pStyle w:val="Tablehead"/>
              <w:keepLines/>
              <w:rPr>
                <w:rFonts w:ascii="Times New Roman Bold" w:hAnsi="Times New Roman Bold" w:cs="Times New Roman Bold"/>
                <w:szCs w:val="22"/>
              </w:rPr>
            </w:pPr>
            <w:r w:rsidRPr="00167153">
              <w:rPr>
                <w:rFonts w:ascii="Times New Roman Bold" w:hAnsi="Times New Roman Bold" w:cs="Times New Roman Bold"/>
                <w:szCs w:val="22"/>
              </w:rPr>
              <w:t>Angle range</w:t>
            </w:r>
          </w:p>
        </w:tc>
      </w:tr>
      <w:tr w:rsidR="003244CE" w:rsidRPr="00A73A1E" w14:paraId="336C15F1" w14:textId="77777777" w:rsidTr="00167153">
        <w:trPr>
          <w:cantSplit/>
          <w:jc w:val="center"/>
        </w:trPr>
        <w:tc>
          <w:tcPr>
            <w:tcW w:w="1367" w:type="dxa"/>
            <w:vAlign w:val="center"/>
          </w:tcPr>
          <w:p w14:paraId="7BCF76AF" w14:textId="77777777" w:rsidR="003244CE" w:rsidRPr="00A73A1E" w:rsidRDefault="003244CE" w:rsidP="00167153">
            <w:pPr>
              <w:pStyle w:val="Tabletext"/>
              <w:keepNext/>
              <w:keepLines/>
            </w:pPr>
            <w:r w:rsidRPr="00A73A1E">
              <w:t>Vertical</w:t>
            </w:r>
            <w:r w:rsidRPr="00A73A1E">
              <w:br/>
              <w:t>(elevation)</w:t>
            </w:r>
          </w:p>
        </w:tc>
        <w:tc>
          <w:tcPr>
            <w:tcW w:w="4500" w:type="dxa"/>
          </w:tcPr>
          <w:p w14:paraId="61091DD8" w14:textId="6A1F2145" w:rsidR="003244CE" w:rsidRPr="00A73A1E" w:rsidRDefault="003244CE" w:rsidP="00167153">
            <w:pPr>
              <w:pStyle w:val="Tabletext"/>
              <w:keepNext/>
              <w:keepLines/>
              <w:jc w:val="left"/>
              <w:rPr>
                <w:vertAlign w:val="superscript"/>
              </w:rPr>
            </w:pPr>
            <w:r w:rsidRPr="00A73A1E">
              <w:rPr>
                <w:i/>
              </w:rPr>
              <w:t>G</w:t>
            </w:r>
            <w:r w:rsidRPr="00A73A1E">
              <w:rPr>
                <w:i/>
                <w:position w:val="-4"/>
              </w:rPr>
              <w:t>v</w:t>
            </w:r>
            <w:r w:rsidRPr="00A73A1E">
              <w:rPr>
                <w:rFonts w:ascii="Tms Rmn" w:hAnsi="Tms Rmn"/>
              </w:rPr>
              <w:t> </w:t>
            </w:r>
            <w:r w:rsidRPr="00A73A1E">
              <w:t>(</w:t>
            </w:r>
            <w:r w:rsidRPr="00A73A1E">
              <w:rPr>
                <w:rFonts w:ascii="Symbol" w:hAnsi="Symbol"/>
              </w:rPr>
              <w:t></w:t>
            </w:r>
            <w:proofErr w:type="gramStart"/>
            <w:r w:rsidRPr="00A73A1E">
              <w:rPr>
                <w:i/>
                <w:position w:val="-4"/>
              </w:rPr>
              <w:t>v</w:t>
            </w:r>
            <w:r w:rsidRPr="00A73A1E">
              <w:rPr>
                <w:rFonts w:ascii="Tms Rmn" w:hAnsi="Tms Rmn"/>
              </w:rPr>
              <w:t> </w:t>
            </w:r>
            <w:r w:rsidRPr="00A73A1E">
              <w:t>)</w:t>
            </w:r>
            <w:proofErr w:type="gramEnd"/>
            <w:r>
              <w:t xml:space="preserve"> </w:t>
            </w:r>
            <w:r w:rsidRPr="00A73A1E">
              <w:rPr>
                <w:rFonts w:ascii="Symbol" w:hAnsi="Symbol"/>
              </w:rPr>
              <w:t></w:t>
            </w:r>
            <w:r>
              <w:t xml:space="preserve"> </w:t>
            </w:r>
            <w:r w:rsidRPr="00A73A1E">
              <w:t>35.0</w:t>
            </w:r>
            <w:r>
              <w:t xml:space="preserve"> </w:t>
            </w:r>
            <w:r w:rsidRPr="00A73A1E">
              <w:t>–</w:t>
            </w:r>
            <w:r>
              <w:t xml:space="preserve"> </w:t>
            </w:r>
            <w:r w:rsidRPr="00A73A1E">
              <w:t>0.18 (</w:t>
            </w:r>
            <w:r w:rsidRPr="00A73A1E">
              <w:rPr>
                <w:rFonts w:ascii="Symbol" w:hAnsi="Symbol"/>
              </w:rPr>
              <w:t></w:t>
            </w:r>
            <w:r w:rsidRPr="00A73A1E">
              <w:rPr>
                <w:i/>
                <w:position w:val="-4"/>
              </w:rPr>
              <w:t>v</w:t>
            </w:r>
            <w:r w:rsidRPr="00A73A1E">
              <w:rPr>
                <w:rFonts w:ascii="Tms Rmn" w:hAnsi="Tms Rmn"/>
              </w:rPr>
              <w:t> </w:t>
            </w:r>
            <w:r w:rsidRPr="00A73A1E">
              <w:t>)</w:t>
            </w:r>
            <w:r w:rsidRPr="00A73A1E">
              <w:rPr>
                <w:position w:val="6"/>
              </w:rPr>
              <w:t>2</w:t>
            </w:r>
            <w:r w:rsidRPr="00A73A1E">
              <w:br/>
            </w:r>
            <w:r w:rsidRPr="00A73A1E">
              <w:rPr>
                <w:i/>
              </w:rPr>
              <w:t>G</w:t>
            </w:r>
            <w:r w:rsidRPr="00A73A1E">
              <w:rPr>
                <w:i/>
                <w:position w:val="-4"/>
              </w:rPr>
              <w:t>v</w:t>
            </w:r>
            <w:r w:rsidRPr="00A73A1E">
              <w:rPr>
                <w:rFonts w:ascii="Tms Rmn" w:hAnsi="Tms Rmn"/>
              </w:rPr>
              <w:t> </w:t>
            </w:r>
            <w:r w:rsidRPr="00A73A1E">
              <w:t>(</w:t>
            </w:r>
            <w:r w:rsidRPr="00A73A1E">
              <w:rPr>
                <w:rFonts w:ascii="Symbol" w:hAnsi="Symbol"/>
              </w:rPr>
              <w:t></w:t>
            </w:r>
            <w:r w:rsidRPr="00A73A1E">
              <w:rPr>
                <w:i/>
                <w:position w:val="-4"/>
              </w:rPr>
              <w:t>v</w:t>
            </w:r>
            <w:r w:rsidRPr="00A73A1E">
              <w:rPr>
                <w:rFonts w:ascii="Tms Rmn" w:hAnsi="Tms Rmn"/>
              </w:rPr>
              <w:t> </w:t>
            </w:r>
            <w:r w:rsidRPr="00A73A1E">
              <w:t>)</w:t>
            </w:r>
            <w:r>
              <w:t xml:space="preserve"> </w:t>
            </w:r>
            <w:r w:rsidRPr="00A73A1E">
              <w:rPr>
                <w:rFonts w:ascii="Symbol" w:hAnsi="Symbol"/>
              </w:rPr>
              <w:t></w:t>
            </w:r>
            <w:r>
              <w:t xml:space="preserve"> </w:t>
            </w:r>
            <w:r w:rsidRPr="00A73A1E">
              <w:t>32.6</w:t>
            </w:r>
            <w:r>
              <w:t xml:space="preserve"> </w:t>
            </w:r>
            <w:r w:rsidRPr="00A73A1E">
              <w:t>–</w:t>
            </w:r>
            <w:r>
              <w:t xml:space="preserve"> </w:t>
            </w:r>
            <w:r w:rsidRPr="00A73A1E">
              <w:t>0.05 ( </w:t>
            </w:r>
            <w:r w:rsidRPr="00A73A1E">
              <w:rPr>
                <w:rtl/>
                <w:lang w:bidi="he-IL"/>
              </w:rPr>
              <w:t>׀</w:t>
            </w:r>
            <w:r w:rsidRPr="00A73A1E">
              <w:rPr>
                <w:rFonts w:ascii="Symbol" w:hAnsi="Symbol"/>
              </w:rPr>
              <w:t></w:t>
            </w:r>
            <w:r w:rsidRPr="00A73A1E">
              <w:rPr>
                <w:i/>
                <w:position w:val="-4"/>
              </w:rPr>
              <w:t>v</w:t>
            </w:r>
            <w:r w:rsidRPr="00A73A1E">
              <w:rPr>
                <w:rtl/>
                <w:lang w:bidi="he-IL"/>
              </w:rPr>
              <w:t xml:space="preserve"> ׀</w:t>
            </w:r>
            <w:r w:rsidRPr="00A73A1E">
              <w:t xml:space="preserve"> </w:t>
            </w:r>
            <w:r w:rsidR="00816C73">
              <w:t>−</w:t>
            </w:r>
            <w:r w:rsidRPr="00A73A1E">
              <w:t>7)</w:t>
            </w:r>
            <w:r w:rsidRPr="00A73A1E">
              <w:rPr>
                <w:vertAlign w:val="superscript"/>
              </w:rPr>
              <w:t>2</w:t>
            </w:r>
          </w:p>
          <w:p w14:paraId="35CAD47E" w14:textId="4A8CDBBE" w:rsidR="003244CE" w:rsidRPr="00A73A1E" w:rsidRDefault="003244CE" w:rsidP="00167153">
            <w:pPr>
              <w:pStyle w:val="Tabletext"/>
              <w:keepNext/>
              <w:keepLines/>
              <w:jc w:val="left"/>
              <w:rPr>
                <w:vertAlign w:val="superscript"/>
              </w:rPr>
            </w:pPr>
            <w:r w:rsidRPr="00A73A1E">
              <w:rPr>
                <w:i/>
              </w:rPr>
              <w:t>G</w:t>
            </w:r>
            <w:r w:rsidRPr="00A73A1E">
              <w:rPr>
                <w:i/>
                <w:position w:val="-4"/>
              </w:rPr>
              <w:t>v</w:t>
            </w:r>
            <w:r w:rsidRPr="00A73A1E">
              <w:rPr>
                <w:rFonts w:ascii="Tms Rmn" w:hAnsi="Tms Rmn"/>
              </w:rPr>
              <w:t> </w:t>
            </w:r>
            <w:r w:rsidRPr="00A73A1E">
              <w:t>(</w:t>
            </w:r>
            <w:r w:rsidRPr="00A73A1E">
              <w:rPr>
                <w:rFonts w:ascii="Symbol" w:hAnsi="Symbol"/>
              </w:rPr>
              <w:t></w:t>
            </w:r>
            <w:proofErr w:type="gramStart"/>
            <w:r w:rsidRPr="00A73A1E">
              <w:rPr>
                <w:i/>
                <w:position w:val="-4"/>
              </w:rPr>
              <w:t>v</w:t>
            </w:r>
            <w:r w:rsidRPr="00A73A1E">
              <w:rPr>
                <w:rFonts w:ascii="Tms Rmn" w:hAnsi="Tms Rmn"/>
              </w:rPr>
              <w:t> </w:t>
            </w:r>
            <w:r w:rsidRPr="00A73A1E">
              <w:t>)</w:t>
            </w:r>
            <w:proofErr w:type="gramEnd"/>
            <w:r>
              <w:t xml:space="preserve"> </w:t>
            </w:r>
            <w:r w:rsidRPr="00A73A1E">
              <w:rPr>
                <w:rFonts w:ascii="Symbol" w:hAnsi="Symbol"/>
              </w:rPr>
              <w:t></w:t>
            </w:r>
            <w:r>
              <w:t xml:space="preserve"> </w:t>
            </w:r>
            <w:r w:rsidRPr="00A73A1E">
              <w:t>33.0</w:t>
            </w:r>
            <w:r>
              <w:t xml:space="preserve"> </w:t>
            </w:r>
            <w:r w:rsidRPr="00A73A1E">
              <w:t>–</w:t>
            </w:r>
            <w:r>
              <w:t xml:space="preserve"> </w:t>
            </w:r>
            <w:r w:rsidRPr="00A73A1E">
              <w:t>2.69 ( </w:t>
            </w:r>
            <w:r w:rsidRPr="00A73A1E">
              <w:rPr>
                <w:rtl/>
                <w:lang w:bidi="he-IL"/>
              </w:rPr>
              <w:t>׀</w:t>
            </w:r>
            <w:r w:rsidRPr="00A73A1E">
              <w:rPr>
                <w:rFonts w:ascii="Symbol" w:hAnsi="Symbol"/>
              </w:rPr>
              <w:t></w:t>
            </w:r>
            <w:r w:rsidRPr="00A73A1E">
              <w:rPr>
                <w:i/>
                <w:position w:val="-4"/>
              </w:rPr>
              <w:t>v</w:t>
            </w:r>
            <w:r w:rsidRPr="00A73A1E">
              <w:rPr>
                <w:rtl/>
                <w:lang w:bidi="he-IL"/>
              </w:rPr>
              <w:t xml:space="preserve"> ׀</w:t>
            </w:r>
            <w:r w:rsidRPr="00A73A1E">
              <w:t xml:space="preserve"> </w:t>
            </w:r>
            <w:r w:rsidR="00816C73">
              <w:t>−</w:t>
            </w:r>
            <w:r w:rsidRPr="00A73A1E">
              <w:t>12)</w:t>
            </w:r>
            <w:r w:rsidRPr="00A73A1E">
              <w:rPr>
                <w:vertAlign w:val="superscript"/>
              </w:rPr>
              <w:t>2</w:t>
            </w:r>
          </w:p>
          <w:p w14:paraId="4146A444" w14:textId="78D0E9FB" w:rsidR="003244CE" w:rsidRPr="00A73A1E" w:rsidRDefault="003244CE" w:rsidP="00167153">
            <w:pPr>
              <w:pStyle w:val="Tabletext"/>
              <w:keepNext/>
              <w:keepLines/>
              <w:jc w:val="left"/>
            </w:pPr>
            <w:r w:rsidRPr="00A73A1E">
              <w:rPr>
                <w:i/>
              </w:rPr>
              <w:t>G</w:t>
            </w:r>
            <w:r w:rsidRPr="00A73A1E">
              <w:rPr>
                <w:i/>
                <w:position w:val="-4"/>
              </w:rPr>
              <w:t>v</w:t>
            </w:r>
            <w:r w:rsidRPr="00A73A1E">
              <w:rPr>
                <w:rFonts w:ascii="Tms Rmn" w:hAnsi="Tms Rmn"/>
              </w:rPr>
              <w:t> </w:t>
            </w:r>
            <w:r w:rsidRPr="00A73A1E">
              <w:t>(</w:t>
            </w:r>
            <w:r w:rsidRPr="00A73A1E">
              <w:rPr>
                <w:rFonts w:ascii="Symbol" w:hAnsi="Symbol"/>
              </w:rPr>
              <w:t></w:t>
            </w:r>
            <w:proofErr w:type="gramStart"/>
            <w:r w:rsidRPr="00A73A1E">
              <w:rPr>
                <w:i/>
                <w:position w:val="-4"/>
              </w:rPr>
              <w:t>v</w:t>
            </w:r>
            <w:r w:rsidRPr="00A73A1E">
              <w:rPr>
                <w:rFonts w:ascii="Tms Rmn" w:hAnsi="Tms Rmn"/>
              </w:rPr>
              <w:t> </w:t>
            </w:r>
            <w:r w:rsidRPr="00A73A1E">
              <w:t>)</w:t>
            </w:r>
            <w:proofErr w:type="gramEnd"/>
            <w:r>
              <w:t xml:space="preserve"> </w:t>
            </w:r>
            <w:r w:rsidRPr="00A73A1E">
              <w:rPr>
                <w:rFonts w:ascii="Symbol" w:hAnsi="Symbol"/>
              </w:rPr>
              <w:t></w:t>
            </w:r>
            <w:r w:rsidRPr="00A73A1E">
              <w:t xml:space="preserve"> 15.0</w:t>
            </w:r>
            <w:r>
              <w:t xml:space="preserve"> </w:t>
            </w:r>
            <w:r w:rsidRPr="00A73A1E">
              <w:t>– 20.8 log ( </w:t>
            </w:r>
            <w:r w:rsidRPr="00A73A1E">
              <w:rPr>
                <w:rtl/>
                <w:lang w:bidi="he-IL"/>
              </w:rPr>
              <w:t>׀</w:t>
            </w:r>
            <w:r w:rsidRPr="00A73A1E">
              <w:rPr>
                <w:rFonts w:ascii="Symbol" w:hAnsi="Symbol"/>
              </w:rPr>
              <w:t></w:t>
            </w:r>
            <w:r w:rsidRPr="00A73A1E">
              <w:rPr>
                <w:i/>
                <w:position w:val="-4"/>
              </w:rPr>
              <w:t>v</w:t>
            </w:r>
            <w:r w:rsidRPr="00A73A1E">
              <w:rPr>
                <w:rtl/>
                <w:lang w:bidi="he-IL"/>
              </w:rPr>
              <w:t xml:space="preserve"> ׀</w:t>
            </w:r>
            <w:r w:rsidRPr="00A73A1E">
              <w:t>) – 0.68 ( </w:t>
            </w:r>
            <w:r w:rsidRPr="00A73A1E">
              <w:rPr>
                <w:rtl/>
                <w:lang w:bidi="he-IL"/>
              </w:rPr>
              <w:t>׀</w:t>
            </w:r>
            <w:r w:rsidRPr="00A73A1E">
              <w:rPr>
                <w:rFonts w:ascii="Symbol" w:hAnsi="Symbol"/>
              </w:rPr>
              <w:t></w:t>
            </w:r>
            <w:r w:rsidRPr="00A73A1E">
              <w:rPr>
                <w:i/>
                <w:position w:val="-4"/>
              </w:rPr>
              <w:t>v</w:t>
            </w:r>
            <w:r w:rsidRPr="00A73A1E">
              <w:rPr>
                <w:rtl/>
                <w:lang w:bidi="he-IL"/>
              </w:rPr>
              <w:t xml:space="preserve"> ׀</w:t>
            </w:r>
            <w:r w:rsidR="00167153">
              <w:t>−</w:t>
            </w:r>
            <w:r w:rsidRPr="00A73A1E">
              <w:t>16)</w:t>
            </w:r>
          </w:p>
          <w:p w14:paraId="4E188AE9" w14:textId="77777777" w:rsidR="003244CE" w:rsidRPr="00A73A1E" w:rsidRDefault="003244CE" w:rsidP="00167153">
            <w:pPr>
              <w:pStyle w:val="Tabletext"/>
              <w:keepNext/>
              <w:keepLines/>
              <w:jc w:val="left"/>
              <w:rPr>
                <w:b/>
              </w:rPr>
            </w:pPr>
            <w:r w:rsidRPr="00A73A1E">
              <w:rPr>
                <w:i/>
              </w:rPr>
              <w:t>G</w:t>
            </w:r>
            <w:r w:rsidRPr="00A73A1E">
              <w:rPr>
                <w:i/>
                <w:position w:val="-4"/>
              </w:rPr>
              <w:t>v</w:t>
            </w:r>
            <w:r w:rsidRPr="00A73A1E">
              <w:rPr>
                <w:rFonts w:ascii="Tms Rmn" w:hAnsi="Tms Rmn"/>
              </w:rPr>
              <w:t> </w:t>
            </w:r>
            <w:r w:rsidRPr="00A73A1E">
              <w:t>(</w:t>
            </w:r>
            <w:r w:rsidRPr="00A73A1E">
              <w:rPr>
                <w:rFonts w:ascii="Symbol" w:hAnsi="Symbol"/>
              </w:rPr>
              <w:t></w:t>
            </w:r>
            <w:proofErr w:type="gramStart"/>
            <w:r w:rsidRPr="00A73A1E">
              <w:rPr>
                <w:i/>
                <w:position w:val="-4"/>
              </w:rPr>
              <w:t>v</w:t>
            </w:r>
            <w:r w:rsidRPr="00A73A1E">
              <w:rPr>
                <w:rFonts w:ascii="Tms Rmn" w:hAnsi="Tms Rmn"/>
              </w:rPr>
              <w:t> </w:t>
            </w:r>
            <w:r w:rsidRPr="00A73A1E">
              <w:t>)</w:t>
            </w:r>
            <w:proofErr w:type="gramEnd"/>
            <w:r>
              <w:t xml:space="preserve"> </w:t>
            </w:r>
            <w:r w:rsidRPr="00A73A1E">
              <w:rPr>
                <w:rFonts w:ascii="Symbol" w:hAnsi="Symbol"/>
              </w:rPr>
              <w:t></w:t>
            </w:r>
            <w:r>
              <w:t xml:space="preserve"> </w:t>
            </w:r>
            <w:r w:rsidRPr="00A73A1E">
              <w:t>–30</w:t>
            </w:r>
          </w:p>
        </w:tc>
        <w:tc>
          <w:tcPr>
            <w:tcW w:w="2604" w:type="dxa"/>
          </w:tcPr>
          <w:p w14:paraId="1E95EE0E" w14:textId="2E732E4F" w:rsidR="003244CE" w:rsidRPr="00A73A1E" w:rsidRDefault="003244CE" w:rsidP="00167153">
            <w:pPr>
              <w:pStyle w:val="Tabletext"/>
              <w:keepNext/>
              <w:keepLines/>
              <w:jc w:val="center"/>
              <w:rPr>
                <w:rFonts w:ascii="Symbol" w:hAnsi="Symbol"/>
              </w:rPr>
            </w:pPr>
            <w:r w:rsidRPr="00A73A1E">
              <w:rPr>
                <w:rtl/>
                <w:lang w:bidi="he-IL"/>
              </w:rPr>
              <w:t>׀</w:t>
            </w:r>
            <w:r w:rsidRPr="00A73A1E">
              <w:rPr>
                <w:rFonts w:ascii="Symbol" w:hAnsi="Symbol"/>
              </w:rPr>
              <w:t></w:t>
            </w:r>
            <w:r w:rsidRPr="00A73A1E">
              <w:rPr>
                <w:i/>
                <w:position w:val="-4"/>
              </w:rPr>
              <w:t>v</w:t>
            </w:r>
            <w:r w:rsidRPr="00A73A1E">
              <w:rPr>
                <w:rFonts w:ascii="Symbol" w:hAnsi="Symbol"/>
              </w:rPr>
              <w:t></w:t>
            </w:r>
            <w:r w:rsidRPr="00A73A1E">
              <w:rPr>
                <w:rFonts w:ascii="Symbol" w:hAnsi="Symbol"/>
              </w:rPr>
              <w:t></w:t>
            </w:r>
            <w:r>
              <w:t xml:space="preserve"> </w:t>
            </w:r>
            <w:r w:rsidRPr="00A73A1E">
              <w:t>4.0</w:t>
            </w:r>
            <w:r w:rsidRPr="00A73A1E">
              <w:rPr>
                <w:rFonts w:ascii="Symbol" w:hAnsi="Symbol"/>
              </w:rPr>
              <w:t></w:t>
            </w:r>
            <w:r w:rsidRPr="00A73A1E">
              <w:br/>
            </w:r>
            <w:r w:rsidRPr="00A73A1E">
              <w:rPr>
                <w:rFonts w:ascii="Cambria Math" w:hAnsi="Cambria Math" w:cs="Cambria Math"/>
              </w:rPr>
              <w:t> </w:t>
            </w:r>
            <w:r w:rsidRPr="00A73A1E">
              <w:t>4.0</w:t>
            </w:r>
            <w:r w:rsidRPr="00A73A1E">
              <w:rPr>
                <w:rFonts w:ascii="Symbol" w:hAnsi="Symbol"/>
              </w:rPr>
              <w:t></w:t>
            </w:r>
            <w:r w:rsidRPr="00A73A1E">
              <w:tab/>
              <w:t>≤</w:t>
            </w:r>
            <w:r>
              <w:t xml:space="preserve">  </w:t>
            </w:r>
            <w:r w:rsidRPr="00A73A1E">
              <w:rPr>
                <w:rtl/>
                <w:lang w:bidi="he-IL"/>
              </w:rPr>
              <w:t>׀</w:t>
            </w:r>
            <w:r w:rsidRPr="00A73A1E">
              <w:rPr>
                <w:rFonts w:ascii="Symbol" w:hAnsi="Symbol"/>
              </w:rPr>
              <w:t></w:t>
            </w:r>
            <w:r w:rsidRPr="00A73A1E">
              <w:rPr>
                <w:i/>
                <w:position w:val="-4"/>
              </w:rPr>
              <w:t>v</w:t>
            </w:r>
            <w:r w:rsidRPr="00A73A1E">
              <w:rPr>
                <w:rtl/>
                <w:lang w:bidi="he-IL"/>
              </w:rPr>
              <w:t xml:space="preserve"> ׀</w:t>
            </w:r>
            <w:r w:rsidRPr="00A73A1E">
              <w:rPr>
                <w:rFonts w:ascii="Symbol" w:hAnsi="Symbol"/>
              </w:rPr>
              <w:t></w:t>
            </w:r>
            <w:r w:rsidRPr="00A73A1E">
              <w:rPr>
                <w:rFonts w:ascii="Symbol" w:hAnsi="Symbol"/>
              </w:rPr>
              <w:t></w:t>
            </w:r>
            <w:r>
              <w:t xml:space="preserve"> </w:t>
            </w:r>
            <w:r w:rsidRPr="00A73A1E">
              <w:t>11.3</w:t>
            </w:r>
            <w:r w:rsidRPr="00A73A1E">
              <w:rPr>
                <w:rFonts w:ascii="Symbol" w:hAnsi="Symbol"/>
              </w:rPr>
              <w:t></w:t>
            </w:r>
          </w:p>
          <w:p w14:paraId="78DA47A7" w14:textId="2991A118" w:rsidR="003244CE" w:rsidRPr="00A73A1E" w:rsidRDefault="003244CE" w:rsidP="00167153">
            <w:pPr>
              <w:pStyle w:val="Tabletext"/>
              <w:keepNext/>
              <w:keepLines/>
              <w:jc w:val="center"/>
              <w:rPr>
                <w:rFonts w:ascii="Symbol" w:hAnsi="Symbol"/>
              </w:rPr>
            </w:pPr>
            <w:r w:rsidRPr="00A73A1E">
              <w:t>11.3</w:t>
            </w:r>
            <w:r w:rsidRPr="00A73A1E">
              <w:rPr>
                <w:rFonts w:ascii="Symbol" w:hAnsi="Symbol"/>
              </w:rPr>
              <w:t></w:t>
            </w:r>
            <w:r w:rsidRPr="00A73A1E">
              <w:tab/>
            </w:r>
            <w:proofErr w:type="gramStart"/>
            <w:r w:rsidRPr="00A73A1E">
              <w:t>≤</w:t>
            </w:r>
            <w:r>
              <w:t xml:space="preserve">  </w:t>
            </w:r>
            <w:r w:rsidRPr="00A73A1E">
              <w:rPr>
                <w:rtl/>
                <w:lang w:bidi="he-IL"/>
              </w:rPr>
              <w:t>׀</w:t>
            </w:r>
            <w:proofErr w:type="gramEnd"/>
            <w:r w:rsidRPr="00A73A1E">
              <w:rPr>
                <w:rFonts w:ascii="Symbol" w:hAnsi="Symbol"/>
              </w:rPr>
              <w:t></w:t>
            </w:r>
            <w:r w:rsidRPr="00A73A1E">
              <w:rPr>
                <w:i/>
                <w:position w:val="-4"/>
              </w:rPr>
              <w:t>v</w:t>
            </w:r>
            <w:r w:rsidRPr="00A73A1E">
              <w:rPr>
                <w:rtl/>
                <w:lang w:bidi="he-IL"/>
              </w:rPr>
              <w:t xml:space="preserve"> ׀</w:t>
            </w:r>
            <w:r w:rsidRPr="00A73A1E">
              <w:rPr>
                <w:rFonts w:ascii="Symbol" w:hAnsi="Symbol"/>
              </w:rPr>
              <w:t></w:t>
            </w:r>
            <w:r w:rsidRPr="00A73A1E">
              <w:rPr>
                <w:rFonts w:ascii="Symbol" w:hAnsi="Symbol"/>
              </w:rPr>
              <w:t></w:t>
            </w:r>
            <w:r>
              <w:t xml:space="preserve"> </w:t>
            </w:r>
            <w:r w:rsidRPr="00A73A1E">
              <w:t>16.0</w:t>
            </w:r>
            <w:r w:rsidRPr="00A73A1E">
              <w:rPr>
                <w:rFonts w:ascii="Symbol" w:hAnsi="Symbol"/>
              </w:rPr>
              <w:t></w:t>
            </w:r>
          </w:p>
          <w:p w14:paraId="68FBD730" w14:textId="0562BDA5" w:rsidR="003244CE" w:rsidRPr="00A73A1E" w:rsidRDefault="003244CE" w:rsidP="00167153">
            <w:pPr>
              <w:pStyle w:val="Tabletext"/>
              <w:keepNext/>
              <w:keepLines/>
              <w:jc w:val="center"/>
            </w:pPr>
            <w:r w:rsidRPr="00A73A1E">
              <w:t>16.0</w:t>
            </w:r>
            <w:r w:rsidRPr="00A73A1E">
              <w:rPr>
                <w:rFonts w:ascii="Symbol" w:hAnsi="Symbol"/>
              </w:rPr>
              <w:t></w:t>
            </w:r>
            <w:r w:rsidRPr="00A73A1E">
              <w:tab/>
            </w:r>
            <w:proofErr w:type="gramStart"/>
            <w:r w:rsidRPr="00A73A1E">
              <w:t>≤</w:t>
            </w:r>
            <w:r>
              <w:t xml:space="preserve">  </w:t>
            </w:r>
            <w:r w:rsidRPr="00A73A1E">
              <w:rPr>
                <w:rtl/>
                <w:lang w:bidi="he-IL"/>
              </w:rPr>
              <w:t>׀</w:t>
            </w:r>
            <w:proofErr w:type="gramEnd"/>
            <w:r w:rsidRPr="00A73A1E">
              <w:rPr>
                <w:rFonts w:ascii="Symbol" w:hAnsi="Symbol"/>
              </w:rPr>
              <w:t></w:t>
            </w:r>
            <w:r w:rsidRPr="00A73A1E">
              <w:rPr>
                <w:i/>
                <w:position w:val="-4"/>
              </w:rPr>
              <w:t>v</w:t>
            </w:r>
            <w:r w:rsidRPr="00A73A1E">
              <w:rPr>
                <w:rtl/>
                <w:lang w:bidi="he-IL"/>
              </w:rPr>
              <w:t xml:space="preserve"> ׀</w:t>
            </w:r>
            <w:r w:rsidRPr="00A73A1E">
              <w:rPr>
                <w:rFonts w:ascii="Symbol" w:hAnsi="Symbol"/>
              </w:rPr>
              <w:t></w:t>
            </w:r>
            <w:r w:rsidRPr="00A73A1E">
              <w:rPr>
                <w:rFonts w:ascii="Symbol" w:hAnsi="Symbol"/>
              </w:rPr>
              <w:t></w:t>
            </w:r>
            <w:r>
              <w:t xml:space="preserve"> </w:t>
            </w:r>
            <w:r w:rsidRPr="00A73A1E">
              <w:t>35.0</w:t>
            </w:r>
            <w:r w:rsidRPr="00A73A1E">
              <w:rPr>
                <w:rFonts w:ascii="Symbol" w:hAnsi="Symbol"/>
              </w:rPr>
              <w:t></w:t>
            </w:r>
          </w:p>
          <w:p w14:paraId="207B40A7" w14:textId="6726D0C6" w:rsidR="003244CE" w:rsidRPr="00A73A1E" w:rsidRDefault="003244CE" w:rsidP="00167153">
            <w:pPr>
              <w:pStyle w:val="Tabletext"/>
              <w:keepNext/>
              <w:keepLines/>
              <w:jc w:val="center"/>
              <w:rPr>
                <w:b/>
              </w:rPr>
            </w:pPr>
            <w:r w:rsidRPr="00A73A1E">
              <w:rPr>
                <w:rtl/>
                <w:lang w:bidi="he-IL"/>
              </w:rPr>
              <w:t>׀</w:t>
            </w:r>
            <w:r w:rsidRPr="00A73A1E">
              <w:rPr>
                <w:rFonts w:ascii="Symbol" w:hAnsi="Symbol"/>
              </w:rPr>
              <w:t></w:t>
            </w:r>
            <w:r w:rsidRPr="00A73A1E">
              <w:rPr>
                <w:i/>
                <w:position w:val="-4"/>
              </w:rPr>
              <w:t>v</w:t>
            </w:r>
            <w:r w:rsidRPr="00A73A1E">
              <w:rPr>
                <w:rtl/>
                <w:lang w:bidi="he-IL"/>
              </w:rPr>
              <w:t xml:space="preserve"> ׀</w:t>
            </w:r>
            <w:r w:rsidRPr="00A73A1E">
              <w:t>≥</w:t>
            </w:r>
            <w:r>
              <w:t xml:space="preserve"> </w:t>
            </w:r>
            <w:r w:rsidRPr="00A73A1E">
              <w:t>35</w:t>
            </w:r>
            <w:r w:rsidRPr="00A73A1E">
              <w:rPr>
                <w:rFonts w:ascii="Symbol" w:hAnsi="Symbol"/>
              </w:rPr>
              <w:t></w:t>
            </w:r>
          </w:p>
        </w:tc>
      </w:tr>
      <w:tr w:rsidR="003244CE" w:rsidRPr="00A73A1E" w14:paraId="3CE7FF3D" w14:textId="77777777" w:rsidTr="00167153">
        <w:trPr>
          <w:cantSplit/>
          <w:jc w:val="center"/>
        </w:trPr>
        <w:tc>
          <w:tcPr>
            <w:tcW w:w="1367" w:type="dxa"/>
            <w:vAlign w:val="center"/>
          </w:tcPr>
          <w:p w14:paraId="54929F22" w14:textId="77777777" w:rsidR="003244CE" w:rsidRPr="00A73A1E" w:rsidRDefault="003244CE" w:rsidP="00167153">
            <w:pPr>
              <w:pStyle w:val="Tabletext"/>
              <w:keepNext/>
              <w:keepLines/>
            </w:pPr>
            <w:r w:rsidRPr="00A73A1E">
              <w:t>Horizontal</w:t>
            </w:r>
            <w:r w:rsidRPr="00A73A1E">
              <w:br/>
              <w:t>(azimuth)</w:t>
            </w:r>
          </w:p>
        </w:tc>
        <w:tc>
          <w:tcPr>
            <w:tcW w:w="4500" w:type="dxa"/>
          </w:tcPr>
          <w:p w14:paraId="17EFBA5D" w14:textId="77777777" w:rsidR="003244CE" w:rsidRPr="00A73A1E" w:rsidRDefault="003244CE" w:rsidP="00167153">
            <w:pPr>
              <w:pStyle w:val="Tabletext"/>
              <w:keepNext/>
              <w:keepLines/>
              <w:jc w:val="left"/>
              <w:rPr>
                <w:position w:val="6"/>
              </w:rPr>
            </w:pPr>
            <w:r w:rsidRPr="00A73A1E">
              <w:rPr>
                <w:i/>
              </w:rPr>
              <w:t>G</w:t>
            </w:r>
            <w:r w:rsidRPr="00A73A1E">
              <w:rPr>
                <w:i/>
                <w:position w:val="-4"/>
              </w:rPr>
              <w:t>h</w:t>
            </w:r>
            <w:r w:rsidRPr="00A73A1E">
              <w:rPr>
                <w:rFonts w:ascii="Tms Rmn" w:hAnsi="Tms Rmn"/>
              </w:rPr>
              <w:t> </w:t>
            </w:r>
            <w:r w:rsidRPr="00A73A1E">
              <w:t>(</w:t>
            </w:r>
            <w:r w:rsidRPr="00A73A1E">
              <w:rPr>
                <w:rFonts w:ascii="Symbol" w:hAnsi="Symbol"/>
              </w:rPr>
              <w:t></w:t>
            </w:r>
            <w:proofErr w:type="gramStart"/>
            <w:r w:rsidRPr="00A73A1E">
              <w:rPr>
                <w:i/>
                <w:position w:val="-4"/>
              </w:rPr>
              <w:t>h</w:t>
            </w:r>
            <w:r w:rsidRPr="00A73A1E">
              <w:rPr>
                <w:rFonts w:ascii="Tms Rmn" w:hAnsi="Tms Rmn"/>
              </w:rPr>
              <w:t> </w:t>
            </w:r>
            <w:r w:rsidRPr="00A73A1E">
              <w:t>)</w:t>
            </w:r>
            <w:proofErr w:type="gramEnd"/>
            <w:r>
              <w:t xml:space="preserve"> </w:t>
            </w:r>
            <w:r w:rsidRPr="00A73A1E">
              <w:rPr>
                <w:rFonts w:ascii="Symbol" w:hAnsi="Symbol"/>
              </w:rPr>
              <w:t></w:t>
            </w:r>
            <w:r>
              <w:t xml:space="preserve"> </w:t>
            </w:r>
            <w:r w:rsidRPr="00A73A1E">
              <w:t>0.0</w:t>
            </w:r>
            <w:r>
              <w:t xml:space="preserve"> </w:t>
            </w:r>
            <w:r w:rsidRPr="00A73A1E">
              <w:t>–</w:t>
            </w:r>
            <w:r>
              <w:t xml:space="preserve"> </w:t>
            </w:r>
            <w:r w:rsidRPr="00A73A1E">
              <w:t>15.0 (</w:t>
            </w:r>
            <w:r w:rsidRPr="00A73A1E">
              <w:rPr>
                <w:rFonts w:ascii="Symbol" w:hAnsi="Symbol"/>
              </w:rPr>
              <w:t></w:t>
            </w:r>
            <w:r w:rsidRPr="00A73A1E">
              <w:rPr>
                <w:i/>
                <w:position w:val="-4"/>
              </w:rPr>
              <w:t>h</w:t>
            </w:r>
            <w:r w:rsidRPr="00A73A1E">
              <w:rPr>
                <w:rFonts w:ascii="Tms Rmn" w:hAnsi="Tms Rmn"/>
                <w:position w:val="-4"/>
                <w:vertAlign w:val="subscript"/>
              </w:rPr>
              <w:t> </w:t>
            </w:r>
            <w:r w:rsidRPr="00A73A1E">
              <w:t>)</w:t>
            </w:r>
            <w:r w:rsidRPr="00A73A1E">
              <w:rPr>
                <w:position w:val="6"/>
              </w:rPr>
              <w:t>2</w:t>
            </w:r>
          </w:p>
          <w:p w14:paraId="62CD418C" w14:textId="77777777" w:rsidR="003244CE" w:rsidRPr="00A73A1E" w:rsidRDefault="003244CE" w:rsidP="00167153">
            <w:pPr>
              <w:pStyle w:val="Tabletext"/>
              <w:keepNext/>
              <w:keepLines/>
              <w:jc w:val="left"/>
              <w:rPr>
                <w:b/>
              </w:rPr>
            </w:pPr>
            <w:r w:rsidRPr="00A73A1E">
              <w:rPr>
                <w:i/>
              </w:rPr>
              <w:t>G</w:t>
            </w:r>
            <w:r w:rsidRPr="00A73A1E">
              <w:rPr>
                <w:i/>
                <w:position w:val="-4"/>
              </w:rPr>
              <w:t>h</w:t>
            </w:r>
            <w:r w:rsidRPr="00A73A1E">
              <w:rPr>
                <w:rFonts w:ascii="Tms Rmn" w:hAnsi="Tms Rmn"/>
              </w:rPr>
              <w:t> </w:t>
            </w:r>
            <w:r w:rsidRPr="00A73A1E">
              <w:t>(</w:t>
            </w:r>
            <w:r w:rsidRPr="00A73A1E">
              <w:rPr>
                <w:rFonts w:ascii="Symbol" w:hAnsi="Symbol"/>
              </w:rPr>
              <w:t></w:t>
            </w:r>
            <w:proofErr w:type="gramStart"/>
            <w:r w:rsidRPr="00A73A1E">
              <w:rPr>
                <w:i/>
                <w:position w:val="-4"/>
              </w:rPr>
              <w:t>h</w:t>
            </w:r>
            <w:r w:rsidRPr="00A73A1E">
              <w:rPr>
                <w:rFonts w:ascii="Tms Rmn" w:hAnsi="Tms Rmn"/>
              </w:rPr>
              <w:t> </w:t>
            </w:r>
            <w:r w:rsidRPr="00A73A1E">
              <w:t>)</w:t>
            </w:r>
            <w:proofErr w:type="gramEnd"/>
            <w:r>
              <w:t xml:space="preserve"> </w:t>
            </w:r>
            <w:r w:rsidRPr="00A73A1E">
              <w:rPr>
                <w:rFonts w:ascii="Symbol" w:hAnsi="Symbol"/>
              </w:rPr>
              <w:t></w:t>
            </w:r>
            <w:r>
              <w:t xml:space="preserve"> </w:t>
            </w:r>
            <w:r w:rsidRPr="00A73A1E">
              <w:t>–18.0</w:t>
            </w:r>
            <w:r w:rsidRPr="00A73A1E">
              <w:br/>
            </w:r>
            <w:r w:rsidRPr="00A73A1E">
              <w:rPr>
                <w:i/>
              </w:rPr>
              <w:t>G</w:t>
            </w:r>
            <w:r w:rsidRPr="00A73A1E">
              <w:rPr>
                <w:i/>
                <w:position w:val="-4"/>
              </w:rPr>
              <w:t>h</w:t>
            </w:r>
            <w:r w:rsidRPr="00A73A1E">
              <w:rPr>
                <w:rFonts w:ascii="Tms Rmn" w:hAnsi="Tms Rmn"/>
              </w:rPr>
              <w:t> </w:t>
            </w:r>
            <w:r w:rsidRPr="00A73A1E">
              <w:t>(</w:t>
            </w:r>
            <w:r w:rsidRPr="00A73A1E">
              <w:rPr>
                <w:rFonts w:ascii="Symbol" w:hAnsi="Symbol"/>
              </w:rPr>
              <w:t></w:t>
            </w:r>
            <w:r w:rsidRPr="00A73A1E">
              <w:rPr>
                <w:i/>
                <w:position w:val="-4"/>
              </w:rPr>
              <w:t>h</w:t>
            </w:r>
            <w:r w:rsidRPr="00A73A1E">
              <w:rPr>
                <w:rFonts w:ascii="Tms Rmn" w:hAnsi="Tms Rmn"/>
              </w:rPr>
              <w:t> </w:t>
            </w:r>
            <w:r w:rsidRPr="00A73A1E">
              <w:t>)</w:t>
            </w:r>
            <w:r>
              <w:t xml:space="preserve"> </w:t>
            </w:r>
            <w:r w:rsidRPr="00A73A1E">
              <w:rPr>
                <w:rFonts w:ascii="Symbol" w:hAnsi="Symbol"/>
              </w:rPr>
              <w:t></w:t>
            </w:r>
            <w:r>
              <w:t xml:space="preserve"> </w:t>
            </w:r>
            <w:r w:rsidRPr="00A73A1E">
              <w:t>–13.55</w:t>
            </w:r>
            <w:r>
              <w:t xml:space="preserve"> </w:t>
            </w:r>
            <w:r w:rsidRPr="00A73A1E">
              <w:t>–</w:t>
            </w:r>
            <w:r>
              <w:t xml:space="preserve"> </w:t>
            </w:r>
            <w:r w:rsidRPr="00A73A1E">
              <w:t>23</w:t>
            </w:r>
            <w:r>
              <w:t xml:space="preserve"> </w:t>
            </w:r>
            <w:r w:rsidRPr="00A73A1E">
              <w:t xml:space="preserve"> log</w:t>
            </w:r>
            <w:r>
              <w:t xml:space="preserve"> </w:t>
            </w:r>
            <w:r w:rsidRPr="00A73A1E">
              <w:rPr>
                <w:rtl/>
                <w:lang w:bidi="he-IL"/>
              </w:rPr>
              <w:t>׀</w:t>
            </w:r>
            <w:r w:rsidRPr="00A73A1E">
              <w:rPr>
                <w:rFonts w:ascii="Symbol" w:hAnsi="Symbol"/>
              </w:rPr>
              <w:t></w:t>
            </w:r>
            <w:r w:rsidRPr="00A73A1E">
              <w:rPr>
                <w:i/>
                <w:position w:val="-4"/>
              </w:rPr>
              <w:t>h</w:t>
            </w:r>
            <w:r>
              <w:rPr>
                <w:lang w:bidi="he-IL"/>
              </w:rPr>
              <w:t xml:space="preserve"> </w:t>
            </w:r>
            <w:r w:rsidRPr="00A73A1E">
              <w:rPr>
                <w:rtl/>
                <w:lang w:bidi="he-IL"/>
              </w:rPr>
              <w:t>׀</w:t>
            </w:r>
            <w:r w:rsidRPr="00A73A1E">
              <w:t xml:space="preserve"> </w:t>
            </w:r>
            <w:r w:rsidRPr="00A73A1E">
              <w:br/>
            </w:r>
            <w:r w:rsidRPr="00A73A1E">
              <w:rPr>
                <w:i/>
              </w:rPr>
              <w:t>G</w:t>
            </w:r>
            <w:r w:rsidRPr="00A73A1E">
              <w:rPr>
                <w:i/>
                <w:position w:val="-4"/>
              </w:rPr>
              <w:t>h</w:t>
            </w:r>
            <w:r w:rsidRPr="00A73A1E">
              <w:rPr>
                <w:rFonts w:ascii="Tms Rmn" w:hAnsi="Tms Rmn"/>
              </w:rPr>
              <w:t> </w:t>
            </w:r>
            <w:r w:rsidRPr="00A73A1E">
              <w:t>(</w:t>
            </w:r>
            <w:r w:rsidRPr="00A73A1E">
              <w:rPr>
                <w:rFonts w:ascii="Symbol" w:hAnsi="Symbol"/>
              </w:rPr>
              <w:t></w:t>
            </w:r>
            <w:r w:rsidRPr="00A73A1E">
              <w:rPr>
                <w:i/>
                <w:position w:val="-4"/>
              </w:rPr>
              <w:t>h</w:t>
            </w:r>
            <w:r w:rsidRPr="00A73A1E">
              <w:rPr>
                <w:rFonts w:ascii="Tms Rmn" w:hAnsi="Tms Rmn"/>
              </w:rPr>
              <w:t> </w:t>
            </w:r>
            <w:r w:rsidRPr="00A73A1E">
              <w:t>)</w:t>
            </w:r>
            <w:r>
              <w:t xml:space="preserve"> </w:t>
            </w:r>
            <w:r w:rsidRPr="00A73A1E">
              <w:rPr>
                <w:rFonts w:ascii="Symbol" w:hAnsi="Symbol"/>
              </w:rPr>
              <w:t></w:t>
            </w:r>
            <w:r>
              <w:t xml:space="preserve"> </w:t>
            </w:r>
            <w:r w:rsidRPr="00A73A1E">
              <w:t xml:space="preserve">–36.5 </w:t>
            </w:r>
          </w:p>
        </w:tc>
        <w:tc>
          <w:tcPr>
            <w:tcW w:w="2604" w:type="dxa"/>
          </w:tcPr>
          <w:p w14:paraId="775887CD" w14:textId="5E2F889D" w:rsidR="003244CE" w:rsidRPr="00A73A1E" w:rsidRDefault="003244CE" w:rsidP="00167153">
            <w:pPr>
              <w:pStyle w:val="Tabletext"/>
              <w:keepNext/>
              <w:keepLines/>
              <w:jc w:val="center"/>
              <w:rPr>
                <w:rFonts w:ascii="Symbol" w:hAnsi="Symbol"/>
              </w:rPr>
            </w:pPr>
            <w:r w:rsidRPr="00A73A1E">
              <w:rPr>
                <w:rtl/>
                <w:lang w:bidi="he-IL"/>
              </w:rPr>
              <w:t>׀</w:t>
            </w:r>
            <w:r w:rsidRPr="00A73A1E">
              <w:rPr>
                <w:rFonts w:ascii="Symbol" w:hAnsi="Symbol"/>
              </w:rPr>
              <w:t></w:t>
            </w:r>
            <w:r w:rsidRPr="00A73A1E">
              <w:rPr>
                <w:i/>
                <w:position w:val="-4"/>
              </w:rPr>
              <w:t>h</w:t>
            </w:r>
            <w:r w:rsidRPr="00A73A1E">
              <w:rPr>
                <w:rtl/>
                <w:lang w:bidi="he-IL"/>
              </w:rPr>
              <w:t xml:space="preserve"> ׀</w:t>
            </w:r>
            <w:r w:rsidRPr="00A73A1E">
              <w:rPr>
                <w:rFonts w:ascii="Symbol" w:hAnsi="Symbol"/>
              </w:rPr>
              <w:t></w:t>
            </w:r>
            <w:r>
              <w:t xml:space="preserve"> </w:t>
            </w:r>
            <w:r w:rsidRPr="00A73A1E">
              <w:t>1.1</w:t>
            </w:r>
            <w:r w:rsidRPr="00A73A1E">
              <w:rPr>
                <w:rFonts w:ascii="Symbol" w:hAnsi="Symbol"/>
              </w:rPr>
              <w:t></w:t>
            </w:r>
            <w:r w:rsidRPr="00A73A1E">
              <w:br/>
              <w:t>1.1</w:t>
            </w:r>
            <w:r w:rsidRPr="00A73A1E">
              <w:rPr>
                <w:rFonts w:ascii="Symbol" w:hAnsi="Symbol"/>
              </w:rPr>
              <w:t></w:t>
            </w:r>
            <w:r w:rsidRPr="00A73A1E">
              <w:rPr>
                <w:rFonts w:ascii="Symbol" w:hAnsi="Symbol"/>
              </w:rPr>
              <w:tab/>
            </w:r>
            <w:r w:rsidRPr="00A73A1E">
              <w:t>≤</w:t>
            </w:r>
            <w:r>
              <w:t xml:space="preserve"> </w:t>
            </w:r>
            <w:r w:rsidRPr="00A73A1E">
              <w:rPr>
                <w:rtl/>
                <w:lang w:bidi="he-IL"/>
              </w:rPr>
              <w:t>׀</w:t>
            </w:r>
            <w:r w:rsidRPr="00A73A1E">
              <w:rPr>
                <w:rFonts w:ascii="Symbol" w:hAnsi="Symbol"/>
              </w:rPr>
              <w:t></w:t>
            </w:r>
            <w:r w:rsidRPr="00A73A1E">
              <w:rPr>
                <w:i/>
                <w:position w:val="-4"/>
              </w:rPr>
              <w:t>h</w:t>
            </w:r>
            <w:r>
              <w:rPr>
                <w:lang w:bidi="he-IL"/>
              </w:rPr>
              <w:t xml:space="preserve"> </w:t>
            </w:r>
            <w:r w:rsidRPr="00A73A1E">
              <w:rPr>
                <w:rtl/>
                <w:lang w:bidi="he-IL"/>
              </w:rPr>
              <w:t>׀</w:t>
            </w:r>
            <w:r w:rsidRPr="00A73A1E">
              <w:rPr>
                <w:rFonts w:ascii="Symbol" w:hAnsi="Symbol"/>
              </w:rPr>
              <w:t></w:t>
            </w:r>
            <w:r w:rsidRPr="00A73A1E">
              <w:rPr>
                <w:rFonts w:ascii="Symbol" w:hAnsi="Symbol"/>
              </w:rPr>
              <w:t></w:t>
            </w:r>
            <w:r>
              <w:t xml:space="preserve"> </w:t>
            </w:r>
            <w:r w:rsidRPr="00A73A1E">
              <w:t>1.7</w:t>
            </w:r>
            <w:r w:rsidRPr="00A73A1E">
              <w:rPr>
                <w:rFonts w:ascii="Symbol" w:hAnsi="Symbol"/>
              </w:rPr>
              <w:t></w:t>
            </w:r>
          </w:p>
          <w:p w14:paraId="1A5EAB8D" w14:textId="77777777" w:rsidR="003244CE" w:rsidRPr="00A73A1E" w:rsidRDefault="003244CE" w:rsidP="00167153">
            <w:pPr>
              <w:pStyle w:val="Tabletext"/>
              <w:keepNext/>
              <w:keepLines/>
              <w:jc w:val="center"/>
              <w:rPr>
                <w:b/>
              </w:rPr>
            </w:pPr>
            <w:r w:rsidRPr="00A73A1E">
              <w:t>1.7</w:t>
            </w:r>
            <w:r w:rsidRPr="00A73A1E">
              <w:rPr>
                <w:rFonts w:ascii="Symbol" w:hAnsi="Symbol"/>
              </w:rPr>
              <w:t></w:t>
            </w:r>
            <w:r w:rsidRPr="00A73A1E">
              <w:rPr>
                <w:rFonts w:ascii="Symbol" w:hAnsi="Symbol"/>
              </w:rPr>
              <w:tab/>
            </w:r>
            <w:r w:rsidRPr="00A73A1E">
              <w:t>≤</w:t>
            </w:r>
            <w:r>
              <w:t xml:space="preserve"> </w:t>
            </w:r>
            <w:r w:rsidRPr="00A73A1E">
              <w:rPr>
                <w:rtl/>
                <w:lang w:bidi="he-IL"/>
              </w:rPr>
              <w:t>׀</w:t>
            </w:r>
            <w:r w:rsidRPr="00A73A1E">
              <w:rPr>
                <w:rFonts w:ascii="Symbol" w:hAnsi="Symbol"/>
              </w:rPr>
              <w:t></w:t>
            </w:r>
            <w:r w:rsidRPr="00A73A1E">
              <w:rPr>
                <w:i/>
                <w:position w:val="-4"/>
              </w:rPr>
              <w:t>h</w:t>
            </w:r>
            <w:r>
              <w:rPr>
                <w:lang w:bidi="he-IL"/>
              </w:rPr>
              <w:t xml:space="preserve"> </w:t>
            </w:r>
            <w:r w:rsidRPr="00A73A1E">
              <w:rPr>
                <w:rtl/>
                <w:lang w:bidi="he-IL"/>
              </w:rPr>
              <w:t>׀</w:t>
            </w:r>
            <w:r w:rsidRPr="00A73A1E">
              <w:rPr>
                <w:rFonts w:ascii="Symbol" w:hAnsi="Symbol"/>
              </w:rPr>
              <w:t></w:t>
            </w:r>
            <w:r w:rsidRPr="00A73A1E">
              <w:rPr>
                <w:rFonts w:ascii="Symbol" w:hAnsi="Symbol"/>
              </w:rPr>
              <w:t></w:t>
            </w:r>
            <w:r>
              <w:t xml:space="preserve"> </w:t>
            </w:r>
            <w:r w:rsidRPr="00A73A1E">
              <w:t>10.0</w:t>
            </w:r>
            <w:r w:rsidRPr="00A73A1E">
              <w:rPr>
                <w:rFonts w:ascii="Symbol" w:hAnsi="Symbol"/>
              </w:rPr>
              <w:t></w:t>
            </w:r>
            <w:r w:rsidRPr="00A73A1E">
              <w:br/>
            </w:r>
            <w:proofErr w:type="gramStart"/>
            <w:r w:rsidRPr="00A73A1E">
              <w:tab/>
            </w:r>
            <w:r>
              <w:t xml:space="preserve">  </w:t>
            </w:r>
            <w:r w:rsidRPr="00A73A1E">
              <w:rPr>
                <w:rtl/>
                <w:lang w:bidi="he-IL"/>
              </w:rPr>
              <w:t>׀</w:t>
            </w:r>
            <w:proofErr w:type="gramEnd"/>
            <w:r w:rsidRPr="00A73A1E">
              <w:rPr>
                <w:rFonts w:ascii="Symbol" w:hAnsi="Symbol"/>
              </w:rPr>
              <w:t></w:t>
            </w:r>
            <w:r w:rsidRPr="00A73A1E">
              <w:rPr>
                <w:i/>
                <w:position w:val="-4"/>
              </w:rPr>
              <w:t>h</w:t>
            </w:r>
            <w:r>
              <w:rPr>
                <w:lang w:bidi="he-IL"/>
              </w:rPr>
              <w:t xml:space="preserve"> </w:t>
            </w:r>
            <w:r w:rsidRPr="00A73A1E">
              <w:rPr>
                <w:rtl/>
                <w:lang w:bidi="he-IL"/>
              </w:rPr>
              <w:t>׀</w:t>
            </w:r>
            <w:r w:rsidRPr="00A73A1E">
              <w:rPr>
                <w:rFonts w:ascii="Symbol" w:hAnsi="Symbol"/>
              </w:rPr>
              <w:t></w:t>
            </w:r>
            <w:r w:rsidRPr="00A73A1E">
              <w:rPr>
                <w:rFonts w:ascii="Symbol" w:hAnsi="Symbol"/>
              </w:rPr>
              <w:t></w:t>
            </w:r>
            <w:r w:rsidRPr="00A73A1E">
              <w:t>≥</w:t>
            </w:r>
            <w:r>
              <w:t xml:space="preserve"> </w:t>
            </w:r>
            <w:r w:rsidRPr="00A73A1E">
              <w:t>10.0</w:t>
            </w:r>
            <w:r w:rsidRPr="00A73A1E">
              <w:rPr>
                <w:rFonts w:ascii="Symbol" w:hAnsi="Symbol"/>
              </w:rPr>
              <w:t></w:t>
            </w:r>
          </w:p>
        </w:tc>
      </w:tr>
      <w:tr w:rsidR="003244CE" w:rsidRPr="00A73A1E" w14:paraId="4160D7A9" w14:textId="77777777" w:rsidTr="00167153">
        <w:trPr>
          <w:cantSplit/>
          <w:jc w:val="center"/>
        </w:trPr>
        <w:tc>
          <w:tcPr>
            <w:tcW w:w="1367" w:type="dxa"/>
            <w:vAlign w:val="center"/>
          </w:tcPr>
          <w:p w14:paraId="2B3797C9" w14:textId="77777777" w:rsidR="003244CE" w:rsidRPr="00A73A1E" w:rsidRDefault="003244CE" w:rsidP="00167153">
            <w:pPr>
              <w:pStyle w:val="Tabletext"/>
            </w:pPr>
            <w:r w:rsidRPr="00A73A1E">
              <w:t>Beam pattern</w:t>
            </w:r>
          </w:p>
        </w:tc>
        <w:tc>
          <w:tcPr>
            <w:tcW w:w="4500" w:type="dxa"/>
          </w:tcPr>
          <w:p w14:paraId="0EC6BE95" w14:textId="77777777" w:rsidR="003244CE" w:rsidRPr="00A73A1E" w:rsidRDefault="003244CE" w:rsidP="00167153">
            <w:pPr>
              <w:pStyle w:val="Tabletext"/>
              <w:jc w:val="left"/>
            </w:pPr>
            <w:proofErr w:type="gramStart"/>
            <w:r w:rsidRPr="00A73A1E">
              <w:rPr>
                <w:i/>
              </w:rPr>
              <w:t>G</w:t>
            </w:r>
            <w:r w:rsidRPr="00A73A1E">
              <w:t>(</w:t>
            </w:r>
            <w:proofErr w:type="gramEnd"/>
            <w:r w:rsidRPr="00A73A1E">
              <w:rPr>
                <w:rFonts w:ascii="Symbol" w:hAnsi="Symbol"/>
              </w:rPr>
              <w:t></w:t>
            </w:r>
            <w:r w:rsidRPr="00A73A1E">
              <w:t>)</w:t>
            </w:r>
            <w:r>
              <w:t xml:space="preserve"> </w:t>
            </w:r>
            <w:r w:rsidRPr="00A73A1E">
              <w:rPr>
                <w:rFonts w:ascii="Symbol" w:hAnsi="Symbol"/>
              </w:rPr>
              <w:t></w:t>
            </w:r>
            <w:r>
              <w:t xml:space="preserve"> </w:t>
            </w:r>
            <w:r w:rsidRPr="00A73A1E">
              <w:t>{</w:t>
            </w:r>
            <w:r w:rsidRPr="00A73A1E">
              <w:rPr>
                <w:i/>
              </w:rPr>
              <w:t>G</w:t>
            </w:r>
            <w:r w:rsidRPr="00A73A1E">
              <w:rPr>
                <w:i/>
                <w:position w:val="-4"/>
              </w:rPr>
              <w:t>v</w:t>
            </w:r>
            <w:r w:rsidRPr="00A73A1E">
              <w:rPr>
                <w:rFonts w:ascii="Tms Rmn" w:hAnsi="Tms Rmn"/>
              </w:rPr>
              <w:t> </w:t>
            </w:r>
            <w:r w:rsidRPr="00A73A1E">
              <w:t>(</w:t>
            </w:r>
            <w:r w:rsidRPr="00A73A1E">
              <w:rPr>
                <w:rFonts w:ascii="Symbol" w:hAnsi="Symbol"/>
              </w:rPr>
              <w:t></w:t>
            </w:r>
            <w:r w:rsidRPr="00A73A1E">
              <w:rPr>
                <w:i/>
                <w:position w:val="-4"/>
              </w:rPr>
              <w:t>v</w:t>
            </w:r>
            <w:r w:rsidRPr="00A73A1E">
              <w:rPr>
                <w:rFonts w:ascii="Tms Rmn" w:hAnsi="Tms Rmn"/>
              </w:rPr>
              <w:t> </w:t>
            </w:r>
            <w:r w:rsidRPr="00A73A1E">
              <w:t>)</w:t>
            </w:r>
            <w:r>
              <w:t xml:space="preserve"> </w:t>
            </w:r>
            <w:r w:rsidRPr="00A73A1E">
              <w:rPr>
                <w:rFonts w:ascii="Symbol" w:hAnsi="Symbol"/>
              </w:rPr>
              <w:t></w:t>
            </w:r>
            <w:r>
              <w:t xml:space="preserve"> </w:t>
            </w:r>
            <w:r w:rsidRPr="00A73A1E">
              <w:rPr>
                <w:i/>
              </w:rPr>
              <w:t>G</w:t>
            </w:r>
            <w:r w:rsidRPr="00A73A1E">
              <w:rPr>
                <w:i/>
                <w:position w:val="-4"/>
              </w:rPr>
              <w:t>h</w:t>
            </w:r>
            <w:r w:rsidRPr="00A73A1E">
              <w:rPr>
                <w:rFonts w:ascii="Tms Rmn" w:hAnsi="Tms Rmn"/>
              </w:rPr>
              <w:t> </w:t>
            </w:r>
            <w:r w:rsidRPr="00A73A1E">
              <w:t>(</w:t>
            </w:r>
            <w:r w:rsidRPr="00A73A1E">
              <w:rPr>
                <w:rFonts w:ascii="Symbol" w:hAnsi="Symbol"/>
              </w:rPr>
              <w:t></w:t>
            </w:r>
            <w:r w:rsidRPr="00A73A1E">
              <w:rPr>
                <w:i/>
                <w:position w:val="-4"/>
              </w:rPr>
              <w:t>h</w:t>
            </w:r>
            <w:r w:rsidRPr="00A73A1E">
              <w:rPr>
                <w:rFonts w:ascii="Tms Rmn" w:hAnsi="Tms Rmn"/>
              </w:rPr>
              <w:t> </w:t>
            </w:r>
            <w:r w:rsidRPr="00A73A1E">
              <w:t xml:space="preserve">)} </w:t>
            </w:r>
          </w:p>
        </w:tc>
        <w:tc>
          <w:tcPr>
            <w:tcW w:w="2604" w:type="dxa"/>
          </w:tcPr>
          <w:p w14:paraId="798A1552" w14:textId="77777777" w:rsidR="003244CE" w:rsidRPr="00A73A1E" w:rsidRDefault="003244CE" w:rsidP="00167153">
            <w:pPr>
              <w:pStyle w:val="Tabletext"/>
              <w:jc w:val="center"/>
            </w:pPr>
          </w:p>
        </w:tc>
      </w:tr>
    </w:tbl>
    <w:p w14:paraId="3B3E4563" w14:textId="77777777" w:rsidR="003244CE" w:rsidRPr="00A73A1E" w:rsidRDefault="003244CE" w:rsidP="003244CE">
      <w:pPr>
        <w:pStyle w:val="Tablefin"/>
      </w:pPr>
    </w:p>
    <w:p w14:paraId="5EF8BC62" w14:textId="77777777" w:rsidR="003244CE" w:rsidRPr="00A73A1E" w:rsidRDefault="003244CE" w:rsidP="003244CE">
      <w:pPr>
        <w:pStyle w:val="FigureNo"/>
      </w:pPr>
      <w:r w:rsidRPr="00A73A1E">
        <w:t>Figure 1</w:t>
      </w:r>
    </w:p>
    <w:p w14:paraId="075FD824" w14:textId="77777777" w:rsidR="003244CE" w:rsidRPr="00A73A1E" w:rsidRDefault="003244CE" w:rsidP="003244CE">
      <w:pPr>
        <w:pStyle w:val="Figuretitle"/>
      </w:pPr>
      <w:r w:rsidRPr="00A73A1E">
        <w:t xml:space="preserve">a) Standard SAR3 antenna elevation </w:t>
      </w:r>
      <w:proofErr w:type="gramStart"/>
      <w:r w:rsidRPr="00A73A1E">
        <w:t>transmit</w:t>
      </w:r>
      <w:proofErr w:type="gramEnd"/>
      <w:r w:rsidRPr="00A73A1E">
        <w:t xml:space="preserve"> gain pattern model</w:t>
      </w:r>
    </w:p>
    <w:p w14:paraId="02F39D12" w14:textId="77777777" w:rsidR="003244CE" w:rsidRPr="00A73A1E" w:rsidRDefault="003244CE" w:rsidP="003244CE">
      <w:pPr>
        <w:pStyle w:val="Figurewithlegend"/>
      </w:pPr>
      <w:r w:rsidRPr="00A73A1E">
        <w:drawing>
          <wp:inline distT="0" distB="0" distL="0" distR="0" wp14:anchorId="42267CFE" wp14:editId="59960493">
            <wp:extent cx="4370705" cy="2472690"/>
            <wp:effectExtent l="0" t="0" r="1905" b="7620"/>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6DD73A9" w14:textId="77777777" w:rsidR="003244CE" w:rsidRPr="00A73A1E" w:rsidRDefault="003244CE" w:rsidP="003244CE">
      <w:pPr>
        <w:pStyle w:val="Figuretitle"/>
      </w:pPr>
      <w:r w:rsidRPr="00A73A1E">
        <w:lastRenderedPageBreak/>
        <w:t xml:space="preserve">b) Standard SAR3 antenna azimuth </w:t>
      </w:r>
      <w:proofErr w:type="gramStart"/>
      <w:r w:rsidRPr="00A73A1E">
        <w:t>transmit</w:t>
      </w:r>
      <w:proofErr w:type="gramEnd"/>
      <w:r w:rsidRPr="00A73A1E">
        <w:t xml:space="preserve"> gain pattern model </w:t>
      </w:r>
    </w:p>
    <w:p w14:paraId="08AAF61D" w14:textId="77777777" w:rsidR="003244CE" w:rsidRPr="00A73A1E" w:rsidRDefault="003244CE" w:rsidP="003244CE">
      <w:pPr>
        <w:pStyle w:val="Figure"/>
        <w:rPr>
          <w:lang w:eastAsia="ja-JP"/>
        </w:rPr>
      </w:pPr>
      <w:r w:rsidRPr="00A73A1E">
        <w:rPr>
          <w:noProof/>
        </w:rPr>
        <w:drawing>
          <wp:inline distT="0" distB="0" distL="0" distR="0" wp14:anchorId="6B3A4F3F" wp14:editId="36FF078B">
            <wp:extent cx="4326890" cy="2587178"/>
            <wp:effectExtent l="0" t="0" r="0" b="3810"/>
            <wp:docPr id="20" name="Picture 20" descr="cid:image001.png@01CE890E.6243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890E.62430570"/>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a:stretch/>
                  </pic:blipFill>
                  <pic:spPr bwMode="auto">
                    <a:xfrm>
                      <a:off x="0" y="0"/>
                      <a:ext cx="4326890" cy="2587178"/>
                    </a:xfrm>
                    <a:prstGeom prst="rect">
                      <a:avLst/>
                    </a:prstGeom>
                    <a:noFill/>
                    <a:ln>
                      <a:noFill/>
                    </a:ln>
                    <a:extLst>
                      <a:ext uri="{53640926-AAD7-44D8-BBD7-CCE9431645EC}">
                        <a14:shadowObscured xmlns:a14="http://schemas.microsoft.com/office/drawing/2010/main"/>
                      </a:ext>
                    </a:extLst>
                  </pic:spPr>
                </pic:pic>
              </a:graphicData>
            </a:graphic>
          </wp:inline>
        </w:drawing>
      </w:r>
    </w:p>
    <w:p w14:paraId="21B0673E" w14:textId="29D8F33B" w:rsidR="003244CE" w:rsidRPr="00A73A1E" w:rsidRDefault="003244CE" w:rsidP="003244CE">
      <w:pPr>
        <w:pStyle w:val="TableNo"/>
      </w:pPr>
      <w:r w:rsidRPr="00A73A1E">
        <w:t>T</w:t>
      </w:r>
      <w:r w:rsidR="002C7DA3">
        <w:t xml:space="preserve">ABLE </w:t>
      </w:r>
      <w:r w:rsidRPr="00A73A1E">
        <w:t>5</w:t>
      </w:r>
    </w:p>
    <w:p w14:paraId="07756B8D" w14:textId="77777777" w:rsidR="003244CE" w:rsidRPr="00A73A1E" w:rsidRDefault="003244CE" w:rsidP="003244CE">
      <w:pPr>
        <w:pStyle w:val="Tabletitle"/>
      </w:pPr>
      <w:r w:rsidRPr="00A73A1E">
        <w:t>Standard SAR4 antenna gain equations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41"/>
        <w:gridCol w:w="4621"/>
        <w:gridCol w:w="3077"/>
      </w:tblGrid>
      <w:tr w:rsidR="003244CE" w:rsidRPr="00A73A1E" w14:paraId="75CAA23E" w14:textId="77777777" w:rsidTr="009C40C0">
        <w:trPr>
          <w:cantSplit/>
          <w:jc w:val="center"/>
        </w:trPr>
        <w:tc>
          <w:tcPr>
            <w:tcW w:w="1667" w:type="dxa"/>
            <w:vAlign w:val="center"/>
          </w:tcPr>
          <w:p w14:paraId="3EABB246" w14:textId="77777777" w:rsidR="003244CE" w:rsidRPr="00A73A1E" w:rsidRDefault="003244CE" w:rsidP="00167153">
            <w:pPr>
              <w:pStyle w:val="Tablehead"/>
            </w:pPr>
            <w:r w:rsidRPr="00A73A1E">
              <w:t>Pattern</w:t>
            </w:r>
          </w:p>
        </w:tc>
        <w:tc>
          <w:tcPr>
            <w:tcW w:w="3969" w:type="dxa"/>
            <w:vAlign w:val="center"/>
          </w:tcPr>
          <w:p w14:paraId="5BE30E28" w14:textId="77777777" w:rsidR="003244CE" w:rsidRPr="00A73A1E" w:rsidRDefault="003244CE" w:rsidP="00167153">
            <w:pPr>
              <w:pStyle w:val="Tablehead"/>
            </w:pPr>
            <w:r w:rsidRPr="00A73A1E">
              <w:t xml:space="preserve">Gain </w:t>
            </w:r>
            <w:proofErr w:type="gramStart"/>
            <w:r w:rsidRPr="00A73A1E">
              <w:rPr>
                <w:i/>
              </w:rPr>
              <w:t>G</w:t>
            </w:r>
            <w:r w:rsidRPr="00A73A1E">
              <w:t>(</w:t>
            </w:r>
            <w:proofErr w:type="gramEnd"/>
            <w:r w:rsidRPr="00A73A1E">
              <w:rPr>
                <w:rFonts w:ascii="Symbol" w:hAnsi="Symbol"/>
              </w:rPr>
              <w:t></w:t>
            </w:r>
            <w:r w:rsidRPr="00A73A1E">
              <w:t>) (</w:t>
            </w:r>
            <w:proofErr w:type="spellStart"/>
            <w:r w:rsidRPr="00A73A1E">
              <w:t>dBi</w:t>
            </w:r>
            <w:proofErr w:type="spellEnd"/>
            <w:r w:rsidRPr="00A73A1E">
              <w:t>) as a function of</w:t>
            </w:r>
            <w:r w:rsidRPr="00A73A1E">
              <w:br/>
              <w:t xml:space="preserve">off-axis angle </w:t>
            </w:r>
            <w:r w:rsidRPr="00A73A1E">
              <w:rPr>
                <w:rFonts w:ascii="Symbol" w:hAnsi="Symbol"/>
              </w:rPr>
              <w:t></w:t>
            </w:r>
            <w:r w:rsidRPr="00A73A1E">
              <w:t xml:space="preserve"> (degrees)</w:t>
            </w:r>
          </w:p>
        </w:tc>
        <w:tc>
          <w:tcPr>
            <w:tcW w:w="2643" w:type="dxa"/>
            <w:vAlign w:val="center"/>
          </w:tcPr>
          <w:p w14:paraId="30A2EF7F" w14:textId="77777777" w:rsidR="003244CE" w:rsidRPr="00A73A1E" w:rsidRDefault="003244CE" w:rsidP="00167153">
            <w:pPr>
              <w:pStyle w:val="Tablehead"/>
            </w:pPr>
            <w:r w:rsidRPr="00A73A1E">
              <w:t>Angle range</w:t>
            </w:r>
          </w:p>
        </w:tc>
      </w:tr>
      <w:tr w:rsidR="003244CE" w:rsidRPr="00A73A1E" w14:paraId="6CD3326B" w14:textId="77777777" w:rsidTr="009C40C0">
        <w:trPr>
          <w:cantSplit/>
          <w:jc w:val="center"/>
        </w:trPr>
        <w:tc>
          <w:tcPr>
            <w:tcW w:w="1667" w:type="dxa"/>
            <w:vAlign w:val="center"/>
          </w:tcPr>
          <w:p w14:paraId="79BF0CD2" w14:textId="77777777" w:rsidR="003244CE" w:rsidRPr="00A73A1E" w:rsidRDefault="003244CE" w:rsidP="00167153">
            <w:pPr>
              <w:pStyle w:val="Tabletext"/>
            </w:pPr>
            <w:r w:rsidRPr="00A73A1E">
              <w:t>Vertical</w:t>
            </w:r>
            <w:r w:rsidRPr="00A73A1E">
              <w:br/>
              <w:t>(elevation)</w:t>
            </w:r>
          </w:p>
        </w:tc>
        <w:tc>
          <w:tcPr>
            <w:tcW w:w="3969" w:type="dxa"/>
          </w:tcPr>
          <w:p w14:paraId="315BCE80" w14:textId="076E5BEA" w:rsidR="003244CE" w:rsidRPr="00A73A1E" w:rsidRDefault="003244CE" w:rsidP="00167153">
            <w:pPr>
              <w:pStyle w:val="Tabletext"/>
              <w:jc w:val="left"/>
              <w:rPr>
                <w:lang w:eastAsia="ja-JP"/>
              </w:rPr>
            </w:pPr>
            <w:r w:rsidRPr="00A73A1E">
              <w:rPr>
                <w:i/>
              </w:rPr>
              <w:t>G</w:t>
            </w:r>
            <w:r w:rsidRPr="00A73A1E">
              <w:rPr>
                <w:i/>
                <w:position w:val="-4"/>
              </w:rPr>
              <w:t>v</w:t>
            </w:r>
            <w:r w:rsidRPr="00A73A1E">
              <w:rPr>
                <w:rFonts w:ascii="Tms Rmn" w:hAnsi="Tms Rmn"/>
              </w:rPr>
              <w:t> </w:t>
            </w:r>
            <w:r w:rsidRPr="00A73A1E">
              <w:t>(</w:t>
            </w:r>
            <w:r w:rsidRPr="00A73A1E">
              <w:rPr>
                <w:rFonts w:ascii="Symbol" w:hAnsi="Symbol"/>
              </w:rPr>
              <w:t></w:t>
            </w:r>
            <w:proofErr w:type="gramStart"/>
            <w:r w:rsidRPr="00A73A1E">
              <w:rPr>
                <w:i/>
                <w:position w:val="-4"/>
              </w:rPr>
              <w:t>v</w:t>
            </w:r>
            <w:r w:rsidRPr="00A73A1E">
              <w:rPr>
                <w:rFonts w:ascii="Tms Rmn" w:hAnsi="Tms Rmn"/>
              </w:rPr>
              <w:t> </w:t>
            </w:r>
            <w:r w:rsidRPr="00A73A1E">
              <w:t>)</w:t>
            </w:r>
            <w:proofErr w:type="gramEnd"/>
            <w:r>
              <w:t xml:space="preserve"> </w:t>
            </w:r>
            <w:r w:rsidRPr="00A73A1E">
              <w:rPr>
                <w:rFonts w:ascii="Symbol" w:hAnsi="Symbol"/>
              </w:rPr>
              <w:t></w:t>
            </w:r>
            <w:r>
              <w:t xml:space="preserve"> </w:t>
            </w:r>
            <w:r w:rsidRPr="00A73A1E">
              <w:rPr>
                <w:lang w:eastAsia="ja-JP"/>
              </w:rPr>
              <w:t>0.0</w:t>
            </w:r>
            <w:r>
              <w:t xml:space="preserve"> </w:t>
            </w:r>
            <w:r w:rsidRPr="00A73A1E">
              <w:t>–</w:t>
            </w:r>
            <w:r>
              <w:t xml:space="preserve"> </w:t>
            </w:r>
            <w:r w:rsidRPr="00A73A1E">
              <w:t>0.</w:t>
            </w:r>
            <w:r w:rsidRPr="00A73A1E">
              <w:rPr>
                <w:lang w:eastAsia="ja-JP"/>
              </w:rPr>
              <w:t>38</w:t>
            </w:r>
            <w:r w:rsidRPr="00A73A1E">
              <w:t>(</w:t>
            </w:r>
            <w:r w:rsidRPr="00A73A1E">
              <w:rPr>
                <w:rFonts w:ascii="Symbol" w:hAnsi="Symbol"/>
              </w:rPr>
              <w:t></w:t>
            </w:r>
            <w:r w:rsidRPr="00A73A1E">
              <w:rPr>
                <w:i/>
                <w:position w:val="-4"/>
              </w:rPr>
              <w:t>v</w:t>
            </w:r>
            <w:r w:rsidRPr="00A73A1E">
              <w:rPr>
                <w:rFonts w:ascii="Tms Rmn" w:hAnsi="Tms Rmn"/>
              </w:rPr>
              <w:t> </w:t>
            </w:r>
            <w:r w:rsidRPr="00A73A1E">
              <w:t>)</w:t>
            </w:r>
            <w:r w:rsidRPr="00A73A1E">
              <w:rPr>
                <w:position w:val="6"/>
                <w:sz w:val="14"/>
                <w:szCs w:val="14"/>
              </w:rPr>
              <w:t>2</w:t>
            </w:r>
            <w:r w:rsidRPr="00A73A1E">
              <w:br/>
            </w:r>
            <w:r w:rsidRPr="00A73A1E">
              <w:rPr>
                <w:i/>
              </w:rPr>
              <w:t>G</w:t>
            </w:r>
            <w:r w:rsidRPr="00A73A1E">
              <w:rPr>
                <w:i/>
                <w:position w:val="-4"/>
              </w:rPr>
              <w:t>v</w:t>
            </w:r>
            <w:r w:rsidRPr="00A73A1E">
              <w:rPr>
                <w:rFonts w:ascii="Tms Rmn" w:hAnsi="Tms Rmn"/>
              </w:rPr>
              <w:t> </w:t>
            </w:r>
            <w:r w:rsidRPr="00A73A1E">
              <w:t>(</w:t>
            </w:r>
            <w:r w:rsidRPr="00A73A1E">
              <w:rPr>
                <w:rFonts w:ascii="Symbol" w:hAnsi="Symbol"/>
              </w:rPr>
              <w:t></w:t>
            </w:r>
            <w:r w:rsidRPr="00A73A1E">
              <w:rPr>
                <w:i/>
                <w:position w:val="-4"/>
              </w:rPr>
              <w:t>v</w:t>
            </w:r>
            <w:r w:rsidRPr="00A73A1E">
              <w:rPr>
                <w:rFonts w:ascii="Tms Rmn" w:hAnsi="Tms Rmn"/>
              </w:rPr>
              <w:t> </w:t>
            </w:r>
            <w:r w:rsidRPr="00A73A1E">
              <w:t>)</w:t>
            </w:r>
            <w:r>
              <w:t xml:space="preserve"> </w:t>
            </w:r>
            <w:r w:rsidRPr="00A73A1E">
              <w:rPr>
                <w:rFonts w:ascii="Symbol" w:hAnsi="Symbol"/>
              </w:rPr>
              <w:t></w:t>
            </w:r>
            <w:r>
              <w:t xml:space="preserve"> </w:t>
            </w:r>
            <w:r w:rsidRPr="00A73A1E">
              <w:rPr>
                <w:lang w:eastAsia="ja-JP"/>
              </w:rPr>
              <w:t>0.0</w:t>
            </w:r>
            <w:r>
              <w:t xml:space="preserve"> </w:t>
            </w:r>
            <w:r w:rsidRPr="00A73A1E">
              <w:t>–</w:t>
            </w:r>
            <w:r>
              <w:t xml:space="preserve"> </w:t>
            </w:r>
            <w:r w:rsidRPr="00A73A1E">
              <w:t>0.</w:t>
            </w:r>
            <w:r w:rsidRPr="00A73A1E">
              <w:rPr>
                <w:lang w:eastAsia="ja-JP"/>
              </w:rPr>
              <w:t>544</w:t>
            </w:r>
            <w:r w:rsidRPr="00A73A1E">
              <w:rPr>
                <w:rFonts w:ascii="Symbol" w:hAnsi="Symbol"/>
              </w:rPr>
              <w:t></w:t>
            </w:r>
            <w:r w:rsidRPr="00A73A1E">
              <w:rPr>
                <w:i/>
                <w:position w:val="-4"/>
              </w:rPr>
              <w:t>v</w:t>
            </w:r>
            <w:r>
              <w:rPr>
                <w:i/>
                <w:position w:val="-4"/>
                <w:lang w:eastAsia="ja-JP"/>
              </w:rPr>
              <w:t xml:space="preserve"> </w:t>
            </w:r>
            <w:r w:rsidR="00167153">
              <w:rPr>
                <w:lang w:eastAsia="ja-JP"/>
              </w:rPr>
              <w:t xml:space="preserve">− </w:t>
            </w:r>
            <w:r w:rsidRPr="00A73A1E">
              <w:rPr>
                <w:lang w:eastAsia="ja-JP"/>
              </w:rPr>
              <w:t>8</w:t>
            </w:r>
            <w:r w:rsidRPr="00A73A1E">
              <w:t>.</w:t>
            </w:r>
            <w:r w:rsidRPr="00A73A1E">
              <w:rPr>
                <w:lang w:eastAsia="ja-JP"/>
              </w:rPr>
              <w:t>5</w:t>
            </w:r>
            <w:r w:rsidRPr="00A73A1E">
              <w:br/>
            </w:r>
            <w:r w:rsidRPr="00A73A1E">
              <w:rPr>
                <w:i/>
              </w:rPr>
              <w:t>G</w:t>
            </w:r>
            <w:r w:rsidRPr="00A73A1E">
              <w:rPr>
                <w:i/>
                <w:position w:val="-4"/>
              </w:rPr>
              <w:t>v</w:t>
            </w:r>
            <w:r w:rsidRPr="00A73A1E">
              <w:rPr>
                <w:rFonts w:ascii="Tms Rmn" w:hAnsi="Tms Rmn"/>
              </w:rPr>
              <w:t> </w:t>
            </w:r>
            <w:r w:rsidRPr="00A73A1E">
              <w:t>(</w:t>
            </w:r>
            <w:r w:rsidRPr="00A73A1E">
              <w:rPr>
                <w:rFonts w:ascii="Symbol" w:hAnsi="Symbol"/>
              </w:rPr>
              <w:t></w:t>
            </w:r>
            <w:r w:rsidRPr="00A73A1E">
              <w:rPr>
                <w:i/>
                <w:position w:val="-4"/>
              </w:rPr>
              <w:t>v</w:t>
            </w:r>
            <w:r w:rsidRPr="00A73A1E">
              <w:rPr>
                <w:rFonts w:ascii="Tms Rmn" w:hAnsi="Tms Rmn"/>
              </w:rPr>
              <w:t> </w:t>
            </w:r>
            <w:r w:rsidRPr="00A73A1E">
              <w:t>)</w:t>
            </w:r>
            <w:r>
              <w:t xml:space="preserve"> </w:t>
            </w:r>
            <w:r w:rsidRPr="00A73A1E">
              <w:rPr>
                <w:rFonts w:ascii="Symbol" w:hAnsi="Symbol"/>
              </w:rPr>
              <w:t></w:t>
            </w:r>
            <w:r>
              <w:t xml:space="preserve"> </w:t>
            </w:r>
            <w:r w:rsidRPr="00A73A1E">
              <w:t>–</w:t>
            </w:r>
            <w:r w:rsidRPr="00A73A1E">
              <w:rPr>
                <w:lang w:eastAsia="ja-JP"/>
              </w:rPr>
              <w:t>22.0</w:t>
            </w:r>
          </w:p>
        </w:tc>
        <w:tc>
          <w:tcPr>
            <w:tcW w:w="2643" w:type="dxa"/>
          </w:tcPr>
          <w:p w14:paraId="2A0DC1DE" w14:textId="3BB5C629" w:rsidR="003244CE" w:rsidRPr="00A73A1E" w:rsidRDefault="003244CE" w:rsidP="00167153">
            <w:pPr>
              <w:pStyle w:val="Tabletext"/>
              <w:jc w:val="center"/>
            </w:pPr>
            <w:r w:rsidRPr="00A73A1E">
              <w:t>0</w:t>
            </w:r>
            <w:r w:rsidRPr="00A73A1E">
              <w:rPr>
                <w:rFonts w:ascii="Symbol" w:hAnsi="Symbol"/>
              </w:rPr>
              <w:t></w:t>
            </w:r>
            <w:r w:rsidRPr="00A73A1E">
              <w:rPr>
                <w:rFonts w:ascii="Symbol" w:hAnsi="Symbol"/>
              </w:rPr>
              <w:tab/>
            </w:r>
            <w:r w:rsidRPr="00A73A1E">
              <w:rPr>
                <w:rFonts w:ascii="Symbol" w:hAnsi="Symbol"/>
              </w:rPr>
              <w:t></w:t>
            </w:r>
            <w:r>
              <w:t xml:space="preserve"> </w:t>
            </w:r>
            <w:r w:rsidRPr="00A73A1E">
              <w:rPr>
                <w:rtl/>
                <w:lang w:bidi="he-IL"/>
              </w:rPr>
              <w:t>׀</w:t>
            </w:r>
            <w:r w:rsidRPr="00A73A1E">
              <w:rPr>
                <w:rFonts w:ascii="Symbol" w:hAnsi="Symbol"/>
              </w:rPr>
              <w:t></w:t>
            </w:r>
            <w:r w:rsidRPr="00A73A1E">
              <w:rPr>
                <w:i/>
                <w:position w:val="-4"/>
              </w:rPr>
              <w:t>v</w:t>
            </w:r>
            <w:r w:rsidRPr="00A73A1E">
              <w:rPr>
                <w:rtl/>
                <w:lang w:bidi="he-IL"/>
              </w:rPr>
              <w:t xml:space="preserve"> ׀</w:t>
            </w:r>
            <w:r w:rsidRPr="00A73A1E">
              <w:rPr>
                <w:rFonts w:ascii="Symbol" w:hAnsi="Symbol"/>
              </w:rPr>
              <w:t></w:t>
            </w:r>
            <w:r>
              <w:t xml:space="preserve"> </w:t>
            </w:r>
            <w:r w:rsidRPr="00A73A1E">
              <w:rPr>
                <w:lang w:eastAsia="ja-JP"/>
              </w:rPr>
              <w:t>5.5</w:t>
            </w:r>
            <w:r w:rsidRPr="00A73A1E">
              <w:rPr>
                <w:rFonts w:ascii="Symbol" w:hAnsi="Symbol"/>
              </w:rPr>
              <w:t></w:t>
            </w:r>
            <w:r w:rsidRPr="00A73A1E">
              <w:br/>
            </w:r>
            <w:r w:rsidRPr="00A73A1E">
              <w:rPr>
                <w:rFonts w:ascii="Cambria Math" w:hAnsi="Cambria Math" w:cs="Cambria Math"/>
              </w:rPr>
              <w:t> </w:t>
            </w:r>
            <w:r w:rsidRPr="00A73A1E">
              <w:rPr>
                <w:lang w:eastAsia="ja-JP"/>
              </w:rPr>
              <w:t>5.5</w:t>
            </w:r>
            <w:r w:rsidRPr="00A73A1E">
              <w:rPr>
                <w:rFonts w:ascii="Symbol" w:hAnsi="Symbol"/>
              </w:rPr>
              <w:t></w:t>
            </w:r>
            <w:r w:rsidRPr="00A73A1E">
              <w:tab/>
              <w:t>≤</w:t>
            </w:r>
            <w:r>
              <w:t xml:space="preserve"> </w:t>
            </w:r>
            <w:r w:rsidRPr="00A73A1E">
              <w:rPr>
                <w:rtl/>
                <w:lang w:bidi="he-IL"/>
              </w:rPr>
              <w:t>׀</w:t>
            </w:r>
            <w:r w:rsidRPr="00A73A1E">
              <w:rPr>
                <w:rFonts w:ascii="Symbol" w:hAnsi="Symbol"/>
              </w:rPr>
              <w:t></w:t>
            </w:r>
            <w:r w:rsidRPr="00A73A1E">
              <w:rPr>
                <w:i/>
                <w:position w:val="-4"/>
              </w:rPr>
              <w:t>v</w:t>
            </w:r>
            <w:r>
              <w:rPr>
                <w:lang w:bidi="he-IL"/>
              </w:rPr>
              <w:t xml:space="preserve"> </w:t>
            </w:r>
            <w:r w:rsidRPr="00A73A1E">
              <w:rPr>
                <w:rtl/>
                <w:lang w:bidi="he-IL"/>
              </w:rPr>
              <w:t>׀</w:t>
            </w:r>
            <w:r w:rsidRPr="00A73A1E">
              <w:rPr>
                <w:rFonts w:ascii="Symbol" w:hAnsi="Symbol"/>
              </w:rPr>
              <w:t></w:t>
            </w:r>
            <w:r w:rsidRPr="00A73A1E">
              <w:rPr>
                <w:rFonts w:ascii="Symbol" w:hAnsi="Symbol"/>
              </w:rPr>
              <w:t></w:t>
            </w:r>
            <w:r>
              <w:t xml:space="preserve"> </w:t>
            </w:r>
            <w:r w:rsidRPr="00A73A1E">
              <w:rPr>
                <w:lang w:eastAsia="ja-JP"/>
              </w:rPr>
              <w:t>24.75</w:t>
            </w:r>
            <w:r w:rsidRPr="00A73A1E">
              <w:rPr>
                <w:rFonts w:ascii="Symbol" w:hAnsi="Symbol"/>
              </w:rPr>
              <w:t></w:t>
            </w:r>
            <w:r w:rsidRPr="00A73A1E">
              <w:br/>
            </w:r>
            <w:r w:rsidRPr="00A73A1E">
              <w:tab/>
            </w:r>
            <w:r w:rsidRPr="00A73A1E">
              <w:rPr>
                <w:rFonts w:ascii="Cambria Math" w:hAnsi="Cambria Math" w:cs="Cambria Math"/>
              </w:rPr>
              <w:t> </w:t>
            </w:r>
            <w:r w:rsidRPr="00A73A1E">
              <w:rPr>
                <w:rtl/>
                <w:lang w:bidi="he-IL"/>
              </w:rPr>
              <w:t>׀</w:t>
            </w:r>
            <w:r w:rsidRPr="00A73A1E">
              <w:rPr>
                <w:rFonts w:ascii="Symbol" w:hAnsi="Symbol"/>
              </w:rPr>
              <w:t></w:t>
            </w:r>
            <w:proofErr w:type="gramStart"/>
            <w:r w:rsidRPr="00A73A1E">
              <w:rPr>
                <w:i/>
                <w:position w:val="-4"/>
              </w:rPr>
              <w:t>v</w:t>
            </w:r>
            <w:r>
              <w:rPr>
                <w:i/>
                <w:position w:val="-4"/>
              </w:rPr>
              <w:t xml:space="preserve"> </w:t>
            </w:r>
            <w:r w:rsidRPr="00A73A1E">
              <w:rPr>
                <w:rtl/>
                <w:lang w:bidi="he-IL"/>
              </w:rPr>
              <w:t xml:space="preserve"> ׀</w:t>
            </w:r>
            <w:proofErr w:type="gramEnd"/>
            <w:r w:rsidRPr="00A73A1E">
              <w:rPr>
                <w:rFonts w:ascii="Symbol" w:hAnsi="Symbol"/>
              </w:rPr>
              <w:t></w:t>
            </w:r>
            <w:r w:rsidRPr="00A73A1E">
              <w:t>≥</w:t>
            </w:r>
            <w:r>
              <w:t xml:space="preserve"> </w:t>
            </w:r>
            <w:r w:rsidRPr="00A73A1E">
              <w:rPr>
                <w:lang w:eastAsia="ja-JP"/>
              </w:rPr>
              <w:t>24.75</w:t>
            </w:r>
            <w:r w:rsidRPr="00A73A1E">
              <w:rPr>
                <w:rFonts w:ascii="Symbol" w:hAnsi="Symbol"/>
              </w:rPr>
              <w:t></w:t>
            </w:r>
          </w:p>
        </w:tc>
      </w:tr>
      <w:tr w:rsidR="003244CE" w:rsidRPr="00A73A1E" w14:paraId="30BCE2EE" w14:textId="77777777" w:rsidTr="009C40C0">
        <w:trPr>
          <w:cantSplit/>
          <w:jc w:val="center"/>
        </w:trPr>
        <w:tc>
          <w:tcPr>
            <w:tcW w:w="1667" w:type="dxa"/>
            <w:vAlign w:val="center"/>
          </w:tcPr>
          <w:p w14:paraId="7D422BBA" w14:textId="77777777" w:rsidR="003244CE" w:rsidRPr="00A73A1E" w:rsidRDefault="003244CE" w:rsidP="00167153">
            <w:pPr>
              <w:pStyle w:val="Tabletext"/>
            </w:pPr>
            <w:r w:rsidRPr="00A73A1E">
              <w:t>Horizontal</w:t>
            </w:r>
            <w:r w:rsidRPr="00A73A1E">
              <w:br/>
              <w:t>(azimuth)</w:t>
            </w:r>
          </w:p>
        </w:tc>
        <w:tc>
          <w:tcPr>
            <w:tcW w:w="3969" w:type="dxa"/>
          </w:tcPr>
          <w:p w14:paraId="6E947E52" w14:textId="28EFB410" w:rsidR="003244CE" w:rsidRPr="00A73A1E" w:rsidRDefault="003244CE" w:rsidP="00167153">
            <w:pPr>
              <w:pStyle w:val="Tabletext"/>
              <w:jc w:val="left"/>
              <w:rPr>
                <w:lang w:eastAsia="ja-JP"/>
              </w:rPr>
            </w:pPr>
            <w:r w:rsidRPr="00A73A1E">
              <w:rPr>
                <w:i/>
              </w:rPr>
              <w:t>G</w:t>
            </w:r>
            <w:r w:rsidRPr="00A73A1E">
              <w:rPr>
                <w:i/>
                <w:position w:val="-4"/>
              </w:rPr>
              <w:t>h</w:t>
            </w:r>
            <w:r w:rsidRPr="00A73A1E">
              <w:rPr>
                <w:rFonts w:ascii="Tms Rmn" w:hAnsi="Tms Rmn"/>
              </w:rPr>
              <w:t> </w:t>
            </w:r>
            <w:r w:rsidRPr="00A73A1E">
              <w:t>(</w:t>
            </w:r>
            <w:r w:rsidRPr="00A73A1E">
              <w:rPr>
                <w:rFonts w:ascii="Symbol" w:hAnsi="Symbol"/>
              </w:rPr>
              <w:t></w:t>
            </w:r>
            <w:proofErr w:type="gramStart"/>
            <w:r w:rsidRPr="00A73A1E">
              <w:rPr>
                <w:i/>
                <w:position w:val="-4"/>
              </w:rPr>
              <w:t>h</w:t>
            </w:r>
            <w:r w:rsidRPr="00A73A1E">
              <w:rPr>
                <w:rFonts w:ascii="Tms Rmn" w:hAnsi="Tms Rmn"/>
              </w:rPr>
              <w:t> </w:t>
            </w:r>
            <w:r w:rsidRPr="00A73A1E">
              <w:t>)</w:t>
            </w:r>
            <w:proofErr w:type="gramEnd"/>
            <w:r>
              <w:t xml:space="preserve"> </w:t>
            </w:r>
            <w:r w:rsidRPr="00A73A1E">
              <w:rPr>
                <w:rFonts w:ascii="Symbol" w:hAnsi="Symbol"/>
              </w:rPr>
              <w:t></w:t>
            </w:r>
            <w:r>
              <w:t xml:space="preserve"> </w:t>
            </w:r>
            <w:r w:rsidRPr="00A73A1E">
              <w:rPr>
                <w:lang w:eastAsia="ja-JP"/>
              </w:rPr>
              <w:t>34.7</w:t>
            </w:r>
            <w:r w:rsidRPr="00A73A1E">
              <w:t xml:space="preserve"> –</w:t>
            </w:r>
            <w:r>
              <w:t xml:space="preserve"> </w:t>
            </w:r>
            <w:r w:rsidRPr="00A73A1E">
              <w:rPr>
                <w:lang w:eastAsia="ja-JP"/>
              </w:rPr>
              <w:t>2.7</w:t>
            </w:r>
            <w:r w:rsidRPr="00A73A1E">
              <w:t>(</w:t>
            </w:r>
            <w:r w:rsidRPr="00A73A1E">
              <w:rPr>
                <w:rFonts w:ascii="Symbol" w:hAnsi="Symbol"/>
              </w:rPr>
              <w:t></w:t>
            </w:r>
            <w:r w:rsidRPr="00A73A1E">
              <w:rPr>
                <w:i/>
                <w:position w:val="-4"/>
              </w:rPr>
              <w:t>h</w:t>
            </w:r>
            <w:r w:rsidRPr="00A73A1E">
              <w:rPr>
                <w:rFonts w:ascii="Tms Rmn" w:hAnsi="Tms Rmn"/>
                <w:position w:val="-4"/>
                <w:vertAlign w:val="subscript"/>
              </w:rPr>
              <w:t> </w:t>
            </w:r>
            <w:r w:rsidRPr="00A73A1E">
              <w:t>)</w:t>
            </w:r>
            <w:r w:rsidRPr="00A73A1E">
              <w:rPr>
                <w:position w:val="6"/>
                <w:sz w:val="14"/>
                <w:szCs w:val="14"/>
              </w:rPr>
              <w:t>2</w:t>
            </w:r>
            <w:r w:rsidRPr="00A73A1E">
              <w:br/>
            </w:r>
            <w:r w:rsidRPr="00A73A1E">
              <w:rPr>
                <w:i/>
              </w:rPr>
              <w:t>G</w:t>
            </w:r>
            <w:r w:rsidRPr="00A73A1E">
              <w:rPr>
                <w:i/>
                <w:position w:val="-4"/>
              </w:rPr>
              <w:t>h</w:t>
            </w:r>
            <w:r w:rsidRPr="00A73A1E">
              <w:rPr>
                <w:rFonts w:ascii="Tms Rmn" w:hAnsi="Tms Rmn"/>
              </w:rPr>
              <w:t> </w:t>
            </w:r>
            <w:r w:rsidRPr="00A73A1E">
              <w:t>(</w:t>
            </w:r>
            <w:r w:rsidRPr="00A73A1E">
              <w:rPr>
                <w:rFonts w:ascii="Symbol" w:hAnsi="Symbol"/>
              </w:rPr>
              <w:t></w:t>
            </w:r>
            <w:r w:rsidRPr="00A73A1E">
              <w:rPr>
                <w:i/>
                <w:position w:val="-4"/>
              </w:rPr>
              <w:t>h</w:t>
            </w:r>
            <w:r w:rsidRPr="00A73A1E">
              <w:rPr>
                <w:rFonts w:ascii="Tms Rmn" w:hAnsi="Tms Rmn"/>
              </w:rPr>
              <w:t> </w:t>
            </w:r>
            <w:r w:rsidRPr="00A73A1E">
              <w:t>)</w:t>
            </w:r>
            <w:r>
              <w:t xml:space="preserve"> </w:t>
            </w:r>
            <w:r w:rsidRPr="00A73A1E">
              <w:rPr>
                <w:rFonts w:ascii="Symbol" w:hAnsi="Symbol"/>
              </w:rPr>
              <w:t></w:t>
            </w:r>
            <w:r>
              <w:t xml:space="preserve"> </w:t>
            </w:r>
            <w:r w:rsidRPr="00A73A1E">
              <w:rPr>
                <w:lang w:eastAsia="ja-JP"/>
              </w:rPr>
              <w:t>34.7</w:t>
            </w:r>
            <w:r>
              <w:t xml:space="preserve"> </w:t>
            </w:r>
            <w:r w:rsidRPr="00A73A1E">
              <w:t xml:space="preserve">– </w:t>
            </w:r>
            <w:r w:rsidRPr="00A73A1E">
              <w:rPr>
                <w:lang w:eastAsia="ja-JP"/>
              </w:rPr>
              <w:t>0.95</w:t>
            </w:r>
            <w:r w:rsidRPr="00A73A1E">
              <w:t xml:space="preserve"> </w:t>
            </w:r>
            <w:r w:rsidRPr="00A73A1E">
              <w:rPr>
                <w:rFonts w:ascii="Symbol" w:hAnsi="Symbol"/>
              </w:rPr>
              <w:t></w:t>
            </w:r>
            <w:r w:rsidRPr="00A73A1E">
              <w:rPr>
                <w:i/>
                <w:position w:val="-4"/>
              </w:rPr>
              <w:t>h</w:t>
            </w:r>
            <w:r w:rsidRPr="00A73A1E">
              <w:rPr>
                <w:lang w:eastAsia="ja-JP"/>
              </w:rPr>
              <w:t xml:space="preserve"> </w:t>
            </w:r>
            <w:r w:rsidR="00112809" w:rsidRPr="00A73A1E">
              <w:t>–</w:t>
            </w:r>
            <w:r w:rsidRPr="00A73A1E">
              <w:rPr>
                <w:lang w:eastAsia="ja-JP"/>
              </w:rPr>
              <w:t xml:space="preserve"> 10</w:t>
            </w:r>
            <w:r w:rsidRPr="00A73A1E">
              <w:t>.</w:t>
            </w:r>
            <w:r w:rsidRPr="00A73A1E">
              <w:rPr>
                <w:lang w:eastAsia="ja-JP"/>
              </w:rPr>
              <w:t>65</w:t>
            </w:r>
            <w:r w:rsidRPr="00A73A1E">
              <w:br/>
            </w:r>
            <w:r w:rsidRPr="00A73A1E">
              <w:rPr>
                <w:i/>
              </w:rPr>
              <w:t>G</w:t>
            </w:r>
            <w:r w:rsidRPr="00A73A1E">
              <w:rPr>
                <w:i/>
                <w:position w:val="-4"/>
              </w:rPr>
              <w:t>h</w:t>
            </w:r>
            <w:r w:rsidRPr="00A73A1E">
              <w:rPr>
                <w:rFonts w:ascii="Tms Rmn" w:hAnsi="Tms Rmn"/>
              </w:rPr>
              <w:t> </w:t>
            </w:r>
            <w:r w:rsidRPr="00A73A1E">
              <w:t>(</w:t>
            </w:r>
            <w:r w:rsidRPr="00A73A1E">
              <w:rPr>
                <w:rFonts w:ascii="Symbol" w:hAnsi="Symbol"/>
              </w:rPr>
              <w:t></w:t>
            </w:r>
            <w:r w:rsidRPr="00A73A1E">
              <w:rPr>
                <w:i/>
                <w:position w:val="-4"/>
              </w:rPr>
              <w:t>h</w:t>
            </w:r>
            <w:r w:rsidRPr="00A73A1E">
              <w:rPr>
                <w:rFonts w:ascii="Tms Rmn" w:hAnsi="Tms Rmn"/>
              </w:rPr>
              <w:t> </w:t>
            </w:r>
            <w:r w:rsidRPr="00A73A1E">
              <w:t>)</w:t>
            </w:r>
            <w:r>
              <w:t xml:space="preserve"> </w:t>
            </w:r>
            <w:r w:rsidRPr="00A73A1E">
              <w:rPr>
                <w:rFonts w:ascii="Symbol" w:hAnsi="Symbol"/>
              </w:rPr>
              <w:t></w:t>
            </w:r>
            <w:r>
              <w:t xml:space="preserve"> </w:t>
            </w:r>
            <w:r w:rsidRPr="00A73A1E">
              <w:rPr>
                <w:lang w:eastAsia="ja-JP"/>
              </w:rPr>
              <w:t>34.7</w:t>
            </w:r>
            <w:r>
              <w:rPr>
                <w:lang w:eastAsia="ja-JP"/>
              </w:rPr>
              <w:t xml:space="preserve"> </w:t>
            </w:r>
            <w:r w:rsidR="00112809" w:rsidRPr="00A73A1E">
              <w:t>–</w:t>
            </w:r>
            <w:r>
              <w:rPr>
                <w:lang w:eastAsia="ja-JP"/>
              </w:rPr>
              <w:t xml:space="preserve"> </w:t>
            </w:r>
            <w:r w:rsidRPr="00A73A1E">
              <w:rPr>
                <w:lang w:eastAsia="ja-JP"/>
              </w:rPr>
              <w:t>23.0</w:t>
            </w:r>
          </w:p>
          <w:p w14:paraId="51BF0474" w14:textId="70899325" w:rsidR="003244CE" w:rsidRPr="00A73A1E" w:rsidRDefault="003244CE" w:rsidP="00167153">
            <w:pPr>
              <w:pStyle w:val="Tabletext"/>
              <w:jc w:val="left"/>
              <w:rPr>
                <w:lang w:eastAsia="ja-JP"/>
              </w:rPr>
            </w:pPr>
            <w:r w:rsidRPr="00A73A1E">
              <w:rPr>
                <w:i/>
              </w:rPr>
              <w:t>G</w:t>
            </w:r>
            <w:r w:rsidRPr="00A73A1E">
              <w:rPr>
                <w:i/>
                <w:position w:val="-4"/>
              </w:rPr>
              <w:t>h</w:t>
            </w:r>
            <w:r w:rsidRPr="00A73A1E">
              <w:rPr>
                <w:rFonts w:ascii="Tms Rmn" w:hAnsi="Tms Rmn"/>
              </w:rPr>
              <w:t> </w:t>
            </w:r>
            <w:r w:rsidRPr="00A73A1E">
              <w:t>(</w:t>
            </w:r>
            <w:r w:rsidRPr="00A73A1E">
              <w:rPr>
                <w:rFonts w:ascii="Symbol" w:hAnsi="Symbol"/>
              </w:rPr>
              <w:t></w:t>
            </w:r>
            <w:proofErr w:type="gramStart"/>
            <w:r w:rsidRPr="00A73A1E">
              <w:rPr>
                <w:i/>
                <w:position w:val="-4"/>
              </w:rPr>
              <w:t>h</w:t>
            </w:r>
            <w:r w:rsidRPr="00A73A1E">
              <w:rPr>
                <w:rFonts w:ascii="Tms Rmn" w:hAnsi="Tms Rmn"/>
              </w:rPr>
              <w:t> </w:t>
            </w:r>
            <w:r w:rsidRPr="00A73A1E">
              <w:t>)</w:t>
            </w:r>
            <w:proofErr w:type="gramEnd"/>
            <w:r>
              <w:t xml:space="preserve"> </w:t>
            </w:r>
            <w:r w:rsidRPr="00A73A1E">
              <w:rPr>
                <w:rFonts w:ascii="Symbol" w:hAnsi="Symbol"/>
              </w:rPr>
              <w:t></w:t>
            </w:r>
            <w:r>
              <w:t xml:space="preserve"> </w:t>
            </w:r>
            <w:r w:rsidRPr="00A73A1E">
              <w:rPr>
                <w:lang w:eastAsia="ja-JP"/>
              </w:rPr>
              <w:t>34.7</w:t>
            </w:r>
            <w:r>
              <w:rPr>
                <w:lang w:eastAsia="ja-JP"/>
              </w:rPr>
              <w:t xml:space="preserve"> </w:t>
            </w:r>
            <w:r w:rsidR="00112809" w:rsidRPr="00A73A1E">
              <w:t>–</w:t>
            </w:r>
            <w:r>
              <w:rPr>
                <w:lang w:eastAsia="ja-JP"/>
              </w:rPr>
              <w:t xml:space="preserve"> </w:t>
            </w:r>
            <w:r w:rsidRPr="00A73A1E">
              <w:rPr>
                <w:lang w:eastAsia="ja-JP"/>
              </w:rPr>
              <w:t xml:space="preserve">23.0 </w:t>
            </w:r>
            <w:r w:rsidR="00112809" w:rsidRPr="00A73A1E">
              <w:t>–</w:t>
            </w:r>
            <w:r w:rsidRPr="00A73A1E">
              <w:rPr>
                <w:lang w:eastAsia="ja-JP"/>
              </w:rPr>
              <w:t xml:space="preserve"> 35log(</w:t>
            </w:r>
            <w:r w:rsidRPr="00A73A1E">
              <w:rPr>
                <w:rFonts w:ascii="Symbol" w:hAnsi="Symbol"/>
              </w:rPr>
              <w:t></w:t>
            </w:r>
            <w:r w:rsidRPr="00A73A1E">
              <w:rPr>
                <w:i/>
                <w:position w:val="-4"/>
              </w:rPr>
              <w:t>h</w:t>
            </w:r>
            <w:r w:rsidRPr="00A73A1E">
              <w:rPr>
                <w:lang w:eastAsia="ja-JP"/>
              </w:rPr>
              <w:t xml:space="preserve"> /38)</w:t>
            </w:r>
          </w:p>
          <w:p w14:paraId="281AA8F0" w14:textId="1D556745" w:rsidR="003244CE" w:rsidRPr="00A73A1E" w:rsidRDefault="003244CE" w:rsidP="00167153">
            <w:pPr>
              <w:pStyle w:val="Tabletext"/>
              <w:jc w:val="left"/>
              <w:rPr>
                <w:lang w:eastAsia="ja-JP"/>
              </w:rPr>
            </w:pPr>
            <w:r w:rsidRPr="00A73A1E">
              <w:rPr>
                <w:i/>
              </w:rPr>
              <w:t>G</w:t>
            </w:r>
            <w:r w:rsidRPr="00A73A1E">
              <w:rPr>
                <w:i/>
                <w:position w:val="-4"/>
              </w:rPr>
              <w:t>h</w:t>
            </w:r>
            <w:r w:rsidRPr="00A73A1E">
              <w:rPr>
                <w:rFonts w:ascii="Tms Rmn" w:hAnsi="Tms Rmn"/>
              </w:rPr>
              <w:t> </w:t>
            </w:r>
            <w:r w:rsidRPr="00A73A1E">
              <w:t>(</w:t>
            </w:r>
            <w:r w:rsidRPr="00A73A1E">
              <w:rPr>
                <w:rFonts w:ascii="Symbol" w:hAnsi="Symbol"/>
              </w:rPr>
              <w:t></w:t>
            </w:r>
            <w:proofErr w:type="gramStart"/>
            <w:r w:rsidRPr="00A73A1E">
              <w:rPr>
                <w:i/>
                <w:position w:val="-4"/>
              </w:rPr>
              <w:t>h</w:t>
            </w:r>
            <w:r w:rsidRPr="00A73A1E">
              <w:rPr>
                <w:rFonts w:ascii="Tms Rmn" w:hAnsi="Tms Rmn"/>
              </w:rPr>
              <w:t> </w:t>
            </w:r>
            <w:r w:rsidRPr="00A73A1E">
              <w:t>)</w:t>
            </w:r>
            <w:proofErr w:type="gramEnd"/>
            <w:r>
              <w:t xml:space="preserve"> </w:t>
            </w:r>
            <w:r w:rsidRPr="00A73A1E">
              <w:rPr>
                <w:rFonts w:ascii="Symbol" w:hAnsi="Symbol"/>
              </w:rPr>
              <w:t></w:t>
            </w:r>
            <w:r>
              <w:t xml:space="preserve"> </w:t>
            </w:r>
            <w:r w:rsidRPr="00A73A1E">
              <w:rPr>
                <w:lang w:eastAsia="ja-JP"/>
              </w:rPr>
              <w:t xml:space="preserve">34.7 </w:t>
            </w:r>
            <w:r w:rsidR="00112809" w:rsidRPr="00A73A1E">
              <w:t>–</w:t>
            </w:r>
            <w:r>
              <w:rPr>
                <w:lang w:eastAsia="ja-JP"/>
              </w:rPr>
              <w:t xml:space="preserve"> </w:t>
            </w:r>
            <w:r w:rsidRPr="00A73A1E">
              <w:rPr>
                <w:lang w:eastAsia="ja-JP"/>
              </w:rPr>
              <w:t>36.1</w:t>
            </w:r>
          </w:p>
        </w:tc>
        <w:tc>
          <w:tcPr>
            <w:tcW w:w="2643" w:type="dxa"/>
          </w:tcPr>
          <w:p w14:paraId="21CFCE04" w14:textId="5D35F37A" w:rsidR="003244CE" w:rsidRPr="00A73A1E" w:rsidRDefault="003244CE" w:rsidP="00167153">
            <w:pPr>
              <w:pStyle w:val="Tabletext"/>
              <w:jc w:val="center"/>
              <w:rPr>
                <w:rFonts w:ascii="Symbol" w:hAnsi="Symbol"/>
                <w:lang w:eastAsia="ja-JP"/>
              </w:rPr>
            </w:pPr>
            <w:r w:rsidRPr="00A73A1E">
              <w:t>0</w:t>
            </w:r>
            <w:r w:rsidRPr="00A73A1E">
              <w:rPr>
                <w:rFonts w:ascii="Symbol" w:hAnsi="Symbol"/>
              </w:rPr>
              <w:t></w:t>
            </w:r>
            <w:r w:rsidRPr="00A73A1E">
              <w:rPr>
                <w:rFonts w:ascii="Symbol" w:hAnsi="Symbol"/>
              </w:rPr>
              <w:tab/>
            </w:r>
            <w:r w:rsidRPr="00A73A1E">
              <w:rPr>
                <w:rFonts w:ascii="Symbol" w:hAnsi="Symbol"/>
              </w:rPr>
              <w:t></w:t>
            </w:r>
            <w:r>
              <w:t xml:space="preserve"> </w:t>
            </w:r>
            <w:r w:rsidRPr="00A73A1E">
              <w:rPr>
                <w:rtl/>
                <w:lang w:bidi="he-IL"/>
              </w:rPr>
              <w:t>׀</w:t>
            </w:r>
            <w:r w:rsidRPr="00A73A1E">
              <w:rPr>
                <w:rFonts w:ascii="Symbol" w:hAnsi="Symbol"/>
              </w:rPr>
              <w:t></w:t>
            </w:r>
            <w:r w:rsidRPr="00A73A1E">
              <w:rPr>
                <w:i/>
                <w:position w:val="-4"/>
              </w:rPr>
              <w:t>h</w:t>
            </w:r>
            <w:r>
              <w:rPr>
                <w:lang w:bidi="he-IL"/>
              </w:rPr>
              <w:t xml:space="preserve"> </w:t>
            </w:r>
            <w:r w:rsidRPr="00A73A1E">
              <w:rPr>
                <w:rtl/>
                <w:lang w:bidi="he-IL"/>
              </w:rPr>
              <w:t>׀</w:t>
            </w:r>
            <w:r w:rsidRPr="00A73A1E">
              <w:rPr>
                <w:rFonts w:ascii="Symbol" w:hAnsi="Symbol"/>
              </w:rPr>
              <w:t></w:t>
            </w:r>
            <w:r w:rsidRPr="00A73A1E">
              <w:rPr>
                <w:rFonts w:ascii="Symbol" w:hAnsi="Symbol"/>
              </w:rPr>
              <w:t></w:t>
            </w:r>
            <w:r>
              <w:t xml:space="preserve"> </w:t>
            </w:r>
            <w:r w:rsidRPr="00A73A1E">
              <w:rPr>
                <w:lang w:eastAsia="ja-JP"/>
              </w:rPr>
              <w:t>2.17</w:t>
            </w:r>
            <w:r w:rsidRPr="00A73A1E">
              <w:rPr>
                <w:rFonts w:ascii="Symbol" w:hAnsi="Symbol"/>
              </w:rPr>
              <w:t></w:t>
            </w:r>
            <w:r w:rsidRPr="00A73A1E">
              <w:br/>
            </w:r>
            <w:r w:rsidRPr="00A73A1E">
              <w:rPr>
                <w:lang w:eastAsia="ja-JP"/>
              </w:rPr>
              <w:t>2.17</w:t>
            </w:r>
            <w:r w:rsidRPr="00A73A1E">
              <w:rPr>
                <w:rFonts w:ascii="Symbol" w:hAnsi="Symbol"/>
              </w:rPr>
              <w:t></w:t>
            </w:r>
            <w:r w:rsidRPr="00A73A1E">
              <w:rPr>
                <w:rFonts w:ascii="Symbol" w:hAnsi="Symbol"/>
              </w:rPr>
              <w:tab/>
            </w:r>
            <w:r w:rsidRPr="00A73A1E">
              <w:t>≤</w:t>
            </w:r>
            <w:r>
              <w:t xml:space="preserve"> </w:t>
            </w:r>
            <w:r w:rsidRPr="00A73A1E">
              <w:rPr>
                <w:rtl/>
                <w:lang w:bidi="he-IL"/>
              </w:rPr>
              <w:t>׀</w:t>
            </w:r>
            <w:r w:rsidRPr="00A73A1E">
              <w:rPr>
                <w:rFonts w:ascii="Symbol" w:hAnsi="Symbol"/>
              </w:rPr>
              <w:t></w:t>
            </w:r>
            <w:r w:rsidRPr="00A73A1E">
              <w:rPr>
                <w:i/>
                <w:position w:val="-4"/>
              </w:rPr>
              <w:t>h</w:t>
            </w:r>
            <w:r>
              <w:rPr>
                <w:lang w:bidi="he-IL"/>
              </w:rPr>
              <w:t xml:space="preserve"> </w:t>
            </w:r>
            <w:r w:rsidRPr="00A73A1E">
              <w:rPr>
                <w:rtl/>
                <w:lang w:bidi="he-IL"/>
              </w:rPr>
              <w:t>׀</w:t>
            </w:r>
            <w:r w:rsidRPr="00A73A1E">
              <w:rPr>
                <w:rFonts w:ascii="Symbol" w:hAnsi="Symbol"/>
              </w:rPr>
              <w:t></w:t>
            </w:r>
            <w:r w:rsidRPr="00A73A1E">
              <w:rPr>
                <w:rFonts w:ascii="Symbol" w:hAnsi="Symbol"/>
              </w:rPr>
              <w:t></w:t>
            </w:r>
            <w:r>
              <w:t xml:space="preserve"> </w:t>
            </w:r>
            <w:r w:rsidRPr="00A73A1E">
              <w:t>1</w:t>
            </w:r>
            <w:r w:rsidRPr="00A73A1E">
              <w:rPr>
                <w:lang w:eastAsia="ja-JP"/>
              </w:rPr>
              <w:t>3.0</w:t>
            </w:r>
            <w:r w:rsidRPr="00A73A1E">
              <w:rPr>
                <w:rFonts w:ascii="Symbol" w:hAnsi="Symbol"/>
              </w:rPr>
              <w:t></w:t>
            </w:r>
          </w:p>
          <w:p w14:paraId="3C1F263A" w14:textId="77777777" w:rsidR="003244CE" w:rsidRPr="00A73A1E" w:rsidRDefault="003244CE" w:rsidP="00167153">
            <w:pPr>
              <w:pStyle w:val="Tabletext"/>
              <w:jc w:val="center"/>
              <w:rPr>
                <w:rFonts w:ascii="Symbol" w:hAnsi="Symbol"/>
                <w:lang w:eastAsia="ja-JP"/>
              </w:rPr>
            </w:pPr>
            <w:r w:rsidRPr="00A73A1E">
              <w:rPr>
                <w:lang w:eastAsia="ja-JP"/>
              </w:rPr>
              <w:t>13.0</w:t>
            </w:r>
            <w:r w:rsidRPr="00A73A1E">
              <w:rPr>
                <w:rFonts w:ascii="Symbol" w:hAnsi="Symbol"/>
              </w:rPr>
              <w:t></w:t>
            </w:r>
            <w:r w:rsidRPr="00A73A1E">
              <w:rPr>
                <w:rFonts w:ascii="Symbol" w:hAnsi="Symbol"/>
              </w:rPr>
              <w:tab/>
            </w:r>
            <w:r w:rsidRPr="00A73A1E">
              <w:t>≤</w:t>
            </w:r>
            <w:r>
              <w:t xml:space="preserve"> </w:t>
            </w:r>
            <w:r w:rsidRPr="00A73A1E">
              <w:rPr>
                <w:rtl/>
                <w:lang w:bidi="he-IL"/>
              </w:rPr>
              <w:t>׀</w:t>
            </w:r>
            <w:r w:rsidRPr="00A73A1E">
              <w:rPr>
                <w:rFonts w:ascii="Symbol" w:hAnsi="Symbol"/>
              </w:rPr>
              <w:t></w:t>
            </w:r>
            <w:r w:rsidRPr="00A73A1E">
              <w:rPr>
                <w:i/>
                <w:position w:val="-4"/>
              </w:rPr>
              <w:t>h</w:t>
            </w:r>
            <w:r>
              <w:rPr>
                <w:lang w:bidi="he-IL"/>
              </w:rPr>
              <w:t xml:space="preserve"> </w:t>
            </w:r>
            <w:r w:rsidRPr="00A73A1E">
              <w:rPr>
                <w:rtl/>
                <w:lang w:bidi="he-IL"/>
              </w:rPr>
              <w:t>׀</w:t>
            </w:r>
            <w:r w:rsidRPr="00A73A1E">
              <w:rPr>
                <w:rFonts w:ascii="Symbol" w:hAnsi="Symbol"/>
              </w:rPr>
              <w:t></w:t>
            </w:r>
            <w:r w:rsidRPr="00A73A1E">
              <w:rPr>
                <w:rFonts w:ascii="Symbol" w:hAnsi="Symbol"/>
              </w:rPr>
              <w:t></w:t>
            </w:r>
            <w:r>
              <w:t xml:space="preserve"> </w:t>
            </w:r>
            <w:r w:rsidRPr="00A73A1E">
              <w:rPr>
                <w:lang w:eastAsia="ja-JP"/>
              </w:rPr>
              <w:t>38.0</w:t>
            </w:r>
            <w:r w:rsidRPr="00A73A1E">
              <w:rPr>
                <w:rFonts w:ascii="Symbol" w:hAnsi="Symbol"/>
              </w:rPr>
              <w:t></w:t>
            </w:r>
          </w:p>
          <w:p w14:paraId="120A5072" w14:textId="77777777" w:rsidR="003244CE" w:rsidRPr="00A73A1E" w:rsidRDefault="003244CE" w:rsidP="00167153">
            <w:pPr>
              <w:pStyle w:val="Tabletext"/>
              <w:jc w:val="center"/>
            </w:pPr>
            <w:r w:rsidRPr="00A73A1E">
              <w:rPr>
                <w:lang w:eastAsia="ja-JP"/>
              </w:rPr>
              <w:t>38.0</w:t>
            </w:r>
            <w:r w:rsidRPr="00A73A1E">
              <w:rPr>
                <w:rFonts w:ascii="Symbol" w:hAnsi="Symbol"/>
              </w:rPr>
              <w:t></w:t>
            </w:r>
            <w:r w:rsidRPr="00A73A1E">
              <w:rPr>
                <w:rFonts w:ascii="Symbol" w:hAnsi="Symbol"/>
              </w:rPr>
              <w:tab/>
            </w:r>
            <w:r w:rsidRPr="00A73A1E">
              <w:t>≤</w:t>
            </w:r>
            <w:r>
              <w:t xml:space="preserve"> </w:t>
            </w:r>
            <w:r w:rsidRPr="00A73A1E">
              <w:rPr>
                <w:rtl/>
                <w:lang w:bidi="he-IL"/>
              </w:rPr>
              <w:t>׀</w:t>
            </w:r>
            <w:r w:rsidRPr="00A73A1E">
              <w:rPr>
                <w:rFonts w:ascii="Symbol" w:hAnsi="Symbol"/>
              </w:rPr>
              <w:t></w:t>
            </w:r>
            <w:r w:rsidRPr="00A73A1E">
              <w:rPr>
                <w:i/>
                <w:position w:val="-4"/>
              </w:rPr>
              <w:t>h</w:t>
            </w:r>
            <w:r>
              <w:rPr>
                <w:lang w:bidi="he-IL"/>
              </w:rPr>
              <w:t xml:space="preserve"> </w:t>
            </w:r>
            <w:r w:rsidRPr="00A73A1E">
              <w:rPr>
                <w:rtl/>
                <w:lang w:bidi="he-IL"/>
              </w:rPr>
              <w:t>׀</w:t>
            </w:r>
            <w:r w:rsidRPr="00A73A1E">
              <w:rPr>
                <w:rFonts w:ascii="Symbol" w:hAnsi="Symbol"/>
              </w:rPr>
              <w:t></w:t>
            </w:r>
            <w:r w:rsidRPr="00A73A1E">
              <w:rPr>
                <w:rFonts w:ascii="Symbol" w:hAnsi="Symbol"/>
              </w:rPr>
              <w:t></w:t>
            </w:r>
            <w:r>
              <w:t xml:space="preserve"> </w:t>
            </w:r>
            <w:r w:rsidRPr="00A73A1E">
              <w:rPr>
                <w:lang w:eastAsia="ja-JP"/>
              </w:rPr>
              <w:t>90.0</w:t>
            </w:r>
            <w:r w:rsidRPr="00A73A1E">
              <w:rPr>
                <w:rFonts w:ascii="Symbol" w:hAnsi="Symbol"/>
              </w:rPr>
              <w:t></w:t>
            </w:r>
            <w:r w:rsidRPr="00A73A1E">
              <w:br/>
            </w:r>
            <w:proofErr w:type="gramStart"/>
            <w:r w:rsidRPr="00A73A1E">
              <w:tab/>
            </w:r>
            <w:r>
              <w:t xml:space="preserve">  </w:t>
            </w:r>
            <w:r w:rsidRPr="00A73A1E">
              <w:rPr>
                <w:rtl/>
                <w:lang w:bidi="he-IL"/>
              </w:rPr>
              <w:t>׀</w:t>
            </w:r>
            <w:proofErr w:type="gramEnd"/>
            <w:r w:rsidRPr="00A73A1E">
              <w:rPr>
                <w:rFonts w:ascii="Symbol" w:hAnsi="Symbol"/>
              </w:rPr>
              <w:t></w:t>
            </w:r>
            <w:r w:rsidRPr="00A73A1E">
              <w:rPr>
                <w:i/>
                <w:position w:val="-4"/>
              </w:rPr>
              <w:t>h</w:t>
            </w:r>
            <w:r>
              <w:rPr>
                <w:lang w:bidi="he-IL"/>
              </w:rPr>
              <w:t xml:space="preserve"> </w:t>
            </w:r>
            <w:r w:rsidRPr="00A73A1E">
              <w:rPr>
                <w:rtl/>
                <w:lang w:bidi="he-IL"/>
              </w:rPr>
              <w:t>׀</w:t>
            </w:r>
            <w:r w:rsidRPr="00A73A1E">
              <w:rPr>
                <w:lang w:bidi="he-IL"/>
              </w:rPr>
              <w:t xml:space="preserve"> </w:t>
            </w:r>
            <w:r w:rsidRPr="00A73A1E">
              <w:rPr>
                <w:rFonts w:ascii="Symbol" w:hAnsi="Symbol"/>
              </w:rPr>
              <w:t></w:t>
            </w:r>
            <w:r w:rsidRPr="00A73A1E">
              <w:t>≥</w:t>
            </w:r>
            <w:r>
              <w:t xml:space="preserve"> </w:t>
            </w:r>
            <w:r w:rsidRPr="00A73A1E">
              <w:rPr>
                <w:lang w:eastAsia="ja-JP"/>
              </w:rPr>
              <w:t>90.0</w:t>
            </w:r>
            <w:r w:rsidRPr="00A73A1E">
              <w:rPr>
                <w:rFonts w:ascii="Symbol" w:hAnsi="Symbol"/>
              </w:rPr>
              <w:t></w:t>
            </w:r>
          </w:p>
        </w:tc>
      </w:tr>
      <w:tr w:rsidR="003244CE" w:rsidRPr="00A73A1E" w14:paraId="4C75D849" w14:textId="77777777" w:rsidTr="009C40C0">
        <w:trPr>
          <w:cantSplit/>
          <w:jc w:val="center"/>
        </w:trPr>
        <w:tc>
          <w:tcPr>
            <w:tcW w:w="1667" w:type="dxa"/>
            <w:tcBorders>
              <w:bottom w:val="single" w:sz="4" w:space="0" w:color="auto"/>
            </w:tcBorders>
            <w:vAlign w:val="center"/>
          </w:tcPr>
          <w:p w14:paraId="595AA32B" w14:textId="77777777" w:rsidR="003244CE" w:rsidRPr="00A73A1E" w:rsidRDefault="003244CE" w:rsidP="00167153">
            <w:pPr>
              <w:pStyle w:val="Tabletext"/>
            </w:pPr>
            <w:r w:rsidRPr="00A73A1E">
              <w:t>Beam pattern</w:t>
            </w:r>
          </w:p>
        </w:tc>
        <w:tc>
          <w:tcPr>
            <w:tcW w:w="3969" w:type="dxa"/>
            <w:tcBorders>
              <w:bottom w:val="single" w:sz="4" w:space="0" w:color="auto"/>
            </w:tcBorders>
          </w:tcPr>
          <w:p w14:paraId="0532993E" w14:textId="77777777" w:rsidR="003244CE" w:rsidRPr="00A73A1E" w:rsidRDefault="003244CE" w:rsidP="00167153">
            <w:pPr>
              <w:pStyle w:val="Tabletext"/>
              <w:jc w:val="left"/>
              <w:rPr>
                <w:lang w:eastAsia="ja-JP"/>
              </w:rPr>
            </w:pPr>
            <w:proofErr w:type="gramStart"/>
            <w:r w:rsidRPr="00A73A1E">
              <w:rPr>
                <w:i/>
              </w:rPr>
              <w:t>G</w:t>
            </w:r>
            <w:r w:rsidRPr="00A73A1E">
              <w:t>(</w:t>
            </w:r>
            <w:proofErr w:type="gramEnd"/>
            <w:r w:rsidRPr="00A73A1E">
              <w:rPr>
                <w:rFonts w:ascii="Symbol" w:hAnsi="Symbol"/>
              </w:rPr>
              <w:t></w:t>
            </w:r>
            <w:r w:rsidRPr="00A73A1E">
              <w:t>)</w:t>
            </w:r>
            <w:r>
              <w:t xml:space="preserve"> </w:t>
            </w:r>
            <w:r w:rsidRPr="00A73A1E">
              <w:rPr>
                <w:rFonts w:ascii="Symbol" w:hAnsi="Symbol"/>
              </w:rPr>
              <w:t></w:t>
            </w:r>
            <w:r>
              <w:t xml:space="preserve"> </w:t>
            </w:r>
            <w:r w:rsidRPr="00A73A1E">
              <w:rPr>
                <w:i/>
              </w:rPr>
              <w:t>G</w:t>
            </w:r>
            <w:r w:rsidRPr="00A73A1E">
              <w:rPr>
                <w:i/>
                <w:position w:val="-4"/>
              </w:rPr>
              <w:t>v</w:t>
            </w:r>
            <w:r w:rsidRPr="00A73A1E">
              <w:rPr>
                <w:rFonts w:ascii="Tms Rmn" w:hAnsi="Tms Rmn"/>
              </w:rPr>
              <w:t> </w:t>
            </w:r>
            <w:r w:rsidRPr="00A73A1E">
              <w:t>(</w:t>
            </w:r>
            <w:r w:rsidRPr="00A73A1E">
              <w:rPr>
                <w:rFonts w:ascii="Symbol" w:hAnsi="Symbol"/>
              </w:rPr>
              <w:t></w:t>
            </w:r>
            <w:r w:rsidRPr="00A73A1E">
              <w:rPr>
                <w:i/>
                <w:position w:val="-4"/>
              </w:rPr>
              <w:t>v</w:t>
            </w:r>
            <w:r w:rsidRPr="00A73A1E">
              <w:rPr>
                <w:rFonts w:ascii="Tms Rmn" w:hAnsi="Tms Rmn"/>
              </w:rPr>
              <w:t> </w:t>
            </w:r>
            <w:r w:rsidRPr="00A73A1E">
              <w:t>)</w:t>
            </w:r>
            <w:r>
              <w:t xml:space="preserve"> </w:t>
            </w:r>
            <w:r w:rsidRPr="00A73A1E">
              <w:rPr>
                <w:rFonts w:ascii="Symbol" w:hAnsi="Symbol"/>
              </w:rPr>
              <w:t></w:t>
            </w:r>
            <w:r>
              <w:t xml:space="preserve"> </w:t>
            </w:r>
            <w:r w:rsidRPr="00A73A1E">
              <w:rPr>
                <w:i/>
              </w:rPr>
              <w:t>G</w:t>
            </w:r>
            <w:r w:rsidRPr="00A73A1E">
              <w:rPr>
                <w:i/>
                <w:position w:val="-4"/>
              </w:rPr>
              <w:t>h</w:t>
            </w:r>
            <w:r w:rsidRPr="00A73A1E">
              <w:rPr>
                <w:rFonts w:ascii="Tms Rmn" w:hAnsi="Tms Rmn"/>
              </w:rPr>
              <w:t> </w:t>
            </w:r>
            <w:r w:rsidRPr="00A73A1E">
              <w:t>(</w:t>
            </w:r>
            <w:r w:rsidRPr="00A73A1E">
              <w:rPr>
                <w:rFonts w:ascii="Symbol" w:hAnsi="Symbol"/>
              </w:rPr>
              <w:t></w:t>
            </w:r>
            <w:r w:rsidRPr="00A73A1E">
              <w:rPr>
                <w:i/>
                <w:position w:val="-4"/>
              </w:rPr>
              <w:t>h</w:t>
            </w:r>
            <w:r w:rsidRPr="00A73A1E">
              <w:rPr>
                <w:rFonts w:ascii="Tms Rmn" w:hAnsi="Tms Rmn"/>
              </w:rPr>
              <w:t> </w:t>
            </w:r>
            <w:r w:rsidRPr="00A73A1E">
              <w:t>)</w:t>
            </w:r>
          </w:p>
        </w:tc>
        <w:tc>
          <w:tcPr>
            <w:tcW w:w="2643" w:type="dxa"/>
            <w:tcBorders>
              <w:bottom w:val="single" w:sz="4" w:space="0" w:color="auto"/>
            </w:tcBorders>
          </w:tcPr>
          <w:p w14:paraId="012D933A" w14:textId="77777777" w:rsidR="003244CE" w:rsidRPr="00A73A1E" w:rsidRDefault="003244CE" w:rsidP="00167153">
            <w:pPr>
              <w:pStyle w:val="Tabletext"/>
              <w:jc w:val="center"/>
              <w:rPr>
                <w:b/>
                <w:caps/>
              </w:rPr>
            </w:pPr>
            <w:r w:rsidRPr="00A73A1E">
              <w:rPr>
                <w:lang w:eastAsia="ja-JP"/>
              </w:rPr>
              <w:t>–</w:t>
            </w:r>
          </w:p>
        </w:tc>
      </w:tr>
      <w:tr w:rsidR="003244CE" w:rsidRPr="00A73A1E" w14:paraId="29CE16AD" w14:textId="77777777" w:rsidTr="009C40C0">
        <w:trPr>
          <w:cantSplit/>
          <w:jc w:val="center"/>
        </w:trPr>
        <w:tc>
          <w:tcPr>
            <w:tcW w:w="8279" w:type="dxa"/>
            <w:gridSpan w:val="3"/>
            <w:tcBorders>
              <w:left w:val="nil"/>
              <w:bottom w:val="nil"/>
              <w:right w:val="nil"/>
            </w:tcBorders>
          </w:tcPr>
          <w:p w14:paraId="5FF7358C" w14:textId="16C5E335" w:rsidR="003244CE" w:rsidRPr="00A73A1E" w:rsidRDefault="003244CE" w:rsidP="009C40C0">
            <w:pPr>
              <w:pStyle w:val="Tabletext"/>
              <w:rPr>
                <w:lang w:eastAsia="ja-JP"/>
              </w:rPr>
            </w:pPr>
            <w:r w:rsidRPr="00A73A1E">
              <w:t>N</w:t>
            </w:r>
            <w:r w:rsidR="002C7DA3">
              <w:t>OTE –</w:t>
            </w:r>
            <w:r w:rsidRPr="00A73A1E">
              <w:t xml:space="preserve"> </w:t>
            </w:r>
            <w:r w:rsidRPr="00A73A1E">
              <w:rPr>
                <w:lang w:eastAsia="ja-JP"/>
              </w:rPr>
              <w:t xml:space="preserve">These equations cover the worst-case envelope patterns with the maximum electric beam steering angle range in both elevation and azimuth directions. As the result, these equations contain some margins against actual antenna patterns. Therefore, the </w:t>
            </w:r>
            <w:r w:rsidR="00816C73">
              <w:rPr>
                <w:lang w:eastAsia="ja-JP"/>
              </w:rPr>
              <w:t>−</w:t>
            </w:r>
            <w:r w:rsidRPr="00A73A1E">
              <w:rPr>
                <w:lang w:eastAsia="ja-JP"/>
              </w:rPr>
              <w:t>3 dB beamwidth derived from these equations can be slightly different from the beamwidth (</w:t>
            </w:r>
            <w:r w:rsidR="00816C73">
              <w:rPr>
                <w:rFonts w:asciiTheme="majorBidi" w:hAnsiTheme="majorBidi" w:cstheme="majorBidi"/>
                <w:lang w:eastAsia="ja-JP"/>
              </w:rPr>
              <w:t>−</w:t>
            </w:r>
            <w:r w:rsidRPr="00A73A1E">
              <w:rPr>
                <w:lang w:eastAsia="ja-JP"/>
              </w:rPr>
              <w:t>3 dB) specified in Table 1.</w:t>
            </w:r>
          </w:p>
        </w:tc>
      </w:tr>
    </w:tbl>
    <w:p w14:paraId="6248A404" w14:textId="77777777" w:rsidR="003244CE" w:rsidRPr="00A73A1E" w:rsidRDefault="003244CE" w:rsidP="003244CE">
      <w:pPr>
        <w:pStyle w:val="Tablefin"/>
      </w:pPr>
    </w:p>
    <w:p w14:paraId="17C91E00" w14:textId="2A89D3C0" w:rsidR="003244CE" w:rsidRPr="00A73A1E" w:rsidRDefault="003244CE" w:rsidP="00816C73">
      <w:pPr>
        <w:pStyle w:val="TableNo"/>
        <w:keepLines/>
        <w:rPr>
          <w:lang w:eastAsia="ja-JP"/>
        </w:rPr>
      </w:pPr>
      <w:r w:rsidRPr="00A73A1E">
        <w:lastRenderedPageBreak/>
        <w:t>T</w:t>
      </w:r>
      <w:r w:rsidR="002C7DA3">
        <w:t>ABLE</w:t>
      </w:r>
      <w:r w:rsidRPr="00A73A1E">
        <w:t xml:space="preserve"> </w:t>
      </w:r>
      <w:r w:rsidRPr="00A73A1E">
        <w:rPr>
          <w:lang w:eastAsia="ja-JP"/>
        </w:rPr>
        <w:t>6</w:t>
      </w:r>
    </w:p>
    <w:p w14:paraId="199092BC" w14:textId="77777777" w:rsidR="003244CE" w:rsidRPr="00A73A1E" w:rsidRDefault="003244CE" w:rsidP="00816C73">
      <w:pPr>
        <w:pStyle w:val="Tabletitle"/>
        <w:keepLines/>
      </w:pPr>
      <w:r w:rsidRPr="00A73A1E">
        <w:t>Standard SAR5 and SAR6 antenna gain equations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4621"/>
        <w:gridCol w:w="3076"/>
      </w:tblGrid>
      <w:tr w:rsidR="003244CE" w:rsidRPr="00A73A1E" w14:paraId="34D5FA17" w14:textId="77777777" w:rsidTr="009C40C0">
        <w:trPr>
          <w:cantSplit/>
          <w:jc w:val="center"/>
        </w:trPr>
        <w:tc>
          <w:tcPr>
            <w:tcW w:w="1668" w:type="dxa"/>
            <w:vAlign w:val="center"/>
          </w:tcPr>
          <w:p w14:paraId="5A59FAA1" w14:textId="77777777" w:rsidR="003244CE" w:rsidRPr="00A73A1E" w:rsidRDefault="003244CE" w:rsidP="00816C73">
            <w:pPr>
              <w:pStyle w:val="Tablehead"/>
              <w:keepLines/>
            </w:pPr>
            <w:r w:rsidRPr="00A73A1E">
              <w:t>Pattern</w:t>
            </w:r>
          </w:p>
        </w:tc>
        <w:tc>
          <w:tcPr>
            <w:tcW w:w="3969" w:type="dxa"/>
            <w:vAlign w:val="center"/>
          </w:tcPr>
          <w:p w14:paraId="48F0E581" w14:textId="77777777" w:rsidR="003244CE" w:rsidRPr="00A73A1E" w:rsidRDefault="003244CE" w:rsidP="00816C73">
            <w:pPr>
              <w:pStyle w:val="Tablehead"/>
              <w:keepLines/>
            </w:pPr>
            <w:r w:rsidRPr="00A73A1E">
              <w:t xml:space="preserve">Gain </w:t>
            </w:r>
            <w:proofErr w:type="gramStart"/>
            <w:r w:rsidRPr="00A73A1E">
              <w:rPr>
                <w:i/>
              </w:rPr>
              <w:t>G</w:t>
            </w:r>
            <w:r w:rsidRPr="00A73A1E">
              <w:t>(</w:t>
            </w:r>
            <w:proofErr w:type="gramEnd"/>
            <w:r w:rsidRPr="00A73A1E">
              <w:rPr>
                <w:rFonts w:ascii="Symbol" w:hAnsi="Symbol"/>
              </w:rPr>
              <w:t></w:t>
            </w:r>
            <w:r w:rsidRPr="00A73A1E">
              <w:t>) (</w:t>
            </w:r>
            <w:proofErr w:type="spellStart"/>
            <w:r w:rsidRPr="00A73A1E">
              <w:t>dBi</w:t>
            </w:r>
            <w:proofErr w:type="spellEnd"/>
            <w:r w:rsidRPr="00A73A1E">
              <w:t>) as a function of</w:t>
            </w:r>
            <w:r w:rsidRPr="00A73A1E">
              <w:br/>
              <w:t xml:space="preserve">off-axis angle </w:t>
            </w:r>
            <w:r w:rsidRPr="00A73A1E">
              <w:rPr>
                <w:rFonts w:ascii="Symbol" w:hAnsi="Symbol"/>
              </w:rPr>
              <w:t></w:t>
            </w:r>
            <w:r w:rsidRPr="00A73A1E">
              <w:t xml:space="preserve"> (degrees)</w:t>
            </w:r>
          </w:p>
        </w:tc>
        <w:tc>
          <w:tcPr>
            <w:tcW w:w="2642" w:type="dxa"/>
            <w:vAlign w:val="center"/>
          </w:tcPr>
          <w:p w14:paraId="5CA158BC" w14:textId="77777777" w:rsidR="003244CE" w:rsidRPr="00A73A1E" w:rsidRDefault="003244CE" w:rsidP="00816C73">
            <w:pPr>
              <w:pStyle w:val="Tablehead"/>
              <w:keepLines/>
            </w:pPr>
            <w:r w:rsidRPr="00A73A1E">
              <w:t>Angle range</w:t>
            </w:r>
          </w:p>
        </w:tc>
      </w:tr>
      <w:tr w:rsidR="003244CE" w:rsidRPr="00A73A1E" w14:paraId="143B7059" w14:textId="77777777" w:rsidTr="009C40C0">
        <w:trPr>
          <w:cantSplit/>
          <w:jc w:val="center"/>
        </w:trPr>
        <w:tc>
          <w:tcPr>
            <w:tcW w:w="1668" w:type="dxa"/>
            <w:vAlign w:val="center"/>
          </w:tcPr>
          <w:p w14:paraId="0FE81D60" w14:textId="77777777" w:rsidR="003244CE" w:rsidRPr="00A73A1E" w:rsidRDefault="003244CE" w:rsidP="00816C73">
            <w:pPr>
              <w:pStyle w:val="Tabletext"/>
              <w:keepNext/>
              <w:keepLines/>
            </w:pPr>
            <w:r w:rsidRPr="00A73A1E">
              <w:t>Vertical</w:t>
            </w:r>
            <w:r w:rsidRPr="00A73A1E">
              <w:br/>
              <w:t>(elevation)</w:t>
            </w:r>
          </w:p>
        </w:tc>
        <w:tc>
          <w:tcPr>
            <w:tcW w:w="3969" w:type="dxa"/>
          </w:tcPr>
          <w:p w14:paraId="56BB9742" w14:textId="4D5D458A" w:rsidR="003244CE" w:rsidRPr="00A73A1E" w:rsidRDefault="003244CE" w:rsidP="00816C73">
            <w:pPr>
              <w:pStyle w:val="Tabletext"/>
              <w:keepNext/>
              <w:keepLines/>
              <w:jc w:val="left"/>
            </w:pPr>
            <w:r w:rsidRPr="00A73A1E">
              <w:rPr>
                <w:i/>
              </w:rPr>
              <w:t>G</w:t>
            </w:r>
            <w:r w:rsidRPr="00A73A1E">
              <w:rPr>
                <w:i/>
                <w:position w:val="-4"/>
              </w:rPr>
              <w:t>v</w:t>
            </w:r>
            <w:r w:rsidRPr="00A73A1E">
              <w:rPr>
                <w:rFonts w:ascii="Tms Rmn" w:hAnsi="Tms Rmn"/>
              </w:rPr>
              <w:t> </w:t>
            </w:r>
            <w:r w:rsidRPr="00A73A1E">
              <w:t>(</w:t>
            </w:r>
            <w:r w:rsidRPr="00A73A1E">
              <w:rPr>
                <w:rFonts w:ascii="Symbol" w:hAnsi="Symbol"/>
              </w:rPr>
              <w:t></w:t>
            </w:r>
            <w:proofErr w:type="gramStart"/>
            <w:r w:rsidRPr="00A73A1E">
              <w:rPr>
                <w:i/>
                <w:position w:val="-4"/>
              </w:rPr>
              <w:t>v</w:t>
            </w:r>
            <w:r w:rsidRPr="00A73A1E">
              <w:rPr>
                <w:rFonts w:ascii="Tms Rmn" w:hAnsi="Tms Rmn"/>
              </w:rPr>
              <w:t> </w:t>
            </w:r>
            <w:r w:rsidRPr="00A73A1E">
              <w:t>)</w:t>
            </w:r>
            <w:proofErr w:type="gramEnd"/>
            <w:r>
              <w:t xml:space="preserve"> </w:t>
            </w:r>
            <w:r w:rsidRPr="00A73A1E">
              <w:rPr>
                <w:rFonts w:ascii="Symbol" w:hAnsi="Symbol"/>
              </w:rPr>
              <w:t></w:t>
            </w:r>
            <w:r>
              <w:t xml:space="preserve"> </w:t>
            </w:r>
            <w:r w:rsidRPr="00A73A1E">
              <w:rPr>
                <w:lang w:eastAsia="ja-JP"/>
              </w:rPr>
              <w:t>0.0</w:t>
            </w:r>
            <w:r>
              <w:t xml:space="preserve"> </w:t>
            </w:r>
            <w:r w:rsidRPr="00A73A1E">
              <w:t>–</w:t>
            </w:r>
            <w:r>
              <w:t xml:space="preserve"> </w:t>
            </w:r>
            <w:r w:rsidRPr="00A73A1E">
              <w:t>0.</w:t>
            </w:r>
            <w:r w:rsidRPr="00A73A1E">
              <w:rPr>
                <w:lang w:eastAsia="ja-JP"/>
              </w:rPr>
              <w:t>30</w:t>
            </w:r>
            <w:r w:rsidRPr="00A73A1E">
              <w:t>(</w:t>
            </w:r>
            <w:r w:rsidRPr="00A73A1E">
              <w:rPr>
                <w:rFonts w:ascii="Symbol" w:hAnsi="Symbol"/>
              </w:rPr>
              <w:t></w:t>
            </w:r>
            <w:r w:rsidRPr="00A73A1E">
              <w:rPr>
                <w:i/>
                <w:position w:val="-4"/>
              </w:rPr>
              <w:t>v</w:t>
            </w:r>
            <w:r w:rsidRPr="00A73A1E">
              <w:rPr>
                <w:rFonts w:ascii="Tms Rmn" w:hAnsi="Tms Rmn"/>
              </w:rPr>
              <w:t> </w:t>
            </w:r>
            <w:r w:rsidRPr="00A73A1E">
              <w:t>)</w:t>
            </w:r>
            <w:r w:rsidRPr="00A73A1E">
              <w:rPr>
                <w:position w:val="6"/>
              </w:rPr>
              <w:t>2</w:t>
            </w:r>
            <w:r w:rsidRPr="00A73A1E">
              <w:br/>
            </w:r>
            <w:r w:rsidRPr="00A73A1E">
              <w:rPr>
                <w:i/>
              </w:rPr>
              <w:t>G</w:t>
            </w:r>
            <w:r w:rsidRPr="00A73A1E">
              <w:rPr>
                <w:i/>
                <w:position w:val="-4"/>
              </w:rPr>
              <w:t>v</w:t>
            </w:r>
            <w:r w:rsidRPr="00A73A1E">
              <w:rPr>
                <w:rFonts w:ascii="Tms Rmn" w:hAnsi="Tms Rmn"/>
              </w:rPr>
              <w:t> </w:t>
            </w:r>
            <w:r w:rsidRPr="00A73A1E">
              <w:t>(</w:t>
            </w:r>
            <w:r w:rsidRPr="00A73A1E">
              <w:rPr>
                <w:rFonts w:ascii="Symbol" w:hAnsi="Symbol"/>
              </w:rPr>
              <w:t></w:t>
            </w:r>
            <w:r w:rsidRPr="00A73A1E">
              <w:rPr>
                <w:i/>
                <w:position w:val="-4"/>
              </w:rPr>
              <w:t>v</w:t>
            </w:r>
            <w:r w:rsidRPr="00A73A1E">
              <w:rPr>
                <w:rFonts w:ascii="Tms Rmn" w:hAnsi="Tms Rmn"/>
              </w:rPr>
              <w:t> </w:t>
            </w:r>
            <w:r w:rsidRPr="00A73A1E">
              <w:t>)</w:t>
            </w:r>
            <w:r>
              <w:t xml:space="preserve"> </w:t>
            </w:r>
            <w:r w:rsidRPr="00A73A1E">
              <w:rPr>
                <w:rFonts w:ascii="Symbol" w:hAnsi="Symbol"/>
              </w:rPr>
              <w:t></w:t>
            </w:r>
            <w:r>
              <w:t xml:space="preserve"> </w:t>
            </w:r>
            <w:r w:rsidRPr="00A73A1E">
              <w:rPr>
                <w:lang w:eastAsia="ja-JP"/>
              </w:rPr>
              <w:t>0.0</w:t>
            </w:r>
            <w:r>
              <w:t xml:space="preserve"> </w:t>
            </w:r>
            <w:r w:rsidRPr="00A73A1E">
              <w:t>–</w:t>
            </w:r>
            <w:r>
              <w:t xml:space="preserve"> </w:t>
            </w:r>
            <w:r w:rsidRPr="00A73A1E">
              <w:t>0.</w:t>
            </w:r>
            <w:r w:rsidRPr="00A73A1E">
              <w:rPr>
                <w:lang w:eastAsia="ja-JP"/>
              </w:rPr>
              <w:t>69</w:t>
            </w:r>
            <w:r w:rsidRPr="00A73A1E">
              <w:t xml:space="preserve"> </w:t>
            </w:r>
            <w:r w:rsidRPr="00A73A1E">
              <w:rPr>
                <w:rFonts w:ascii="Symbol" w:hAnsi="Symbol"/>
              </w:rPr>
              <w:t></w:t>
            </w:r>
            <w:r w:rsidRPr="00A73A1E">
              <w:rPr>
                <w:i/>
                <w:position w:val="-4"/>
              </w:rPr>
              <w:t>v</w:t>
            </w:r>
            <w:r>
              <w:rPr>
                <w:i/>
                <w:position w:val="-4"/>
                <w:lang w:eastAsia="ja-JP"/>
              </w:rPr>
              <w:t xml:space="preserve"> </w:t>
            </w:r>
            <w:r w:rsidR="00816C73">
              <w:rPr>
                <w:lang w:eastAsia="ja-JP"/>
              </w:rPr>
              <w:t xml:space="preserve">− </w:t>
            </w:r>
            <w:r w:rsidRPr="00A73A1E">
              <w:rPr>
                <w:lang w:eastAsia="ja-JP"/>
              </w:rPr>
              <w:t>7.24</w:t>
            </w:r>
            <w:r w:rsidRPr="00A73A1E">
              <w:br/>
            </w:r>
            <w:r w:rsidRPr="00A73A1E">
              <w:rPr>
                <w:i/>
              </w:rPr>
              <w:t>G</w:t>
            </w:r>
            <w:r w:rsidRPr="00A73A1E">
              <w:rPr>
                <w:i/>
                <w:position w:val="-4"/>
              </w:rPr>
              <w:t>v</w:t>
            </w:r>
            <w:r w:rsidRPr="00A73A1E">
              <w:rPr>
                <w:rFonts w:ascii="Tms Rmn" w:hAnsi="Tms Rmn"/>
              </w:rPr>
              <w:t> </w:t>
            </w:r>
            <w:r w:rsidRPr="00A73A1E">
              <w:t>(</w:t>
            </w:r>
            <w:r w:rsidRPr="00A73A1E">
              <w:rPr>
                <w:rFonts w:ascii="Symbol" w:hAnsi="Symbol"/>
              </w:rPr>
              <w:t></w:t>
            </w:r>
            <w:r w:rsidRPr="00A73A1E">
              <w:rPr>
                <w:i/>
                <w:position w:val="-4"/>
              </w:rPr>
              <w:t>v</w:t>
            </w:r>
            <w:r w:rsidRPr="00A73A1E">
              <w:rPr>
                <w:rFonts w:ascii="Tms Rmn" w:hAnsi="Tms Rmn"/>
              </w:rPr>
              <w:t> </w:t>
            </w:r>
            <w:r w:rsidRPr="00A73A1E">
              <w:t>)</w:t>
            </w:r>
            <w:r>
              <w:t xml:space="preserve"> </w:t>
            </w:r>
            <w:r w:rsidRPr="00A73A1E">
              <w:rPr>
                <w:rFonts w:ascii="Symbol" w:hAnsi="Symbol"/>
              </w:rPr>
              <w:t></w:t>
            </w:r>
            <w:r>
              <w:t xml:space="preserve"> </w:t>
            </w:r>
            <w:r w:rsidRPr="00A73A1E">
              <w:t>–</w:t>
            </w:r>
            <w:r w:rsidRPr="00A73A1E">
              <w:rPr>
                <w:lang w:eastAsia="ja-JP"/>
              </w:rPr>
              <w:t>26.0</w:t>
            </w:r>
          </w:p>
        </w:tc>
        <w:tc>
          <w:tcPr>
            <w:tcW w:w="2642" w:type="dxa"/>
          </w:tcPr>
          <w:p w14:paraId="75A69F55" w14:textId="457A5EBD" w:rsidR="003244CE" w:rsidRPr="00A73A1E" w:rsidRDefault="003244CE" w:rsidP="00816C73">
            <w:pPr>
              <w:pStyle w:val="Tabletext"/>
              <w:keepNext/>
              <w:keepLines/>
              <w:jc w:val="center"/>
            </w:pPr>
            <w:r w:rsidRPr="00A73A1E">
              <w:t>0</w:t>
            </w:r>
            <w:r w:rsidRPr="00A73A1E">
              <w:rPr>
                <w:rFonts w:ascii="Symbol" w:hAnsi="Symbol"/>
              </w:rPr>
              <w:t></w:t>
            </w:r>
            <w:r w:rsidRPr="00A73A1E">
              <w:rPr>
                <w:rFonts w:ascii="Symbol" w:hAnsi="Symbol"/>
              </w:rPr>
              <w:tab/>
            </w:r>
            <w:r w:rsidRPr="00A73A1E">
              <w:rPr>
                <w:rFonts w:ascii="Symbol" w:hAnsi="Symbol"/>
              </w:rPr>
              <w:t></w:t>
            </w:r>
            <w:r w:rsidRPr="00A73A1E">
              <w:rPr>
                <w:rFonts w:ascii="Symbol" w:hAnsi="Symbol"/>
              </w:rPr>
              <w:t></w:t>
            </w:r>
            <w:r>
              <w:t xml:space="preserve"> </w:t>
            </w:r>
            <w:r w:rsidRPr="00A73A1E">
              <w:rPr>
                <w:rtl/>
                <w:lang w:bidi="he-IL"/>
              </w:rPr>
              <w:t>׀</w:t>
            </w:r>
            <w:r w:rsidRPr="00A73A1E">
              <w:rPr>
                <w:rFonts w:ascii="Symbol" w:hAnsi="Symbol"/>
              </w:rPr>
              <w:t></w:t>
            </w:r>
            <w:r w:rsidRPr="00A73A1E">
              <w:rPr>
                <w:i/>
                <w:position w:val="-4"/>
              </w:rPr>
              <w:t>v</w:t>
            </w:r>
            <w:r w:rsidRPr="00A73A1E">
              <w:rPr>
                <w:rtl/>
                <w:lang w:bidi="he-IL"/>
              </w:rPr>
              <w:t xml:space="preserve"> ׀</w:t>
            </w:r>
            <w:r w:rsidRPr="00A73A1E">
              <w:rPr>
                <w:rFonts w:ascii="Symbol" w:hAnsi="Symbol"/>
              </w:rPr>
              <w:t></w:t>
            </w:r>
            <w:r>
              <w:t xml:space="preserve"> </w:t>
            </w:r>
            <w:r w:rsidRPr="00A73A1E">
              <w:rPr>
                <w:lang w:eastAsia="ja-JP"/>
              </w:rPr>
              <w:t>6.20</w:t>
            </w:r>
            <w:r w:rsidRPr="00A73A1E">
              <w:rPr>
                <w:rFonts w:ascii="Symbol" w:hAnsi="Symbol"/>
              </w:rPr>
              <w:t></w:t>
            </w:r>
            <w:r w:rsidRPr="00A73A1E">
              <w:br/>
            </w:r>
            <w:r w:rsidRPr="00A73A1E">
              <w:rPr>
                <w:lang w:eastAsia="ja-JP"/>
              </w:rPr>
              <w:t>6.20</w:t>
            </w:r>
            <w:r w:rsidRPr="00A73A1E">
              <w:rPr>
                <w:rFonts w:ascii="Symbol" w:hAnsi="Symbol"/>
              </w:rPr>
              <w:t></w:t>
            </w:r>
            <w:r w:rsidRPr="00A73A1E">
              <w:rPr>
                <w:rFonts w:ascii="Symbol" w:hAnsi="Symbol"/>
              </w:rPr>
              <w:tab/>
            </w:r>
            <w:r w:rsidRPr="00A73A1E">
              <w:rPr>
                <w:rFonts w:ascii="Symbol" w:hAnsi="Symbol"/>
                <w:lang w:eastAsia="ja-JP"/>
              </w:rPr>
              <w:t></w:t>
            </w:r>
            <w:r w:rsidRPr="00A73A1E">
              <w:t>≤</w:t>
            </w:r>
            <w:r>
              <w:t xml:space="preserve"> </w:t>
            </w:r>
            <w:r w:rsidRPr="00A73A1E">
              <w:rPr>
                <w:rtl/>
                <w:lang w:bidi="he-IL"/>
              </w:rPr>
              <w:t>׀</w:t>
            </w:r>
            <w:r w:rsidRPr="00A73A1E">
              <w:rPr>
                <w:rFonts w:ascii="Symbol" w:hAnsi="Symbol"/>
              </w:rPr>
              <w:t></w:t>
            </w:r>
            <w:r w:rsidRPr="00A73A1E">
              <w:rPr>
                <w:i/>
                <w:position w:val="-4"/>
              </w:rPr>
              <w:t>v</w:t>
            </w:r>
            <w:r>
              <w:rPr>
                <w:lang w:bidi="he-IL"/>
              </w:rPr>
              <w:t xml:space="preserve"> </w:t>
            </w:r>
            <w:r w:rsidRPr="00A73A1E">
              <w:rPr>
                <w:rtl/>
                <w:lang w:bidi="he-IL"/>
              </w:rPr>
              <w:t>׀</w:t>
            </w:r>
            <w:r w:rsidRPr="00A73A1E">
              <w:rPr>
                <w:rFonts w:ascii="Symbol" w:hAnsi="Symbol"/>
              </w:rPr>
              <w:t></w:t>
            </w:r>
            <w:r w:rsidRPr="00A73A1E">
              <w:rPr>
                <w:rFonts w:ascii="Symbol" w:hAnsi="Symbol"/>
              </w:rPr>
              <w:t></w:t>
            </w:r>
            <w:r>
              <w:t xml:space="preserve"> </w:t>
            </w:r>
            <w:r w:rsidRPr="00A73A1E">
              <w:rPr>
                <w:lang w:eastAsia="ja-JP"/>
              </w:rPr>
              <w:t>27.00</w:t>
            </w:r>
            <w:r w:rsidRPr="00A73A1E">
              <w:rPr>
                <w:rFonts w:ascii="Symbol" w:hAnsi="Symbol"/>
              </w:rPr>
              <w:t></w:t>
            </w:r>
            <w:r w:rsidRPr="00A73A1E">
              <w:br/>
            </w:r>
            <w:r w:rsidRPr="00A73A1E">
              <w:rPr>
                <w:rFonts w:ascii="Cambria Math" w:hAnsi="Cambria Math" w:cs="Cambria Math"/>
              </w:rPr>
              <w:t> </w:t>
            </w:r>
            <w:r w:rsidRPr="00A73A1E">
              <w:rPr>
                <w:rFonts w:ascii="Cambria Math" w:hAnsi="Cambria Math" w:cs="Cambria Math"/>
              </w:rPr>
              <w:tab/>
            </w:r>
            <w:r>
              <w:rPr>
                <w:rFonts w:ascii="Cambria Math" w:hAnsi="Cambria Math" w:cs="Cambria Math"/>
              </w:rPr>
              <w:t xml:space="preserve">   </w:t>
            </w:r>
            <w:r w:rsidRPr="00A73A1E">
              <w:rPr>
                <w:rtl/>
                <w:lang w:bidi="he-IL"/>
              </w:rPr>
              <w:t>׀</w:t>
            </w:r>
            <w:r w:rsidRPr="00A73A1E">
              <w:rPr>
                <w:rFonts w:ascii="Symbol" w:hAnsi="Symbol"/>
              </w:rPr>
              <w:t></w:t>
            </w:r>
            <w:r w:rsidRPr="00A73A1E">
              <w:rPr>
                <w:i/>
                <w:position w:val="-4"/>
              </w:rPr>
              <w:t>v</w:t>
            </w:r>
            <w:r>
              <w:rPr>
                <w:lang w:bidi="he-IL"/>
              </w:rPr>
              <w:t xml:space="preserve"> </w:t>
            </w:r>
            <w:r w:rsidRPr="00A73A1E">
              <w:rPr>
                <w:rtl/>
                <w:lang w:bidi="he-IL"/>
              </w:rPr>
              <w:t>׀</w:t>
            </w:r>
            <w:r w:rsidRPr="00A73A1E">
              <w:rPr>
                <w:rFonts w:ascii="Symbol" w:hAnsi="Symbol"/>
              </w:rPr>
              <w:t></w:t>
            </w:r>
            <w:r w:rsidRPr="00A73A1E">
              <w:t>≥</w:t>
            </w:r>
            <w:r>
              <w:t xml:space="preserve"> </w:t>
            </w:r>
            <w:r w:rsidRPr="00A73A1E">
              <w:rPr>
                <w:lang w:eastAsia="ja-JP"/>
              </w:rPr>
              <w:t>27.00</w:t>
            </w:r>
            <w:r w:rsidRPr="00A73A1E">
              <w:rPr>
                <w:rFonts w:ascii="Symbol" w:hAnsi="Symbol"/>
              </w:rPr>
              <w:t></w:t>
            </w:r>
          </w:p>
        </w:tc>
      </w:tr>
      <w:tr w:rsidR="003244CE" w:rsidRPr="00A73A1E" w14:paraId="4348D56B" w14:textId="77777777" w:rsidTr="009C40C0">
        <w:trPr>
          <w:cantSplit/>
          <w:jc w:val="center"/>
        </w:trPr>
        <w:tc>
          <w:tcPr>
            <w:tcW w:w="1668" w:type="dxa"/>
            <w:vAlign w:val="center"/>
          </w:tcPr>
          <w:p w14:paraId="4751D289" w14:textId="77777777" w:rsidR="003244CE" w:rsidRPr="00A73A1E" w:rsidRDefault="003244CE" w:rsidP="00816C73">
            <w:pPr>
              <w:pStyle w:val="Tabletext"/>
              <w:keepNext/>
              <w:keepLines/>
            </w:pPr>
            <w:r w:rsidRPr="00A73A1E">
              <w:t>Horizontal</w:t>
            </w:r>
            <w:r w:rsidRPr="00A73A1E">
              <w:br/>
              <w:t>(azimuth)</w:t>
            </w:r>
          </w:p>
        </w:tc>
        <w:tc>
          <w:tcPr>
            <w:tcW w:w="3969" w:type="dxa"/>
          </w:tcPr>
          <w:p w14:paraId="2906A132" w14:textId="7D72EE5E" w:rsidR="003244CE" w:rsidRPr="00A73A1E" w:rsidRDefault="003244CE" w:rsidP="00816C73">
            <w:pPr>
              <w:pStyle w:val="Tabletext"/>
              <w:keepNext/>
              <w:keepLines/>
              <w:jc w:val="left"/>
              <w:rPr>
                <w:lang w:eastAsia="ja-JP"/>
              </w:rPr>
            </w:pPr>
            <w:r w:rsidRPr="00A73A1E">
              <w:rPr>
                <w:i/>
              </w:rPr>
              <w:t>G</w:t>
            </w:r>
            <w:r w:rsidRPr="00A73A1E">
              <w:rPr>
                <w:i/>
                <w:position w:val="-4"/>
              </w:rPr>
              <w:t>h</w:t>
            </w:r>
            <w:r w:rsidRPr="00A73A1E">
              <w:rPr>
                <w:rFonts w:ascii="Tms Rmn" w:hAnsi="Tms Rmn"/>
              </w:rPr>
              <w:t> </w:t>
            </w:r>
            <w:r w:rsidRPr="00A73A1E">
              <w:t>(</w:t>
            </w:r>
            <w:r w:rsidRPr="00A73A1E">
              <w:rPr>
                <w:rFonts w:ascii="Symbol" w:hAnsi="Symbol"/>
              </w:rPr>
              <w:t></w:t>
            </w:r>
            <w:proofErr w:type="gramStart"/>
            <w:r w:rsidRPr="00A73A1E">
              <w:rPr>
                <w:i/>
                <w:position w:val="-4"/>
              </w:rPr>
              <w:t>h</w:t>
            </w:r>
            <w:r w:rsidRPr="00A73A1E">
              <w:rPr>
                <w:rFonts w:ascii="Tms Rmn" w:hAnsi="Tms Rmn"/>
              </w:rPr>
              <w:t> </w:t>
            </w:r>
            <w:r w:rsidRPr="00A73A1E">
              <w:t>)</w:t>
            </w:r>
            <w:proofErr w:type="gramEnd"/>
            <w:r>
              <w:t xml:space="preserve"> </w:t>
            </w:r>
            <w:r w:rsidRPr="00A73A1E">
              <w:rPr>
                <w:rFonts w:ascii="Symbol" w:hAnsi="Symbol"/>
              </w:rPr>
              <w:t></w:t>
            </w:r>
            <w:r>
              <w:t xml:space="preserve"> </w:t>
            </w:r>
            <w:r w:rsidRPr="00A73A1E">
              <w:rPr>
                <w:lang w:eastAsia="ja-JP"/>
              </w:rPr>
              <w:t>36.6</w:t>
            </w:r>
            <w:r>
              <w:t xml:space="preserve"> </w:t>
            </w:r>
            <w:r w:rsidR="00112809">
              <w:rPr>
                <w:lang w:eastAsia="ja-JP"/>
              </w:rPr>
              <w:t>−</w:t>
            </w:r>
            <w:r>
              <w:t xml:space="preserve"> </w:t>
            </w:r>
            <w:r w:rsidRPr="00A73A1E">
              <w:rPr>
                <w:lang w:eastAsia="ja-JP"/>
              </w:rPr>
              <w:t>7.0</w:t>
            </w:r>
            <w:r w:rsidRPr="00A73A1E">
              <w:t>(</w:t>
            </w:r>
            <w:r w:rsidRPr="00A73A1E">
              <w:rPr>
                <w:rFonts w:ascii="Symbol" w:hAnsi="Symbol"/>
              </w:rPr>
              <w:t></w:t>
            </w:r>
            <w:r w:rsidRPr="00A73A1E">
              <w:rPr>
                <w:i/>
                <w:position w:val="-4"/>
              </w:rPr>
              <w:t>h</w:t>
            </w:r>
            <w:r w:rsidRPr="00A73A1E">
              <w:rPr>
                <w:rFonts w:ascii="Tms Rmn" w:hAnsi="Tms Rmn"/>
                <w:position w:val="-4"/>
                <w:vertAlign w:val="subscript"/>
              </w:rPr>
              <w:t> </w:t>
            </w:r>
            <w:r w:rsidRPr="00A73A1E">
              <w:t>)</w:t>
            </w:r>
            <w:r w:rsidRPr="00A73A1E">
              <w:rPr>
                <w:position w:val="6"/>
              </w:rPr>
              <w:t>2</w:t>
            </w:r>
            <w:r w:rsidRPr="00A73A1E">
              <w:br/>
            </w:r>
            <w:r w:rsidRPr="00A73A1E">
              <w:rPr>
                <w:i/>
              </w:rPr>
              <w:t>G</w:t>
            </w:r>
            <w:r w:rsidRPr="00A73A1E">
              <w:rPr>
                <w:i/>
                <w:position w:val="-4"/>
              </w:rPr>
              <w:t>h</w:t>
            </w:r>
            <w:r w:rsidRPr="00A73A1E">
              <w:rPr>
                <w:rFonts w:ascii="Tms Rmn" w:hAnsi="Tms Rmn"/>
              </w:rPr>
              <w:t> </w:t>
            </w:r>
            <w:r w:rsidRPr="00A73A1E">
              <w:t>(</w:t>
            </w:r>
            <w:r w:rsidRPr="00A73A1E">
              <w:rPr>
                <w:rFonts w:ascii="Symbol" w:hAnsi="Symbol"/>
              </w:rPr>
              <w:t></w:t>
            </w:r>
            <w:r w:rsidRPr="00A73A1E">
              <w:rPr>
                <w:i/>
                <w:position w:val="-4"/>
              </w:rPr>
              <w:t>h</w:t>
            </w:r>
            <w:r w:rsidRPr="00A73A1E">
              <w:rPr>
                <w:rFonts w:ascii="Tms Rmn" w:hAnsi="Tms Rmn"/>
              </w:rPr>
              <w:t> </w:t>
            </w:r>
            <w:r w:rsidRPr="00A73A1E">
              <w:t>)</w:t>
            </w:r>
            <w:r>
              <w:t xml:space="preserve"> </w:t>
            </w:r>
            <w:r w:rsidRPr="00A73A1E">
              <w:rPr>
                <w:rFonts w:ascii="Symbol" w:hAnsi="Symbol"/>
              </w:rPr>
              <w:t></w:t>
            </w:r>
            <w:r>
              <w:t xml:space="preserve"> </w:t>
            </w:r>
            <w:r w:rsidRPr="00A73A1E">
              <w:rPr>
                <w:lang w:eastAsia="ja-JP"/>
              </w:rPr>
              <w:t>36.6</w:t>
            </w:r>
            <w:r>
              <w:t xml:space="preserve"> </w:t>
            </w:r>
            <w:r w:rsidR="00112809" w:rsidRPr="00A73A1E">
              <w:t>–</w:t>
            </w:r>
            <w:r>
              <w:t xml:space="preserve"> </w:t>
            </w:r>
            <w:r w:rsidRPr="00A73A1E">
              <w:rPr>
                <w:lang w:eastAsia="ja-JP"/>
              </w:rPr>
              <w:t>1.43</w:t>
            </w:r>
            <w:r w:rsidRPr="00A73A1E">
              <w:t xml:space="preserve"> </w:t>
            </w:r>
            <w:r w:rsidRPr="00A73A1E">
              <w:rPr>
                <w:rFonts w:ascii="Symbol" w:hAnsi="Symbol"/>
              </w:rPr>
              <w:t></w:t>
            </w:r>
            <w:r w:rsidRPr="00A73A1E">
              <w:rPr>
                <w:i/>
                <w:position w:val="-4"/>
              </w:rPr>
              <w:t>h</w:t>
            </w:r>
            <w:r w:rsidRPr="00A73A1E">
              <w:rPr>
                <w:lang w:eastAsia="ja-JP"/>
              </w:rPr>
              <w:t xml:space="preserve"> </w:t>
            </w:r>
            <w:r w:rsidR="00112809" w:rsidRPr="00A73A1E">
              <w:t>–</w:t>
            </w:r>
            <w:r w:rsidRPr="00A73A1E">
              <w:rPr>
                <w:lang w:eastAsia="ja-JP"/>
              </w:rPr>
              <w:t xml:space="preserve"> 12.83</w:t>
            </w:r>
            <w:r w:rsidRPr="00A73A1E">
              <w:br/>
            </w:r>
            <w:r w:rsidRPr="00A73A1E">
              <w:rPr>
                <w:i/>
              </w:rPr>
              <w:t>G</w:t>
            </w:r>
            <w:r w:rsidRPr="00A73A1E">
              <w:rPr>
                <w:i/>
                <w:position w:val="-4"/>
              </w:rPr>
              <w:t>h</w:t>
            </w:r>
            <w:r w:rsidRPr="00A73A1E">
              <w:rPr>
                <w:rFonts w:ascii="Tms Rmn" w:hAnsi="Tms Rmn"/>
              </w:rPr>
              <w:t> </w:t>
            </w:r>
            <w:r w:rsidRPr="00A73A1E">
              <w:t>(</w:t>
            </w:r>
            <w:r w:rsidRPr="00A73A1E">
              <w:rPr>
                <w:rFonts w:ascii="Symbol" w:hAnsi="Symbol"/>
              </w:rPr>
              <w:t></w:t>
            </w:r>
            <w:r w:rsidRPr="00A73A1E">
              <w:rPr>
                <w:i/>
                <w:position w:val="-4"/>
              </w:rPr>
              <w:t>h</w:t>
            </w:r>
            <w:r w:rsidRPr="00A73A1E">
              <w:rPr>
                <w:rFonts w:ascii="Tms Rmn" w:hAnsi="Tms Rmn"/>
              </w:rPr>
              <w:t> </w:t>
            </w:r>
            <w:r w:rsidRPr="00A73A1E">
              <w:t>)</w:t>
            </w:r>
            <w:r>
              <w:t xml:space="preserve"> </w:t>
            </w:r>
            <w:r w:rsidRPr="00A73A1E">
              <w:rPr>
                <w:rFonts w:ascii="Symbol" w:hAnsi="Symbol"/>
              </w:rPr>
              <w:t></w:t>
            </w:r>
            <w:r>
              <w:t xml:space="preserve"> </w:t>
            </w:r>
            <w:r w:rsidRPr="00A73A1E">
              <w:rPr>
                <w:lang w:eastAsia="ja-JP"/>
              </w:rPr>
              <w:t>36.6</w:t>
            </w:r>
            <w:r>
              <w:rPr>
                <w:lang w:eastAsia="ja-JP"/>
              </w:rPr>
              <w:t xml:space="preserve"> </w:t>
            </w:r>
            <w:r w:rsidR="00112809" w:rsidRPr="00A73A1E">
              <w:t>–</w:t>
            </w:r>
            <w:r>
              <w:rPr>
                <w:lang w:eastAsia="ja-JP"/>
              </w:rPr>
              <w:t xml:space="preserve"> </w:t>
            </w:r>
            <w:r w:rsidRPr="00A73A1E">
              <w:rPr>
                <w:lang w:eastAsia="ja-JP"/>
              </w:rPr>
              <w:t>25.0</w:t>
            </w:r>
          </w:p>
          <w:p w14:paraId="7E62C351" w14:textId="4C587FF2" w:rsidR="003244CE" w:rsidRPr="00A73A1E" w:rsidRDefault="003244CE" w:rsidP="00816C73">
            <w:pPr>
              <w:pStyle w:val="Tabletext"/>
              <w:keepNext/>
              <w:keepLines/>
              <w:jc w:val="left"/>
              <w:rPr>
                <w:lang w:eastAsia="ja-JP"/>
              </w:rPr>
            </w:pPr>
            <w:r w:rsidRPr="00A73A1E">
              <w:rPr>
                <w:i/>
              </w:rPr>
              <w:t>G</w:t>
            </w:r>
            <w:r w:rsidRPr="00A73A1E">
              <w:rPr>
                <w:i/>
                <w:position w:val="-4"/>
              </w:rPr>
              <w:t>h</w:t>
            </w:r>
            <w:r w:rsidRPr="00A73A1E">
              <w:rPr>
                <w:rFonts w:ascii="Tms Rmn" w:hAnsi="Tms Rmn"/>
              </w:rPr>
              <w:t> </w:t>
            </w:r>
            <w:r w:rsidRPr="00A73A1E">
              <w:t>(</w:t>
            </w:r>
            <w:r w:rsidRPr="00A73A1E">
              <w:rPr>
                <w:rFonts w:ascii="Symbol" w:hAnsi="Symbol"/>
              </w:rPr>
              <w:t></w:t>
            </w:r>
            <w:proofErr w:type="gramStart"/>
            <w:r w:rsidRPr="00A73A1E">
              <w:rPr>
                <w:i/>
                <w:position w:val="-4"/>
              </w:rPr>
              <w:t>h</w:t>
            </w:r>
            <w:r w:rsidRPr="00A73A1E">
              <w:rPr>
                <w:rFonts w:ascii="Tms Rmn" w:hAnsi="Tms Rmn"/>
              </w:rPr>
              <w:t> </w:t>
            </w:r>
            <w:r w:rsidRPr="00A73A1E">
              <w:t>)</w:t>
            </w:r>
            <w:proofErr w:type="gramEnd"/>
            <w:r>
              <w:t xml:space="preserve"> </w:t>
            </w:r>
            <w:r w:rsidRPr="00A73A1E">
              <w:rPr>
                <w:rFonts w:ascii="Symbol" w:hAnsi="Symbol"/>
              </w:rPr>
              <w:t></w:t>
            </w:r>
            <w:r>
              <w:t xml:space="preserve"> </w:t>
            </w:r>
            <w:r w:rsidRPr="00A73A1E">
              <w:rPr>
                <w:lang w:eastAsia="ja-JP"/>
              </w:rPr>
              <w:t>36.6</w:t>
            </w:r>
            <w:r>
              <w:rPr>
                <w:lang w:eastAsia="ja-JP"/>
              </w:rPr>
              <w:t xml:space="preserve"> </w:t>
            </w:r>
            <w:r w:rsidR="00112809" w:rsidRPr="00A73A1E">
              <w:t>–</w:t>
            </w:r>
            <w:r>
              <w:rPr>
                <w:lang w:eastAsia="ja-JP"/>
              </w:rPr>
              <w:t xml:space="preserve"> </w:t>
            </w:r>
            <w:r w:rsidRPr="00A73A1E">
              <w:rPr>
                <w:lang w:eastAsia="ja-JP"/>
              </w:rPr>
              <w:t xml:space="preserve">25.0 </w:t>
            </w:r>
            <w:r w:rsidR="00112809" w:rsidRPr="00A73A1E">
              <w:t>–</w:t>
            </w:r>
            <w:r w:rsidRPr="00A73A1E">
              <w:rPr>
                <w:lang w:eastAsia="ja-JP"/>
              </w:rPr>
              <w:t xml:space="preserve"> 34 log(</w:t>
            </w:r>
            <w:r w:rsidRPr="00A73A1E">
              <w:rPr>
                <w:rFonts w:ascii="Symbol" w:hAnsi="Symbol"/>
              </w:rPr>
              <w:t></w:t>
            </w:r>
            <w:r w:rsidRPr="00A73A1E">
              <w:rPr>
                <w:i/>
                <w:position w:val="-4"/>
              </w:rPr>
              <w:t>h</w:t>
            </w:r>
            <w:r w:rsidRPr="00A73A1E">
              <w:rPr>
                <w:lang w:eastAsia="ja-JP"/>
              </w:rPr>
              <w:t xml:space="preserve"> /40)</w:t>
            </w:r>
          </w:p>
          <w:p w14:paraId="2DEBF78F" w14:textId="32192908" w:rsidR="003244CE" w:rsidRPr="00A73A1E" w:rsidRDefault="003244CE" w:rsidP="00816C73">
            <w:pPr>
              <w:pStyle w:val="Tabletext"/>
              <w:keepNext/>
              <w:keepLines/>
              <w:jc w:val="left"/>
            </w:pPr>
            <w:r w:rsidRPr="00A73A1E">
              <w:rPr>
                <w:i/>
              </w:rPr>
              <w:t>G</w:t>
            </w:r>
            <w:r w:rsidRPr="00A73A1E">
              <w:rPr>
                <w:i/>
                <w:position w:val="-4"/>
              </w:rPr>
              <w:t>h</w:t>
            </w:r>
            <w:r w:rsidRPr="00A73A1E">
              <w:rPr>
                <w:rFonts w:ascii="Tms Rmn" w:hAnsi="Tms Rmn"/>
              </w:rPr>
              <w:t> </w:t>
            </w:r>
            <w:r w:rsidRPr="00A73A1E">
              <w:t>(</w:t>
            </w:r>
            <w:r w:rsidRPr="00A73A1E">
              <w:rPr>
                <w:rFonts w:ascii="Symbol" w:hAnsi="Symbol"/>
              </w:rPr>
              <w:t></w:t>
            </w:r>
            <w:proofErr w:type="gramStart"/>
            <w:r w:rsidRPr="00A73A1E">
              <w:rPr>
                <w:i/>
                <w:position w:val="-4"/>
              </w:rPr>
              <w:t>h</w:t>
            </w:r>
            <w:r w:rsidRPr="00A73A1E">
              <w:rPr>
                <w:rFonts w:ascii="Tms Rmn" w:hAnsi="Tms Rmn"/>
              </w:rPr>
              <w:t> </w:t>
            </w:r>
            <w:r w:rsidRPr="00A73A1E">
              <w:t>)</w:t>
            </w:r>
            <w:proofErr w:type="gramEnd"/>
            <w:r>
              <w:t xml:space="preserve"> </w:t>
            </w:r>
            <w:r w:rsidRPr="00A73A1E">
              <w:rPr>
                <w:rFonts w:ascii="Symbol" w:hAnsi="Symbol"/>
              </w:rPr>
              <w:t></w:t>
            </w:r>
            <w:r>
              <w:t xml:space="preserve"> </w:t>
            </w:r>
            <w:r w:rsidRPr="00A73A1E">
              <w:rPr>
                <w:lang w:eastAsia="ja-JP"/>
              </w:rPr>
              <w:t>36.6</w:t>
            </w:r>
            <w:r>
              <w:rPr>
                <w:lang w:eastAsia="ja-JP"/>
              </w:rPr>
              <w:t xml:space="preserve"> </w:t>
            </w:r>
            <w:r w:rsidR="00112809" w:rsidRPr="00A73A1E">
              <w:t>–</w:t>
            </w:r>
            <w:r>
              <w:rPr>
                <w:lang w:eastAsia="ja-JP"/>
              </w:rPr>
              <w:t xml:space="preserve"> </w:t>
            </w:r>
            <w:r w:rsidRPr="00A73A1E">
              <w:rPr>
                <w:lang w:eastAsia="ja-JP"/>
              </w:rPr>
              <w:t>36.98</w:t>
            </w:r>
          </w:p>
        </w:tc>
        <w:tc>
          <w:tcPr>
            <w:tcW w:w="2642" w:type="dxa"/>
          </w:tcPr>
          <w:p w14:paraId="5084E99D" w14:textId="5F3F79D9" w:rsidR="003244CE" w:rsidRPr="00A73A1E" w:rsidRDefault="003244CE" w:rsidP="00816C73">
            <w:pPr>
              <w:pStyle w:val="Tabletext"/>
              <w:keepNext/>
              <w:keepLines/>
              <w:jc w:val="center"/>
              <w:rPr>
                <w:rFonts w:ascii="Symbol" w:hAnsi="Symbol"/>
                <w:lang w:eastAsia="ja-JP"/>
              </w:rPr>
            </w:pPr>
            <w:r w:rsidRPr="00A73A1E">
              <w:t>0</w:t>
            </w:r>
            <w:r w:rsidRPr="00A73A1E">
              <w:rPr>
                <w:rFonts w:ascii="Symbol" w:hAnsi="Symbol"/>
              </w:rPr>
              <w:t></w:t>
            </w:r>
            <w:r w:rsidRPr="00A73A1E">
              <w:rPr>
                <w:rFonts w:ascii="Symbol" w:hAnsi="Symbol"/>
              </w:rPr>
              <w:tab/>
            </w:r>
            <w:r w:rsidRPr="00A73A1E">
              <w:rPr>
                <w:rFonts w:ascii="Symbol" w:hAnsi="Symbol"/>
              </w:rPr>
              <w:t></w:t>
            </w:r>
            <w:r>
              <w:t xml:space="preserve"> </w:t>
            </w:r>
            <w:r w:rsidRPr="00A73A1E">
              <w:rPr>
                <w:rtl/>
                <w:lang w:bidi="he-IL"/>
              </w:rPr>
              <w:t>׀</w:t>
            </w:r>
            <w:r w:rsidRPr="00A73A1E">
              <w:rPr>
                <w:rFonts w:ascii="Symbol" w:hAnsi="Symbol"/>
              </w:rPr>
              <w:t></w:t>
            </w:r>
            <w:r w:rsidRPr="00A73A1E">
              <w:rPr>
                <w:i/>
                <w:position w:val="-4"/>
              </w:rPr>
              <w:t>h</w:t>
            </w:r>
            <w:r>
              <w:rPr>
                <w:lang w:bidi="he-IL"/>
              </w:rPr>
              <w:t xml:space="preserve"> </w:t>
            </w:r>
            <w:r w:rsidRPr="00A73A1E">
              <w:rPr>
                <w:rtl/>
                <w:lang w:bidi="he-IL"/>
              </w:rPr>
              <w:t>׀</w:t>
            </w:r>
            <w:r>
              <w:rPr>
                <w:lang w:bidi="he-IL"/>
              </w:rPr>
              <w:t xml:space="preserve"> </w:t>
            </w:r>
            <w:r w:rsidRPr="00A73A1E">
              <w:rPr>
                <w:rFonts w:ascii="Symbol" w:hAnsi="Symbol"/>
              </w:rPr>
              <w:t></w:t>
            </w:r>
            <w:r w:rsidRPr="00A73A1E">
              <w:rPr>
                <w:rFonts w:ascii="Symbol" w:hAnsi="Symbol"/>
              </w:rPr>
              <w:t></w:t>
            </w:r>
            <w:r>
              <w:t xml:space="preserve"> </w:t>
            </w:r>
            <w:r w:rsidRPr="00A73A1E">
              <w:rPr>
                <w:lang w:eastAsia="ja-JP"/>
              </w:rPr>
              <w:t>1.46</w:t>
            </w:r>
            <w:r w:rsidRPr="00A73A1E">
              <w:rPr>
                <w:rFonts w:ascii="Symbol" w:hAnsi="Symbol"/>
              </w:rPr>
              <w:t></w:t>
            </w:r>
            <w:r w:rsidRPr="00A73A1E">
              <w:br/>
            </w:r>
            <w:r w:rsidRPr="00A73A1E">
              <w:rPr>
                <w:lang w:eastAsia="ja-JP"/>
              </w:rPr>
              <w:t>1.46</w:t>
            </w:r>
            <w:r w:rsidRPr="00A73A1E">
              <w:rPr>
                <w:rFonts w:ascii="Symbol" w:hAnsi="Symbol"/>
              </w:rPr>
              <w:t></w:t>
            </w:r>
            <w:r w:rsidRPr="00A73A1E">
              <w:rPr>
                <w:rFonts w:ascii="Symbol" w:hAnsi="Symbol"/>
              </w:rPr>
              <w:tab/>
            </w:r>
            <w:r w:rsidRPr="00A73A1E">
              <w:t>≤</w:t>
            </w:r>
            <w:r>
              <w:t xml:space="preserve"> </w:t>
            </w:r>
            <w:r w:rsidRPr="00A73A1E">
              <w:rPr>
                <w:rtl/>
                <w:lang w:bidi="he-IL"/>
              </w:rPr>
              <w:t>׀</w:t>
            </w:r>
            <w:r w:rsidRPr="00A73A1E">
              <w:rPr>
                <w:rFonts w:ascii="Symbol" w:hAnsi="Symbol"/>
              </w:rPr>
              <w:t></w:t>
            </w:r>
            <w:r w:rsidRPr="00A73A1E">
              <w:rPr>
                <w:i/>
                <w:position w:val="-4"/>
              </w:rPr>
              <w:t>h</w:t>
            </w:r>
            <w:r>
              <w:rPr>
                <w:lang w:bidi="he-IL"/>
              </w:rPr>
              <w:t xml:space="preserve"> </w:t>
            </w:r>
            <w:r w:rsidRPr="00A73A1E">
              <w:rPr>
                <w:rtl/>
                <w:lang w:bidi="he-IL"/>
              </w:rPr>
              <w:t>׀</w:t>
            </w:r>
            <w:r w:rsidRPr="00A73A1E">
              <w:rPr>
                <w:rFonts w:ascii="Symbol" w:hAnsi="Symbol"/>
              </w:rPr>
              <w:t></w:t>
            </w:r>
            <w:r w:rsidRPr="00A73A1E">
              <w:rPr>
                <w:rFonts w:ascii="Symbol" w:hAnsi="Symbol"/>
              </w:rPr>
              <w:t></w:t>
            </w:r>
            <w:r>
              <w:t xml:space="preserve"> </w:t>
            </w:r>
            <w:r w:rsidRPr="00A73A1E">
              <w:rPr>
                <w:lang w:eastAsia="ja-JP"/>
              </w:rPr>
              <w:t>8.47</w:t>
            </w:r>
            <w:r w:rsidRPr="00A73A1E">
              <w:rPr>
                <w:rFonts w:ascii="Symbol" w:hAnsi="Symbol"/>
              </w:rPr>
              <w:t></w:t>
            </w:r>
          </w:p>
          <w:p w14:paraId="1602FC83" w14:textId="24792D81" w:rsidR="003244CE" w:rsidRPr="00A73A1E" w:rsidRDefault="003244CE" w:rsidP="00816C73">
            <w:pPr>
              <w:pStyle w:val="Tabletext"/>
              <w:keepNext/>
              <w:keepLines/>
              <w:jc w:val="center"/>
              <w:rPr>
                <w:rFonts w:ascii="Symbol" w:hAnsi="Symbol"/>
                <w:lang w:eastAsia="ja-JP"/>
              </w:rPr>
            </w:pPr>
            <w:r w:rsidRPr="00A73A1E">
              <w:rPr>
                <w:lang w:eastAsia="ja-JP"/>
              </w:rPr>
              <w:t>8.47</w:t>
            </w:r>
            <w:r w:rsidRPr="00A73A1E">
              <w:rPr>
                <w:rFonts w:ascii="Symbol" w:hAnsi="Symbol"/>
              </w:rPr>
              <w:t></w:t>
            </w:r>
            <w:r w:rsidRPr="00A73A1E">
              <w:rPr>
                <w:rFonts w:ascii="Symbol" w:hAnsi="Symbol"/>
              </w:rPr>
              <w:tab/>
            </w:r>
            <w:r w:rsidRPr="00A73A1E">
              <w:t>≤</w:t>
            </w:r>
            <w:r>
              <w:t xml:space="preserve"> </w:t>
            </w:r>
            <w:r w:rsidRPr="00A73A1E">
              <w:rPr>
                <w:rtl/>
                <w:lang w:bidi="he-IL"/>
              </w:rPr>
              <w:t>׀</w:t>
            </w:r>
            <w:r w:rsidRPr="00A73A1E">
              <w:rPr>
                <w:rFonts w:ascii="Symbol" w:hAnsi="Symbol"/>
              </w:rPr>
              <w:t></w:t>
            </w:r>
            <w:r w:rsidRPr="00A73A1E">
              <w:rPr>
                <w:i/>
                <w:position w:val="-4"/>
              </w:rPr>
              <w:t>h</w:t>
            </w:r>
            <w:r>
              <w:rPr>
                <w:lang w:bidi="he-IL"/>
              </w:rPr>
              <w:t xml:space="preserve"> </w:t>
            </w:r>
            <w:r w:rsidRPr="00A73A1E">
              <w:rPr>
                <w:rtl/>
                <w:lang w:bidi="he-IL"/>
              </w:rPr>
              <w:t>׀</w:t>
            </w:r>
            <w:r w:rsidRPr="00A73A1E">
              <w:rPr>
                <w:rFonts w:ascii="Symbol" w:hAnsi="Symbol"/>
              </w:rPr>
              <w:t></w:t>
            </w:r>
            <w:r w:rsidRPr="00A73A1E">
              <w:rPr>
                <w:rFonts w:ascii="Symbol" w:hAnsi="Symbol"/>
              </w:rPr>
              <w:t></w:t>
            </w:r>
            <w:r>
              <w:t xml:space="preserve"> </w:t>
            </w:r>
            <w:r w:rsidRPr="00A73A1E">
              <w:rPr>
                <w:lang w:eastAsia="ja-JP"/>
              </w:rPr>
              <w:t>40.0</w:t>
            </w:r>
            <w:r w:rsidRPr="00A73A1E">
              <w:rPr>
                <w:rFonts w:ascii="Symbol" w:hAnsi="Symbol"/>
              </w:rPr>
              <w:t></w:t>
            </w:r>
          </w:p>
          <w:p w14:paraId="0B9DE437" w14:textId="3B8FAE26" w:rsidR="003244CE" w:rsidRPr="00A73A1E" w:rsidRDefault="003244CE" w:rsidP="00816C73">
            <w:pPr>
              <w:pStyle w:val="Tabletext"/>
              <w:keepNext/>
              <w:keepLines/>
              <w:jc w:val="center"/>
            </w:pPr>
            <w:r w:rsidRPr="00A73A1E">
              <w:rPr>
                <w:lang w:eastAsia="ja-JP"/>
              </w:rPr>
              <w:t>40.0</w:t>
            </w:r>
            <w:r w:rsidRPr="00A73A1E">
              <w:rPr>
                <w:rFonts w:ascii="Symbol" w:hAnsi="Symbol"/>
              </w:rPr>
              <w:t></w:t>
            </w:r>
            <w:r w:rsidRPr="00A73A1E">
              <w:rPr>
                <w:rFonts w:ascii="Symbol" w:hAnsi="Symbol"/>
              </w:rPr>
              <w:tab/>
            </w:r>
            <w:r w:rsidRPr="00A73A1E">
              <w:t>≤</w:t>
            </w:r>
            <w:r>
              <w:t xml:space="preserve"> </w:t>
            </w:r>
            <w:r w:rsidRPr="00A73A1E">
              <w:rPr>
                <w:rtl/>
                <w:lang w:bidi="he-IL"/>
              </w:rPr>
              <w:t>׀</w:t>
            </w:r>
            <w:r w:rsidRPr="00A73A1E">
              <w:rPr>
                <w:rFonts w:ascii="Symbol" w:hAnsi="Symbol"/>
              </w:rPr>
              <w:t></w:t>
            </w:r>
            <w:r w:rsidRPr="00A73A1E">
              <w:rPr>
                <w:i/>
                <w:position w:val="-4"/>
              </w:rPr>
              <w:t>h</w:t>
            </w:r>
            <w:r>
              <w:rPr>
                <w:lang w:bidi="he-IL"/>
              </w:rPr>
              <w:t xml:space="preserve"> </w:t>
            </w:r>
            <w:r w:rsidRPr="00A73A1E">
              <w:rPr>
                <w:rtl/>
                <w:lang w:bidi="he-IL"/>
              </w:rPr>
              <w:t>׀</w:t>
            </w:r>
            <w:r w:rsidRPr="00A73A1E">
              <w:rPr>
                <w:rFonts w:ascii="Symbol" w:hAnsi="Symbol"/>
              </w:rPr>
              <w:t></w:t>
            </w:r>
            <w:r w:rsidRPr="00A73A1E">
              <w:rPr>
                <w:rFonts w:ascii="Symbol" w:hAnsi="Symbol"/>
              </w:rPr>
              <w:t></w:t>
            </w:r>
            <w:r>
              <w:t xml:space="preserve"> </w:t>
            </w:r>
            <w:r w:rsidRPr="00A73A1E">
              <w:rPr>
                <w:lang w:eastAsia="ja-JP"/>
              </w:rPr>
              <w:t>90.0</w:t>
            </w:r>
            <w:r w:rsidRPr="00A73A1E">
              <w:rPr>
                <w:rFonts w:ascii="Symbol" w:hAnsi="Symbol"/>
              </w:rPr>
              <w:t></w:t>
            </w:r>
            <w:r w:rsidRPr="00A73A1E">
              <w:br/>
            </w:r>
            <w:proofErr w:type="gramStart"/>
            <w:r w:rsidRPr="00A73A1E">
              <w:tab/>
            </w:r>
            <w:r>
              <w:t xml:space="preserve">  </w:t>
            </w:r>
            <w:r w:rsidRPr="00A73A1E">
              <w:rPr>
                <w:rtl/>
                <w:lang w:bidi="he-IL"/>
              </w:rPr>
              <w:t>׀</w:t>
            </w:r>
            <w:proofErr w:type="gramEnd"/>
            <w:r w:rsidRPr="00A73A1E">
              <w:rPr>
                <w:rFonts w:ascii="Symbol" w:hAnsi="Symbol"/>
              </w:rPr>
              <w:t></w:t>
            </w:r>
            <w:r w:rsidRPr="00A73A1E">
              <w:rPr>
                <w:i/>
                <w:position w:val="-4"/>
              </w:rPr>
              <w:t>h</w:t>
            </w:r>
            <w:r>
              <w:rPr>
                <w:lang w:bidi="he-IL"/>
              </w:rPr>
              <w:t xml:space="preserve"> </w:t>
            </w:r>
            <w:r w:rsidRPr="00A73A1E">
              <w:rPr>
                <w:rtl/>
                <w:lang w:bidi="he-IL"/>
              </w:rPr>
              <w:t>׀</w:t>
            </w:r>
            <w:r w:rsidRPr="00A73A1E">
              <w:rPr>
                <w:rFonts w:ascii="Symbol" w:hAnsi="Symbol"/>
              </w:rPr>
              <w:t></w:t>
            </w:r>
            <w:r w:rsidRPr="00A73A1E">
              <w:rPr>
                <w:rFonts w:ascii="Symbol" w:hAnsi="Symbol"/>
              </w:rPr>
              <w:t></w:t>
            </w:r>
            <w:r w:rsidRPr="00A73A1E">
              <w:t>≥</w:t>
            </w:r>
            <w:r>
              <w:t xml:space="preserve"> </w:t>
            </w:r>
            <w:r w:rsidRPr="00A73A1E">
              <w:rPr>
                <w:lang w:eastAsia="ja-JP"/>
              </w:rPr>
              <w:t>90.0</w:t>
            </w:r>
            <w:r w:rsidRPr="00A73A1E">
              <w:rPr>
                <w:rFonts w:ascii="Symbol" w:hAnsi="Symbol"/>
              </w:rPr>
              <w:t></w:t>
            </w:r>
          </w:p>
        </w:tc>
      </w:tr>
      <w:tr w:rsidR="003244CE" w:rsidRPr="00A73A1E" w14:paraId="3B22C7D0" w14:textId="77777777" w:rsidTr="009C40C0">
        <w:trPr>
          <w:cantSplit/>
          <w:jc w:val="center"/>
        </w:trPr>
        <w:tc>
          <w:tcPr>
            <w:tcW w:w="1668" w:type="dxa"/>
            <w:tcBorders>
              <w:bottom w:val="single" w:sz="4" w:space="0" w:color="auto"/>
            </w:tcBorders>
            <w:vAlign w:val="center"/>
          </w:tcPr>
          <w:p w14:paraId="5C302FA1" w14:textId="77777777" w:rsidR="003244CE" w:rsidRPr="00A73A1E" w:rsidRDefault="003244CE" w:rsidP="00816C73">
            <w:pPr>
              <w:pStyle w:val="Tabletext"/>
            </w:pPr>
            <w:r w:rsidRPr="00A73A1E">
              <w:t>Beam pattern</w:t>
            </w:r>
          </w:p>
        </w:tc>
        <w:tc>
          <w:tcPr>
            <w:tcW w:w="3969" w:type="dxa"/>
            <w:tcBorders>
              <w:bottom w:val="single" w:sz="4" w:space="0" w:color="auto"/>
            </w:tcBorders>
          </w:tcPr>
          <w:p w14:paraId="3FA01173" w14:textId="77777777" w:rsidR="003244CE" w:rsidRPr="00A73A1E" w:rsidRDefault="003244CE" w:rsidP="00816C73">
            <w:pPr>
              <w:pStyle w:val="Tabletext"/>
              <w:jc w:val="left"/>
            </w:pPr>
            <w:proofErr w:type="gramStart"/>
            <w:r w:rsidRPr="00A73A1E">
              <w:rPr>
                <w:i/>
              </w:rPr>
              <w:t>G</w:t>
            </w:r>
            <w:r w:rsidRPr="00A73A1E">
              <w:t>(</w:t>
            </w:r>
            <w:proofErr w:type="gramEnd"/>
            <w:r w:rsidRPr="00A73A1E">
              <w:rPr>
                <w:rFonts w:ascii="Symbol" w:hAnsi="Symbol"/>
              </w:rPr>
              <w:t></w:t>
            </w:r>
            <w:r w:rsidRPr="00A73A1E">
              <w:t>)</w:t>
            </w:r>
            <w:r>
              <w:t xml:space="preserve"> </w:t>
            </w:r>
            <w:r w:rsidRPr="00A73A1E">
              <w:rPr>
                <w:rFonts w:ascii="Symbol" w:hAnsi="Symbol"/>
              </w:rPr>
              <w:t></w:t>
            </w:r>
            <w:r>
              <w:t xml:space="preserve"> </w:t>
            </w:r>
            <w:r w:rsidRPr="00A73A1E">
              <w:rPr>
                <w:i/>
              </w:rPr>
              <w:t>G</w:t>
            </w:r>
            <w:r w:rsidRPr="00A73A1E">
              <w:rPr>
                <w:i/>
                <w:position w:val="-4"/>
              </w:rPr>
              <w:t>v</w:t>
            </w:r>
            <w:r w:rsidRPr="00A73A1E">
              <w:rPr>
                <w:rFonts w:ascii="Tms Rmn" w:hAnsi="Tms Rmn"/>
              </w:rPr>
              <w:t> </w:t>
            </w:r>
            <w:r w:rsidRPr="00A73A1E">
              <w:t>(</w:t>
            </w:r>
            <w:r w:rsidRPr="00A73A1E">
              <w:rPr>
                <w:rFonts w:ascii="Symbol" w:hAnsi="Symbol"/>
              </w:rPr>
              <w:t></w:t>
            </w:r>
            <w:r w:rsidRPr="00A73A1E">
              <w:rPr>
                <w:i/>
                <w:position w:val="-4"/>
              </w:rPr>
              <w:t>v</w:t>
            </w:r>
            <w:r w:rsidRPr="00A73A1E">
              <w:rPr>
                <w:rFonts w:ascii="Tms Rmn" w:hAnsi="Tms Rmn"/>
              </w:rPr>
              <w:t> </w:t>
            </w:r>
            <w:r w:rsidRPr="00A73A1E">
              <w:t>)</w:t>
            </w:r>
            <w:r>
              <w:t xml:space="preserve"> </w:t>
            </w:r>
            <w:r w:rsidRPr="00A73A1E">
              <w:rPr>
                <w:rFonts w:ascii="Symbol" w:hAnsi="Symbol"/>
              </w:rPr>
              <w:t></w:t>
            </w:r>
            <w:r>
              <w:t xml:space="preserve"> </w:t>
            </w:r>
            <w:r w:rsidRPr="00A73A1E">
              <w:rPr>
                <w:i/>
              </w:rPr>
              <w:t>G</w:t>
            </w:r>
            <w:r w:rsidRPr="00A73A1E">
              <w:rPr>
                <w:i/>
                <w:position w:val="-4"/>
              </w:rPr>
              <w:t>h</w:t>
            </w:r>
            <w:r w:rsidRPr="00A73A1E">
              <w:rPr>
                <w:rFonts w:ascii="Tms Rmn" w:hAnsi="Tms Rmn"/>
              </w:rPr>
              <w:t> </w:t>
            </w:r>
            <w:r w:rsidRPr="00A73A1E">
              <w:t>(</w:t>
            </w:r>
            <w:r w:rsidRPr="00A73A1E">
              <w:rPr>
                <w:rFonts w:ascii="Symbol" w:hAnsi="Symbol"/>
              </w:rPr>
              <w:t></w:t>
            </w:r>
            <w:r w:rsidRPr="00A73A1E">
              <w:rPr>
                <w:i/>
                <w:position w:val="-4"/>
              </w:rPr>
              <w:t>h</w:t>
            </w:r>
            <w:r w:rsidRPr="00A73A1E">
              <w:rPr>
                <w:rFonts w:ascii="Tms Rmn" w:hAnsi="Tms Rmn"/>
              </w:rPr>
              <w:t> </w:t>
            </w:r>
            <w:r w:rsidRPr="00A73A1E">
              <w:t>)</w:t>
            </w:r>
          </w:p>
        </w:tc>
        <w:tc>
          <w:tcPr>
            <w:tcW w:w="2642" w:type="dxa"/>
            <w:tcBorders>
              <w:bottom w:val="single" w:sz="4" w:space="0" w:color="auto"/>
            </w:tcBorders>
          </w:tcPr>
          <w:p w14:paraId="7ACA3A12" w14:textId="643A715C" w:rsidR="003244CE" w:rsidRPr="00A73A1E" w:rsidRDefault="002C7DA3" w:rsidP="00816C73">
            <w:pPr>
              <w:pStyle w:val="Tabletext"/>
              <w:jc w:val="center"/>
              <w:rPr>
                <w:b/>
                <w:caps/>
              </w:rPr>
            </w:pPr>
            <w:r w:rsidRPr="00A73A1E">
              <w:rPr>
                <w:lang w:eastAsia="ja-JP"/>
              </w:rPr>
              <w:t>–</w:t>
            </w:r>
          </w:p>
        </w:tc>
      </w:tr>
      <w:tr w:rsidR="003244CE" w:rsidRPr="00A73A1E" w14:paraId="186A4193" w14:textId="77777777" w:rsidTr="009C40C0">
        <w:trPr>
          <w:cantSplit/>
          <w:jc w:val="center"/>
        </w:trPr>
        <w:tc>
          <w:tcPr>
            <w:tcW w:w="8279" w:type="dxa"/>
            <w:gridSpan w:val="3"/>
            <w:tcBorders>
              <w:left w:val="nil"/>
              <w:bottom w:val="nil"/>
              <w:right w:val="nil"/>
            </w:tcBorders>
          </w:tcPr>
          <w:p w14:paraId="40585965" w14:textId="3F8E1673" w:rsidR="003244CE" w:rsidRPr="00A73A1E" w:rsidRDefault="003244CE" w:rsidP="009C40C0">
            <w:pPr>
              <w:pStyle w:val="Tabletext"/>
              <w:rPr>
                <w:lang w:eastAsia="ja-JP"/>
              </w:rPr>
            </w:pPr>
            <w:r w:rsidRPr="00A73A1E">
              <w:t>N</w:t>
            </w:r>
            <w:r w:rsidR="002C7DA3">
              <w:t>OTE –</w:t>
            </w:r>
            <w:r w:rsidRPr="00A73A1E">
              <w:t xml:space="preserve"> </w:t>
            </w:r>
            <w:r w:rsidRPr="00A73A1E">
              <w:rPr>
                <w:lang w:eastAsia="ja-JP"/>
              </w:rPr>
              <w:t xml:space="preserve">These equations cover the worst-case envelope patterns with the maximum electric beam steering angle range in both elevation and azimuth directions. As the result, these equations contain some margins against actual antenna patterns. Therefore, the </w:t>
            </w:r>
            <w:r w:rsidR="00816C73">
              <w:rPr>
                <w:lang w:eastAsia="ja-JP"/>
              </w:rPr>
              <w:t>−</w:t>
            </w:r>
            <w:r w:rsidRPr="00A73A1E">
              <w:rPr>
                <w:lang w:eastAsia="ja-JP"/>
              </w:rPr>
              <w:t>3 dB beamwidth derived from these equations can be slightly different from the beamwidth (</w:t>
            </w:r>
            <w:r w:rsidR="00816C73">
              <w:rPr>
                <w:rFonts w:asciiTheme="majorBidi" w:hAnsiTheme="majorBidi" w:cstheme="majorBidi"/>
                <w:lang w:eastAsia="ja-JP"/>
              </w:rPr>
              <w:t>−</w:t>
            </w:r>
            <w:r w:rsidRPr="00A73A1E">
              <w:rPr>
                <w:lang w:eastAsia="ja-JP"/>
              </w:rPr>
              <w:t>3 dB) specified in Table 1.</w:t>
            </w:r>
          </w:p>
        </w:tc>
      </w:tr>
    </w:tbl>
    <w:p w14:paraId="3F625BA0" w14:textId="77777777" w:rsidR="003244CE" w:rsidRPr="00A73A1E" w:rsidRDefault="003244CE" w:rsidP="003244CE">
      <w:pPr>
        <w:pStyle w:val="Tablefin"/>
      </w:pPr>
    </w:p>
    <w:p w14:paraId="3B61DDF2" w14:textId="77777777" w:rsidR="003244CE" w:rsidRPr="00A73A1E" w:rsidRDefault="003244CE" w:rsidP="003244CE">
      <w:pPr>
        <w:pStyle w:val="Heading1"/>
      </w:pPr>
      <w:bookmarkStart w:id="14" w:name="_Toc102659319"/>
      <w:bookmarkStart w:id="15" w:name="_Toc102659447"/>
      <w:bookmarkStart w:id="16" w:name="_Toc102659468"/>
      <w:r w:rsidRPr="00A73A1E">
        <w:t>3</w:t>
      </w:r>
      <w:r w:rsidRPr="00A73A1E">
        <w:tab/>
        <w:t>Characteristics of RNSS receivers</w:t>
      </w:r>
      <w:bookmarkEnd w:id="14"/>
      <w:bookmarkEnd w:id="15"/>
      <w:bookmarkEnd w:id="16"/>
    </w:p>
    <w:p w14:paraId="348C5811" w14:textId="77777777" w:rsidR="003244CE" w:rsidRPr="00A73A1E" w:rsidRDefault="003244CE" w:rsidP="003244CE">
      <w:pPr>
        <w:keepNext/>
        <w:keepLines/>
        <w:rPr>
          <w:lang w:eastAsia="ja-JP"/>
        </w:rPr>
      </w:pPr>
      <w:r w:rsidRPr="00A73A1E">
        <w:rPr>
          <w:lang w:eastAsia="ja-JP"/>
        </w:rPr>
        <w:t xml:space="preserve">The following ITU-R documents provide </w:t>
      </w:r>
      <w:r w:rsidRPr="00A73A1E">
        <w:t xml:space="preserve">the characteristics and description </w:t>
      </w:r>
      <w:r w:rsidRPr="00A73A1E">
        <w:rPr>
          <w:lang w:eastAsia="ja-JP"/>
        </w:rPr>
        <w:t>of</w:t>
      </w:r>
      <w:r w:rsidRPr="00A73A1E">
        <w:t xml:space="preserve"> the </w:t>
      </w:r>
      <w:r w:rsidRPr="00A73A1E">
        <w:rPr>
          <w:lang w:eastAsia="ja-JP"/>
        </w:rPr>
        <w:t>several systems</w:t>
      </w:r>
      <w:r w:rsidRPr="00A73A1E">
        <w:t xml:space="preserve"> to be used in assessing compatibility between </w:t>
      </w:r>
      <w:r w:rsidRPr="00A73A1E">
        <w:rPr>
          <w:lang w:eastAsia="ja-JP"/>
        </w:rPr>
        <w:t>RNSS earth station receivers</w:t>
      </w:r>
      <w:r w:rsidRPr="00A73A1E">
        <w:t xml:space="preserve"> and </w:t>
      </w:r>
      <w:r w:rsidRPr="00A73A1E">
        <w:rPr>
          <w:lang w:eastAsia="ja-JP"/>
        </w:rPr>
        <w:t>other services in the frequency band 1 215-1 300 MHz:</w:t>
      </w:r>
    </w:p>
    <w:p w14:paraId="071B6523" w14:textId="61B03D5E" w:rsidR="003244CE" w:rsidRPr="000D5837" w:rsidRDefault="003244CE" w:rsidP="003244CE">
      <w:pPr>
        <w:pStyle w:val="enumlev1"/>
      </w:pPr>
      <w:r w:rsidRPr="000D5837">
        <w:rPr>
          <w:szCs w:val="24"/>
        </w:rPr>
        <w:t>–</w:t>
      </w:r>
      <w:r w:rsidRPr="000D5837">
        <w:rPr>
          <w:szCs w:val="24"/>
        </w:rPr>
        <w:tab/>
        <w:t>Recommendation ITU-R М.</w:t>
      </w:r>
      <w:r w:rsidRPr="000D5837">
        <w:rPr>
          <w:szCs w:val="24"/>
          <w:lang w:eastAsia="ja-JP"/>
        </w:rPr>
        <w:t>1902</w:t>
      </w:r>
      <w:r w:rsidRPr="000D5837">
        <w:rPr>
          <w:szCs w:val="24"/>
        </w:rPr>
        <w:t xml:space="preserve"> – </w:t>
      </w:r>
      <w:r w:rsidRPr="000D5837">
        <w:t xml:space="preserve">Characteristics and protection criteria for receiving </w:t>
      </w:r>
      <w:r w:rsidRPr="000D5837">
        <w:rPr>
          <w:lang w:eastAsia="ja-JP"/>
        </w:rPr>
        <w:t>e</w:t>
      </w:r>
      <w:r w:rsidRPr="000D5837">
        <w:t>arth stations in the radionavigation-satellite service (space-to-Earth) operating in the band 1 215</w:t>
      </w:r>
      <w:r w:rsidR="000E2BC3">
        <w:noBreakHyphen/>
      </w:r>
      <w:r w:rsidRPr="000D5837">
        <w:t>1 300 MHz</w:t>
      </w:r>
      <w:r w:rsidRPr="000D5837">
        <w:rPr>
          <w:szCs w:val="24"/>
        </w:rPr>
        <w:t xml:space="preserve">; </w:t>
      </w:r>
    </w:p>
    <w:p w14:paraId="4103A4D7" w14:textId="6431DFA7" w:rsidR="003244CE" w:rsidRPr="000D5837" w:rsidRDefault="003244CE" w:rsidP="003244CE">
      <w:pPr>
        <w:pStyle w:val="enumlev1"/>
      </w:pPr>
      <w:r w:rsidRPr="000D5837">
        <w:t>–</w:t>
      </w:r>
      <w:r w:rsidRPr="000D5837">
        <w:tab/>
        <w:t>Recommendation ITU-R М.1787 – Description of systems and networks in the radionavigation-satellite service (space-to-Earth and space-to-space) and technical characteristics of transmitting space stations operating in the bands 1 164-1 215 MHz, 1 215</w:t>
      </w:r>
      <w:r w:rsidR="000E2BC3">
        <w:noBreakHyphen/>
      </w:r>
      <w:r w:rsidRPr="000D5837">
        <w:t xml:space="preserve">1 300 MHz and 1 559-1 610 </w:t>
      </w:r>
      <w:proofErr w:type="spellStart"/>
      <w:r w:rsidRPr="000D5837">
        <w:t>MHz.</w:t>
      </w:r>
      <w:proofErr w:type="spellEnd"/>
    </w:p>
    <w:p w14:paraId="43D79DA1" w14:textId="77777777" w:rsidR="003244CE" w:rsidRPr="000D5837" w:rsidRDefault="003244CE" w:rsidP="003244CE">
      <w:r w:rsidRPr="000D5837">
        <w:t>In addition, the following Recommendation gives definitions for receiver and signal parameters used in the above set of RNSS characteristics’ Recommendations.</w:t>
      </w:r>
    </w:p>
    <w:p w14:paraId="41C6F4F1" w14:textId="7020CAF0" w:rsidR="003244CE" w:rsidRPr="000D5837" w:rsidRDefault="003244CE" w:rsidP="003244CE">
      <w:pPr>
        <w:pStyle w:val="enumlev1"/>
      </w:pPr>
      <w:r w:rsidRPr="000D5837">
        <w:rPr>
          <w:szCs w:val="24"/>
        </w:rPr>
        <w:t>–</w:t>
      </w:r>
      <w:r w:rsidRPr="000D5837">
        <w:rPr>
          <w:szCs w:val="24"/>
        </w:rPr>
        <w:tab/>
        <w:t>Recommendation ITU-R М.</w:t>
      </w:r>
      <w:r w:rsidRPr="000D5837">
        <w:t>1901 – Guidance on ITU-R Recommendations related to systems and networks in the radionavigation-satellite service operating in the frequency bands 1 164</w:t>
      </w:r>
      <w:r w:rsidR="000E2BC3">
        <w:noBreakHyphen/>
      </w:r>
      <w:r w:rsidRPr="000D5837">
        <w:t>1 215 MHz, 1 215-1 300 MHz, 1 559-1 610 MHz, 5 000-5 010 MHz and 5 010</w:t>
      </w:r>
      <w:r w:rsidR="000E2BC3">
        <w:noBreakHyphen/>
      </w:r>
      <w:r w:rsidRPr="000D5837">
        <w:t>5 030</w:t>
      </w:r>
      <w:r w:rsidR="000E2BC3">
        <w:t> </w:t>
      </w:r>
      <w:proofErr w:type="spellStart"/>
      <w:r w:rsidRPr="000D5837">
        <w:t>MHz.</w:t>
      </w:r>
      <w:proofErr w:type="spellEnd"/>
    </w:p>
    <w:p w14:paraId="08AF9806" w14:textId="757BF079" w:rsidR="003244CE" w:rsidRPr="00A73A1E" w:rsidRDefault="003244CE" w:rsidP="000E2BC3">
      <w:r w:rsidRPr="00A73A1E">
        <w:lastRenderedPageBreak/>
        <w:t>The RNSS receivers may encounter both pulsed and continuous interference</w:t>
      </w:r>
      <w:r w:rsidRPr="00A73A1E">
        <w:rPr>
          <w:position w:val="6"/>
          <w:sz w:val="18"/>
        </w:rPr>
        <w:footnoteReference w:id="6"/>
      </w:r>
      <w:r w:rsidRPr="00A73A1E">
        <w:t xml:space="preserve"> during both signal acquisition and tracking phases. In the case of potential interference from the SAR spaceborne active sensors included in Table 1 above, the interference falls into the category of pulsed interference. Pulsed interference can affect an RNSS receiver in two ways: either by causing receiver saturation, or by causing receiver front-end burnout. The principal interference effect is that the pulsed interference causes saturation in the receiver. This occurs when a signal level is received that is strong enough to cause gain reduction or saturation at some point in the receiver. When this saturation occurs, the relatively low-level desired signal would be blocked during the transmission pulse period and any recovery time that is necessary for the RNSS receiver. However, if this period of lost signal is short enough, there should be no appreciable impact on the performance of the receiver. </w:t>
      </w:r>
    </w:p>
    <w:p w14:paraId="5367C2D2" w14:textId="77777777" w:rsidR="003244CE" w:rsidRPr="00A73A1E" w:rsidRDefault="003244CE" w:rsidP="003244CE">
      <w:r w:rsidRPr="00A73A1E">
        <w:t xml:space="preserve">The other possible interference effect occurs when either the peak or average RF power level is high enough to cause receiver front-end component damage. The relevant technical characteristics for the RNSS systems are summarized in Table 7. The saturation power level (receiver input saturation level) and the input survival power level are also given in Table 7. </w:t>
      </w:r>
    </w:p>
    <w:p w14:paraId="4EA9C54F" w14:textId="77777777" w:rsidR="003244CE" w:rsidRPr="00A73A1E" w:rsidRDefault="003244CE" w:rsidP="003244CE">
      <w:pPr>
        <w:rPr>
          <w:lang w:eastAsia="ja-JP"/>
        </w:rPr>
      </w:pPr>
      <w:r w:rsidRPr="00A73A1E">
        <w:rPr>
          <w:lang w:eastAsia="ja-JP"/>
        </w:rPr>
        <w:t>A</w:t>
      </w:r>
      <w:r w:rsidRPr="00A73A1E">
        <w:t xml:space="preserve"> pulsed signal received power level that is below the input saturation level of </w:t>
      </w:r>
      <w:r w:rsidRPr="00A73A1E">
        <w:rPr>
          <w:lang w:eastAsia="ja-JP"/>
        </w:rPr>
        <w:t>an</w:t>
      </w:r>
      <w:r w:rsidRPr="00A73A1E">
        <w:t xml:space="preserve"> RNSS receiver is assumed to have less detrimental effect on the performance of the receiver </w:t>
      </w:r>
      <w:r w:rsidRPr="00A73A1E">
        <w:rPr>
          <w:lang w:eastAsia="ja-JP"/>
        </w:rPr>
        <w:t>if</w:t>
      </w:r>
      <w:r w:rsidRPr="00A73A1E">
        <w:t xml:space="preserve"> the spaceborne active sensor transmitted pulse width is relatively short compared to the RNSS information bit length and the spaceborne active sensor transmitter duty cycle is low. This lessor detrimental impact is in comparison to pulsed signals with longer durations and/or higher duty cycle. </w:t>
      </w:r>
      <w:r w:rsidRPr="00A73A1E">
        <w:rPr>
          <w:lang w:eastAsia="ja-JP"/>
        </w:rPr>
        <w:t xml:space="preserve">See </w:t>
      </w:r>
      <w:r>
        <w:rPr>
          <w:lang w:eastAsia="ja-JP"/>
        </w:rPr>
        <w:t>§</w:t>
      </w:r>
      <w:r w:rsidRPr="00A73A1E">
        <w:rPr>
          <w:lang w:eastAsia="ja-JP"/>
        </w:rPr>
        <w:t xml:space="preserve"> 4 for more details.</w:t>
      </w:r>
    </w:p>
    <w:p w14:paraId="62034B6D" w14:textId="77777777" w:rsidR="003244CE" w:rsidRPr="00A73A1E" w:rsidRDefault="003244CE" w:rsidP="003244CE">
      <w:pPr>
        <w:overflowPunct/>
        <w:autoSpaceDE/>
        <w:autoSpaceDN/>
        <w:adjustRightInd/>
        <w:spacing w:before="0"/>
        <w:textAlignment w:val="auto"/>
        <w:rPr>
          <w:caps/>
          <w:sz w:val="20"/>
        </w:rPr>
      </w:pPr>
    </w:p>
    <w:p w14:paraId="33718BBC" w14:textId="77777777" w:rsidR="003244CE" w:rsidRPr="00A73A1E" w:rsidRDefault="003244CE" w:rsidP="003244CE">
      <w:pPr>
        <w:spacing w:before="0"/>
        <w:rPr>
          <w:sz w:val="20"/>
        </w:rPr>
        <w:sectPr w:rsidR="003244CE" w:rsidRPr="00A73A1E" w:rsidSect="007333B5">
          <w:headerReference w:type="even" r:id="rId42"/>
          <w:headerReference w:type="default" r:id="rId43"/>
          <w:footerReference w:type="even" r:id="rId44"/>
          <w:footerReference w:type="default" r:id="rId45"/>
          <w:footerReference w:type="first" r:id="rId46"/>
          <w:pgSz w:w="11907" w:h="16834" w:code="9"/>
          <w:pgMar w:top="1418" w:right="1134" w:bottom="1134" w:left="1134" w:header="720" w:footer="482" w:gutter="0"/>
          <w:cols w:space="720"/>
          <w:docGrid w:linePitch="326"/>
        </w:sectPr>
      </w:pPr>
    </w:p>
    <w:p w14:paraId="260A7DCB" w14:textId="77777777" w:rsidR="003244CE" w:rsidRPr="00A73A1E" w:rsidRDefault="003244CE" w:rsidP="002C7DA3">
      <w:pPr>
        <w:pStyle w:val="TableNo"/>
        <w:spacing w:before="0"/>
      </w:pPr>
      <w:r w:rsidRPr="00A73A1E">
        <w:lastRenderedPageBreak/>
        <w:t>TABLE 7</w:t>
      </w:r>
    </w:p>
    <w:p w14:paraId="7B88AE0F" w14:textId="77777777" w:rsidR="003244CE" w:rsidRPr="00A73A1E" w:rsidRDefault="003244CE" w:rsidP="003244CE">
      <w:pPr>
        <w:pStyle w:val="Tabletitle"/>
      </w:pPr>
      <w:r w:rsidRPr="00A73A1E">
        <w:t>Technical characteristics and protection criteria for RNSS receivers (space-to-Earth) operating in the band 1 215</w:t>
      </w:r>
      <w:r w:rsidRPr="00A73A1E">
        <w:noBreakHyphen/>
        <w:t>1 300 MHz</w:t>
      </w:r>
    </w:p>
    <w:tbl>
      <w:tblPr>
        <w:tblW w:w="14459" w:type="dxa"/>
        <w:jc w:val="center"/>
        <w:tblLayout w:type="fixed"/>
        <w:tblCellMar>
          <w:left w:w="57" w:type="dxa"/>
          <w:right w:w="57" w:type="dxa"/>
        </w:tblCellMar>
        <w:tblLook w:val="0000" w:firstRow="0" w:lastRow="0" w:firstColumn="0" w:lastColumn="0" w:noHBand="0" w:noVBand="0"/>
      </w:tblPr>
      <w:tblGrid>
        <w:gridCol w:w="1905"/>
        <w:gridCol w:w="1103"/>
        <w:gridCol w:w="950"/>
        <w:gridCol w:w="865"/>
        <w:gridCol w:w="865"/>
        <w:gridCol w:w="780"/>
        <w:gridCol w:w="780"/>
        <w:gridCol w:w="1417"/>
        <w:gridCol w:w="605"/>
        <w:gridCol w:w="672"/>
        <w:gridCol w:w="677"/>
        <w:gridCol w:w="560"/>
        <w:gridCol w:w="695"/>
        <w:gridCol w:w="608"/>
        <w:gridCol w:w="608"/>
        <w:gridCol w:w="468"/>
        <w:gridCol w:w="901"/>
      </w:tblGrid>
      <w:tr w:rsidR="003244CE" w:rsidRPr="00A73A1E" w14:paraId="2E70BF1E" w14:textId="77777777" w:rsidTr="000E2BC3">
        <w:trPr>
          <w:cantSplit/>
          <w:jc w:val="center"/>
        </w:trPr>
        <w:tc>
          <w:tcPr>
            <w:tcW w:w="2033" w:type="dxa"/>
            <w:tcBorders>
              <w:top w:val="single" w:sz="4" w:space="0" w:color="auto"/>
              <w:left w:val="single" w:sz="4" w:space="0" w:color="auto"/>
              <w:bottom w:val="single" w:sz="4" w:space="0" w:color="auto"/>
              <w:right w:val="single" w:sz="4" w:space="0" w:color="auto"/>
            </w:tcBorders>
            <w:vAlign w:val="center"/>
          </w:tcPr>
          <w:p w14:paraId="458A6312" w14:textId="77777777" w:rsidR="003244CE" w:rsidRPr="00A73A1E" w:rsidRDefault="003244CE" w:rsidP="009C40C0">
            <w:pPr>
              <w:pStyle w:val="Tablehead"/>
              <w:rPr>
                <w:rFonts w:eastAsia="MS PGothic"/>
                <w:sz w:val="16"/>
                <w:szCs w:val="16"/>
              </w:rPr>
            </w:pPr>
          </w:p>
        </w:tc>
        <w:tc>
          <w:tcPr>
            <w:tcW w:w="1172" w:type="dxa"/>
            <w:tcBorders>
              <w:top w:val="single" w:sz="4" w:space="0" w:color="auto"/>
              <w:left w:val="single" w:sz="4" w:space="0" w:color="auto"/>
              <w:bottom w:val="single" w:sz="4" w:space="0" w:color="auto"/>
              <w:right w:val="single" w:sz="4" w:space="0" w:color="auto"/>
            </w:tcBorders>
            <w:vAlign w:val="center"/>
          </w:tcPr>
          <w:p w14:paraId="6907797C" w14:textId="77777777" w:rsidR="003244CE" w:rsidRPr="00A73A1E" w:rsidRDefault="003244CE" w:rsidP="009C40C0">
            <w:pPr>
              <w:pStyle w:val="Tablehead"/>
              <w:rPr>
                <w:rFonts w:eastAsia="MS PGothic"/>
                <w:sz w:val="16"/>
                <w:szCs w:val="16"/>
              </w:rPr>
            </w:pPr>
            <w:r w:rsidRPr="00A73A1E">
              <w:rPr>
                <w:rFonts w:eastAsia="MS PGothic"/>
                <w:sz w:val="16"/>
                <w:szCs w:val="16"/>
              </w:rPr>
              <w:t>1</w:t>
            </w:r>
          </w:p>
        </w:tc>
        <w:tc>
          <w:tcPr>
            <w:tcW w:w="1009" w:type="dxa"/>
            <w:tcBorders>
              <w:top w:val="single" w:sz="4" w:space="0" w:color="auto"/>
              <w:left w:val="single" w:sz="4" w:space="0" w:color="auto"/>
              <w:bottom w:val="single" w:sz="4" w:space="0" w:color="auto"/>
              <w:right w:val="single" w:sz="4" w:space="0" w:color="auto"/>
            </w:tcBorders>
            <w:vAlign w:val="center"/>
          </w:tcPr>
          <w:p w14:paraId="5ECC82FB" w14:textId="77777777" w:rsidR="003244CE" w:rsidRPr="00A73A1E" w:rsidRDefault="003244CE" w:rsidP="009C40C0">
            <w:pPr>
              <w:pStyle w:val="Tablehead"/>
              <w:rPr>
                <w:rFonts w:eastAsia="MS PGothic"/>
                <w:sz w:val="16"/>
                <w:szCs w:val="16"/>
              </w:rPr>
            </w:pPr>
            <w:r w:rsidRPr="00A73A1E">
              <w:rPr>
                <w:rFonts w:eastAsia="MS PGothic"/>
                <w:sz w:val="16"/>
                <w:szCs w:val="16"/>
              </w:rPr>
              <w:t>2</w:t>
            </w:r>
          </w:p>
        </w:tc>
        <w:tc>
          <w:tcPr>
            <w:tcW w:w="917" w:type="dxa"/>
            <w:tcBorders>
              <w:top w:val="single" w:sz="4" w:space="0" w:color="auto"/>
              <w:left w:val="single" w:sz="4" w:space="0" w:color="auto"/>
              <w:bottom w:val="single" w:sz="4" w:space="0" w:color="auto"/>
              <w:right w:val="single" w:sz="4" w:space="0" w:color="auto"/>
            </w:tcBorders>
            <w:vAlign w:val="center"/>
          </w:tcPr>
          <w:p w14:paraId="66C9B777" w14:textId="77777777" w:rsidR="003244CE" w:rsidRPr="00A73A1E" w:rsidRDefault="003244CE" w:rsidP="009C40C0">
            <w:pPr>
              <w:pStyle w:val="Tablehead"/>
              <w:rPr>
                <w:rFonts w:eastAsia="MS PGothic"/>
                <w:sz w:val="16"/>
                <w:szCs w:val="16"/>
              </w:rPr>
            </w:pPr>
            <w:r w:rsidRPr="00A73A1E">
              <w:rPr>
                <w:rFonts w:eastAsia="MS PGothic"/>
                <w:sz w:val="16"/>
                <w:szCs w:val="16"/>
              </w:rPr>
              <w:t>3</w:t>
            </w:r>
          </w:p>
        </w:tc>
        <w:tc>
          <w:tcPr>
            <w:tcW w:w="917" w:type="dxa"/>
            <w:tcBorders>
              <w:top w:val="single" w:sz="4" w:space="0" w:color="auto"/>
              <w:left w:val="single" w:sz="4" w:space="0" w:color="auto"/>
              <w:bottom w:val="single" w:sz="4" w:space="0" w:color="auto"/>
              <w:right w:val="single" w:sz="4" w:space="0" w:color="auto"/>
            </w:tcBorders>
            <w:vAlign w:val="center"/>
          </w:tcPr>
          <w:p w14:paraId="639039BA" w14:textId="77777777" w:rsidR="003244CE" w:rsidRPr="00A73A1E" w:rsidRDefault="003244CE" w:rsidP="009C40C0">
            <w:pPr>
              <w:pStyle w:val="Tablehead"/>
              <w:rPr>
                <w:rFonts w:eastAsia="SimSun"/>
                <w:sz w:val="16"/>
                <w:szCs w:val="16"/>
                <w:lang w:eastAsia="zh-CN"/>
              </w:rPr>
            </w:pPr>
            <w:r w:rsidRPr="00A73A1E">
              <w:rPr>
                <w:sz w:val="16"/>
                <w:szCs w:val="16"/>
                <w:lang w:eastAsia="zh-CN"/>
              </w:rPr>
              <w:t>3a</w:t>
            </w:r>
          </w:p>
        </w:tc>
        <w:tc>
          <w:tcPr>
            <w:tcW w:w="1652" w:type="dxa"/>
            <w:gridSpan w:val="2"/>
            <w:tcBorders>
              <w:top w:val="single" w:sz="4" w:space="0" w:color="auto"/>
              <w:left w:val="single" w:sz="4" w:space="0" w:color="auto"/>
              <w:bottom w:val="single" w:sz="4" w:space="0" w:color="auto"/>
              <w:right w:val="single" w:sz="4" w:space="0" w:color="auto"/>
            </w:tcBorders>
          </w:tcPr>
          <w:p w14:paraId="2F038B2F" w14:textId="77777777" w:rsidR="003244CE" w:rsidRPr="00A73A1E" w:rsidRDefault="003244CE" w:rsidP="009C40C0">
            <w:pPr>
              <w:pStyle w:val="Tablehead"/>
              <w:rPr>
                <w:rFonts w:eastAsia="MS PGothic"/>
                <w:sz w:val="16"/>
                <w:szCs w:val="16"/>
              </w:rPr>
            </w:pPr>
            <w:r w:rsidRPr="00A73A1E">
              <w:rPr>
                <w:rFonts w:eastAsia="MS PGothic"/>
                <w:sz w:val="16"/>
                <w:szCs w:val="16"/>
              </w:rPr>
              <w:t>3b</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35FF5228" w14:textId="77777777" w:rsidR="003244CE" w:rsidRPr="00A73A1E" w:rsidRDefault="003244CE" w:rsidP="009C40C0">
            <w:pPr>
              <w:pStyle w:val="Tablehead"/>
              <w:rPr>
                <w:rFonts w:eastAsia="MS PGothic"/>
                <w:sz w:val="16"/>
                <w:szCs w:val="16"/>
              </w:rPr>
            </w:pPr>
            <w:r w:rsidRPr="00A73A1E">
              <w:rPr>
                <w:rFonts w:eastAsia="MS PGothic"/>
                <w:sz w:val="16"/>
                <w:szCs w:val="16"/>
              </w:rPr>
              <w:t>4</w:t>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1EFF9855" w14:textId="77777777" w:rsidR="003244CE" w:rsidRPr="00A73A1E" w:rsidDel="007508B4" w:rsidRDefault="003244CE" w:rsidP="009C40C0">
            <w:pPr>
              <w:pStyle w:val="Tablehead"/>
              <w:rPr>
                <w:sz w:val="16"/>
                <w:szCs w:val="16"/>
              </w:rPr>
            </w:pPr>
            <w:r w:rsidRPr="00A73A1E">
              <w:rPr>
                <w:rFonts w:eastAsia="MS PGothic"/>
                <w:sz w:val="16"/>
                <w:szCs w:val="16"/>
              </w:rPr>
              <w:t>5</w:t>
            </w:r>
          </w:p>
        </w:tc>
        <w:tc>
          <w:tcPr>
            <w:tcW w:w="2732" w:type="dxa"/>
            <w:gridSpan w:val="4"/>
            <w:tcBorders>
              <w:top w:val="single" w:sz="4" w:space="0" w:color="auto"/>
              <w:left w:val="single" w:sz="4" w:space="0" w:color="auto"/>
              <w:bottom w:val="single" w:sz="4" w:space="0" w:color="auto"/>
              <w:right w:val="single" w:sz="4" w:space="0" w:color="auto"/>
            </w:tcBorders>
            <w:vAlign w:val="center"/>
          </w:tcPr>
          <w:p w14:paraId="4E83B983" w14:textId="77777777" w:rsidR="003244CE" w:rsidRPr="00A73A1E" w:rsidRDefault="003244CE" w:rsidP="009C40C0">
            <w:pPr>
              <w:pStyle w:val="Tablehead"/>
              <w:rPr>
                <w:rFonts w:eastAsia="MS PGothic"/>
                <w:sz w:val="16"/>
                <w:szCs w:val="16"/>
              </w:rPr>
            </w:pPr>
            <w:r w:rsidRPr="00A73A1E">
              <w:rPr>
                <w:rFonts w:eastAsia="MS PGothic"/>
                <w:sz w:val="16"/>
                <w:szCs w:val="16"/>
              </w:rPr>
              <w:t>6</w:t>
            </w:r>
          </w:p>
        </w:tc>
      </w:tr>
      <w:tr w:rsidR="003244CE" w:rsidRPr="00A73A1E" w14:paraId="46F43728" w14:textId="77777777" w:rsidTr="000E2BC3">
        <w:trPr>
          <w:cantSplit/>
          <w:jc w:val="center"/>
        </w:trPr>
        <w:tc>
          <w:tcPr>
            <w:tcW w:w="2033" w:type="dxa"/>
            <w:tcBorders>
              <w:top w:val="single" w:sz="4" w:space="0" w:color="auto"/>
              <w:left w:val="single" w:sz="4" w:space="0" w:color="auto"/>
              <w:bottom w:val="single" w:sz="4" w:space="0" w:color="auto"/>
              <w:right w:val="single" w:sz="4" w:space="0" w:color="auto"/>
            </w:tcBorders>
            <w:vAlign w:val="center"/>
          </w:tcPr>
          <w:p w14:paraId="3660A449" w14:textId="77777777" w:rsidR="003244CE" w:rsidRPr="00A73A1E" w:rsidRDefault="003244CE" w:rsidP="009C40C0">
            <w:pPr>
              <w:pStyle w:val="Tabletext"/>
              <w:rPr>
                <w:rFonts w:eastAsia="MS PGothic"/>
                <w:sz w:val="16"/>
                <w:szCs w:val="16"/>
              </w:rPr>
            </w:pPr>
            <w:r w:rsidRPr="00A73A1E">
              <w:rPr>
                <w:rFonts w:eastAsia="MS PGothic"/>
                <w:sz w:val="16"/>
                <w:szCs w:val="16"/>
              </w:rPr>
              <w:t>Parameter</w:t>
            </w:r>
          </w:p>
        </w:tc>
        <w:tc>
          <w:tcPr>
            <w:tcW w:w="1172" w:type="dxa"/>
            <w:tcBorders>
              <w:top w:val="single" w:sz="4" w:space="0" w:color="auto"/>
              <w:left w:val="single" w:sz="4" w:space="0" w:color="auto"/>
              <w:bottom w:val="single" w:sz="4" w:space="0" w:color="auto"/>
              <w:right w:val="single" w:sz="4" w:space="0" w:color="auto"/>
            </w:tcBorders>
            <w:vAlign w:val="center"/>
          </w:tcPr>
          <w:p w14:paraId="348B5BD0"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SBAS ground reference receiver*</w:t>
            </w:r>
          </w:p>
        </w:tc>
        <w:tc>
          <w:tcPr>
            <w:tcW w:w="1009" w:type="dxa"/>
            <w:tcBorders>
              <w:top w:val="single" w:sz="4" w:space="0" w:color="auto"/>
              <w:left w:val="single" w:sz="4" w:space="0" w:color="auto"/>
              <w:bottom w:val="single" w:sz="4" w:space="0" w:color="auto"/>
              <w:right w:val="single" w:sz="4" w:space="0" w:color="auto"/>
            </w:tcBorders>
            <w:vAlign w:val="center"/>
          </w:tcPr>
          <w:p w14:paraId="614E057D"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High-precision semi-codeless receiver*</w:t>
            </w:r>
          </w:p>
        </w:tc>
        <w:tc>
          <w:tcPr>
            <w:tcW w:w="917" w:type="dxa"/>
            <w:tcBorders>
              <w:top w:val="single" w:sz="4" w:space="0" w:color="auto"/>
              <w:left w:val="single" w:sz="4" w:space="0" w:color="auto"/>
              <w:bottom w:val="single" w:sz="4" w:space="0" w:color="auto"/>
              <w:right w:val="single" w:sz="4" w:space="0" w:color="auto"/>
            </w:tcBorders>
            <w:vAlign w:val="center"/>
          </w:tcPr>
          <w:p w14:paraId="09357ED4"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 xml:space="preserve">High-precision receiver </w:t>
            </w:r>
            <w:r w:rsidRPr="00A73A1E">
              <w:rPr>
                <w:sz w:val="16"/>
                <w:szCs w:val="16"/>
                <w:lang w:eastAsia="zh-CN"/>
              </w:rPr>
              <w:t>using L2C</w:t>
            </w:r>
            <w:r w:rsidRPr="00A73A1E">
              <w:rPr>
                <w:rFonts w:eastAsia="MS PGothic"/>
                <w:sz w:val="16"/>
                <w:szCs w:val="16"/>
              </w:rPr>
              <w:t>*</w:t>
            </w:r>
          </w:p>
        </w:tc>
        <w:tc>
          <w:tcPr>
            <w:tcW w:w="917" w:type="dxa"/>
            <w:tcBorders>
              <w:top w:val="single" w:sz="4" w:space="0" w:color="auto"/>
              <w:left w:val="single" w:sz="4" w:space="0" w:color="auto"/>
              <w:bottom w:val="single" w:sz="4" w:space="0" w:color="auto"/>
              <w:right w:val="single" w:sz="4" w:space="0" w:color="auto"/>
            </w:tcBorders>
            <w:vAlign w:val="center"/>
          </w:tcPr>
          <w:p w14:paraId="644F4C80"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 xml:space="preserve">High-precision receiver using </w:t>
            </w:r>
            <w:r w:rsidRPr="00A73A1E">
              <w:rPr>
                <w:sz w:val="16"/>
                <w:szCs w:val="16"/>
                <w:lang w:eastAsia="zh-CN"/>
              </w:rPr>
              <w:t>B3 and B3A</w:t>
            </w:r>
          </w:p>
        </w:tc>
        <w:tc>
          <w:tcPr>
            <w:tcW w:w="1652" w:type="dxa"/>
            <w:gridSpan w:val="2"/>
            <w:tcBorders>
              <w:top w:val="single" w:sz="4" w:space="0" w:color="auto"/>
              <w:left w:val="single" w:sz="4" w:space="0" w:color="auto"/>
              <w:bottom w:val="single" w:sz="4" w:space="0" w:color="auto"/>
              <w:right w:val="single" w:sz="4" w:space="0" w:color="auto"/>
            </w:tcBorders>
          </w:tcPr>
          <w:p w14:paraId="5136C143" w14:textId="20769914" w:rsidR="003244CE" w:rsidRPr="00A73A1E" w:rsidRDefault="003244CE" w:rsidP="009C40C0">
            <w:pPr>
              <w:pStyle w:val="Tabletext"/>
              <w:jc w:val="center"/>
              <w:rPr>
                <w:rFonts w:eastAsia="MS PGothic"/>
                <w:sz w:val="16"/>
                <w:szCs w:val="16"/>
              </w:rPr>
            </w:pPr>
            <w:r w:rsidRPr="00A73A1E">
              <w:rPr>
                <w:rFonts w:eastAsia="MS PGothic"/>
                <w:sz w:val="16"/>
                <w:szCs w:val="16"/>
              </w:rPr>
              <w:t>High-accuracy and authentication receiver using E6</w:t>
            </w:r>
            <w:r w:rsidR="000E2BC3">
              <w:rPr>
                <w:rFonts w:eastAsia="MS PGothic"/>
                <w:sz w:val="16"/>
                <w:szCs w:val="16"/>
              </w:rPr>
              <w:noBreakHyphen/>
            </w:r>
            <w:r w:rsidRPr="00A73A1E">
              <w:rPr>
                <w:rFonts w:eastAsia="MS PGothic"/>
                <w:sz w:val="16"/>
                <w:szCs w:val="16"/>
              </w:rPr>
              <w:t>BC</w:t>
            </w:r>
            <w:r w:rsidRPr="00A73A1E">
              <w:rPr>
                <w:rFonts w:eastAsia="MS PGothic"/>
                <w:sz w:val="16"/>
                <w:szCs w:val="16"/>
                <w:lang w:eastAsia="ja-JP"/>
              </w:rPr>
              <w:t>/L6</w:t>
            </w:r>
          </w:p>
        </w:tc>
        <w:tc>
          <w:tcPr>
            <w:tcW w:w="214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A0FD5C"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Air-navigation receiver</w:t>
            </w:r>
            <w:r w:rsidRPr="00A73A1E">
              <w:rPr>
                <w:rFonts w:eastAsia="MS PGothic"/>
                <w:sz w:val="16"/>
                <w:szCs w:val="16"/>
              </w:rPr>
              <w:br/>
              <w:t xml:space="preserve">(Note </w:t>
            </w:r>
            <w:r w:rsidRPr="00A73A1E">
              <w:rPr>
                <w:sz w:val="16"/>
                <w:szCs w:val="16"/>
              </w:rPr>
              <w:t>10</w:t>
            </w:r>
            <w:r w:rsidRPr="00A73A1E">
              <w:rPr>
                <w:rFonts w:eastAsia="MS PGothic"/>
                <w:sz w:val="16"/>
                <w:szCs w:val="16"/>
              </w:rPr>
              <w:t>)</w:t>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072479FB" w14:textId="77777777" w:rsidR="003244CE" w:rsidRPr="00A73A1E" w:rsidDel="007508B4" w:rsidRDefault="003244CE" w:rsidP="009C40C0">
            <w:pPr>
              <w:pStyle w:val="Tabletext"/>
              <w:jc w:val="center"/>
              <w:rPr>
                <w:sz w:val="16"/>
                <w:szCs w:val="16"/>
              </w:rPr>
            </w:pPr>
            <w:r w:rsidRPr="00A73A1E">
              <w:rPr>
                <w:rFonts w:eastAsia="MS PGothic"/>
                <w:sz w:val="16"/>
                <w:szCs w:val="16"/>
              </w:rPr>
              <w:t>Indoor positioning</w:t>
            </w:r>
          </w:p>
        </w:tc>
        <w:tc>
          <w:tcPr>
            <w:tcW w:w="2732" w:type="dxa"/>
            <w:gridSpan w:val="4"/>
            <w:tcBorders>
              <w:top w:val="single" w:sz="4" w:space="0" w:color="auto"/>
              <w:left w:val="single" w:sz="4" w:space="0" w:color="auto"/>
              <w:bottom w:val="single" w:sz="4" w:space="0" w:color="auto"/>
              <w:right w:val="single" w:sz="4" w:space="0" w:color="auto"/>
            </w:tcBorders>
            <w:vAlign w:val="center"/>
          </w:tcPr>
          <w:p w14:paraId="1D685792"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General purpose</w:t>
            </w:r>
          </w:p>
        </w:tc>
      </w:tr>
      <w:tr w:rsidR="003244CE" w:rsidRPr="00A73A1E" w14:paraId="7EE83212" w14:textId="77777777" w:rsidTr="000E2BC3">
        <w:trPr>
          <w:cantSplit/>
          <w:trHeight w:val="1134"/>
          <w:jc w:val="center"/>
        </w:trPr>
        <w:tc>
          <w:tcPr>
            <w:tcW w:w="2033" w:type="dxa"/>
            <w:tcBorders>
              <w:top w:val="single" w:sz="4" w:space="0" w:color="auto"/>
              <w:left w:val="single" w:sz="4" w:space="0" w:color="auto"/>
              <w:bottom w:val="single" w:sz="4" w:space="0" w:color="auto"/>
              <w:right w:val="single" w:sz="4" w:space="0" w:color="auto"/>
            </w:tcBorders>
            <w:vAlign w:val="center"/>
          </w:tcPr>
          <w:p w14:paraId="21F4DF70" w14:textId="77777777" w:rsidR="003244CE" w:rsidRPr="00A73A1E" w:rsidRDefault="003244CE" w:rsidP="000E2BC3">
            <w:pPr>
              <w:pStyle w:val="Tabletext"/>
              <w:jc w:val="left"/>
              <w:rPr>
                <w:rFonts w:eastAsia="MS PGothic"/>
                <w:sz w:val="16"/>
                <w:szCs w:val="16"/>
              </w:rPr>
            </w:pPr>
            <w:r w:rsidRPr="00A73A1E">
              <w:rPr>
                <w:rFonts w:eastAsia="MS PGothic"/>
                <w:sz w:val="16"/>
                <w:szCs w:val="16"/>
              </w:rPr>
              <w:t>Signal frequency range (MHz)</w:t>
            </w:r>
          </w:p>
        </w:tc>
        <w:tc>
          <w:tcPr>
            <w:tcW w:w="1172" w:type="dxa"/>
            <w:tcBorders>
              <w:top w:val="single" w:sz="4" w:space="0" w:color="auto"/>
              <w:left w:val="single" w:sz="4" w:space="0" w:color="auto"/>
              <w:bottom w:val="single" w:sz="4" w:space="0" w:color="auto"/>
              <w:right w:val="single" w:sz="4" w:space="0" w:color="auto"/>
            </w:tcBorders>
            <w:textDirection w:val="btLr"/>
            <w:vAlign w:val="center"/>
          </w:tcPr>
          <w:p w14:paraId="4A2C805D" w14:textId="77777777" w:rsidR="003244CE" w:rsidRPr="00A73A1E" w:rsidRDefault="003244CE" w:rsidP="000E2BC3">
            <w:pPr>
              <w:pStyle w:val="Tabletext"/>
              <w:ind w:left="113" w:right="113"/>
              <w:jc w:val="center"/>
              <w:rPr>
                <w:rFonts w:eastAsia="MS PGothic"/>
                <w:sz w:val="16"/>
                <w:szCs w:val="16"/>
              </w:rPr>
            </w:pPr>
            <w:r w:rsidRPr="00A73A1E">
              <w:rPr>
                <w:rFonts w:eastAsia="MS PGothic"/>
                <w:sz w:val="16"/>
                <w:szCs w:val="16"/>
              </w:rPr>
              <w:t xml:space="preserve">1 227.6 </w:t>
            </w:r>
            <w:r w:rsidRPr="00A73A1E">
              <w:rPr>
                <w:rFonts w:eastAsia="MS PGothic"/>
                <w:sz w:val="16"/>
                <w:szCs w:val="16"/>
              </w:rPr>
              <w:sym w:font="Symbol" w:char="00B1"/>
            </w:r>
            <w:r w:rsidRPr="00A73A1E">
              <w:rPr>
                <w:rFonts w:eastAsia="MS PGothic"/>
                <w:sz w:val="16"/>
                <w:szCs w:val="16"/>
              </w:rPr>
              <w:t xml:space="preserve"> 15.345</w:t>
            </w:r>
          </w:p>
        </w:tc>
        <w:tc>
          <w:tcPr>
            <w:tcW w:w="1009" w:type="dxa"/>
            <w:tcBorders>
              <w:top w:val="single" w:sz="4" w:space="0" w:color="auto"/>
              <w:left w:val="single" w:sz="4" w:space="0" w:color="auto"/>
              <w:bottom w:val="single" w:sz="4" w:space="0" w:color="auto"/>
              <w:right w:val="single" w:sz="4" w:space="0" w:color="auto"/>
            </w:tcBorders>
            <w:textDirection w:val="btLr"/>
            <w:vAlign w:val="center"/>
          </w:tcPr>
          <w:p w14:paraId="28453DDD" w14:textId="77777777" w:rsidR="003244CE" w:rsidRPr="00A73A1E" w:rsidRDefault="003244CE" w:rsidP="000E2BC3">
            <w:pPr>
              <w:pStyle w:val="Tabletext"/>
              <w:ind w:left="113" w:right="113"/>
              <w:jc w:val="center"/>
              <w:rPr>
                <w:sz w:val="16"/>
                <w:szCs w:val="16"/>
                <w:lang w:eastAsia="ja-JP"/>
              </w:rPr>
            </w:pPr>
            <w:r w:rsidRPr="00A73A1E">
              <w:rPr>
                <w:rFonts w:eastAsia="MS PGothic"/>
                <w:sz w:val="16"/>
                <w:szCs w:val="16"/>
              </w:rPr>
              <w:t xml:space="preserve">1 227.6 </w:t>
            </w:r>
            <w:r w:rsidRPr="00A73A1E">
              <w:rPr>
                <w:rFonts w:eastAsia="MS PGothic"/>
                <w:sz w:val="16"/>
                <w:szCs w:val="16"/>
              </w:rPr>
              <w:sym w:font="Symbol" w:char="00B1"/>
            </w:r>
            <w:r w:rsidRPr="00A73A1E">
              <w:rPr>
                <w:rFonts w:eastAsia="MS PGothic"/>
                <w:sz w:val="16"/>
                <w:szCs w:val="16"/>
              </w:rPr>
              <w:t xml:space="preserve"> 15.345</w:t>
            </w:r>
          </w:p>
        </w:tc>
        <w:tc>
          <w:tcPr>
            <w:tcW w:w="917" w:type="dxa"/>
            <w:tcBorders>
              <w:top w:val="single" w:sz="4" w:space="0" w:color="auto"/>
              <w:left w:val="single" w:sz="4" w:space="0" w:color="auto"/>
              <w:bottom w:val="single" w:sz="4" w:space="0" w:color="auto"/>
              <w:right w:val="single" w:sz="4" w:space="0" w:color="auto"/>
            </w:tcBorders>
            <w:textDirection w:val="btLr"/>
            <w:vAlign w:val="center"/>
          </w:tcPr>
          <w:p w14:paraId="0363051B" w14:textId="77777777" w:rsidR="003244CE" w:rsidRPr="00A73A1E" w:rsidRDefault="003244CE" w:rsidP="000E2BC3">
            <w:pPr>
              <w:pStyle w:val="Tabletext"/>
              <w:ind w:left="113" w:right="113"/>
              <w:jc w:val="center"/>
              <w:rPr>
                <w:rFonts w:eastAsia="MS PGothic"/>
                <w:sz w:val="16"/>
                <w:szCs w:val="16"/>
              </w:rPr>
            </w:pPr>
            <w:r w:rsidRPr="00A73A1E">
              <w:rPr>
                <w:sz w:val="16"/>
                <w:szCs w:val="16"/>
                <w:lang w:eastAsia="ja-JP"/>
              </w:rPr>
              <w:t xml:space="preserve">1 227.6 </w:t>
            </w:r>
            <w:r w:rsidRPr="00A73A1E">
              <w:rPr>
                <w:rFonts w:eastAsia="MS PGothic"/>
                <w:sz w:val="16"/>
                <w:szCs w:val="16"/>
              </w:rPr>
              <w:sym w:font="Symbol" w:char="00B1"/>
            </w:r>
            <w:r w:rsidRPr="00A73A1E">
              <w:rPr>
                <w:rFonts w:eastAsia="MS PGothic"/>
                <w:sz w:val="16"/>
                <w:szCs w:val="16"/>
              </w:rPr>
              <w:t xml:space="preserve"> 15.345</w:t>
            </w:r>
          </w:p>
        </w:tc>
        <w:tc>
          <w:tcPr>
            <w:tcW w:w="917" w:type="dxa"/>
            <w:tcBorders>
              <w:top w:val="single" w:sz="4" w:space="0" w:color="auto"/>
              <w:left w:val="single" w:sz="4" w:space="0" w:color="auto"/>
              <w:bottom w:val="single" w:sz="4" w:space="0" w:color="auto"/>
              <w:right w:val="single" w:sz="4" w:space="0" w:color="auto"/>
            </w:tcBorders>
            <w:textDirection w:val="btLr"/>
            <w:vAlign w:val="center"/>
          </w:tcPr>
          <w:p w14:paraId="08C78AAB" w14:textId="77777777" w:rsidR="003244CE" w:rsidRPr="00A73A1E" w:rsidRDefault="003244CE" w:rsidP="000E2BC3">
            <w:pPr>
              <w:pStyle w:val="Tabletext"/>
              <w:ind w:left="113" w:right="113"/>
              <w:jc w:val="center"/>
              <w:rPr>
                <w:rFonts w:eastAsia="MS PGothic"/>
                <w:sz w:val="16"/>
                <w:szCs w:val="16"/>
                <w:lang w:eastAsia="zh-CN"/>
              </w:rPr>
            </w:pPr>
            <w:r w:rsidRPr="00A73A1E">
              <w:rPr>
                <w:sz w:val="16"/>
                <w:szCs w:val="16"/>
                <w:lang w:eastAsia="ja-JP"/>
              </w:rPr>
              <w:t>1 2</w:t>
            </w:r>
            <w:r w:rsidRPr="00A73A1E">
              <w:rPr>
                <w:sz w:val="16"/>
                <w:szCs w:val="16"/>
                <w:lang w:eastAsia="zh-CN"/>
              </w:rPr>
              <w:t>68.52</w:t>
            </w:r>
            <w:r w:rsidRPr="00A73A1E">
              <w:rPr>
                <w:sz w:val="16"/>
                <w:szCs w:val="16"/>
                <w:lang w:eastAsia="ja-JP"/>
              </w:rPr>
              <w:t xml:space="preserve"> </w:t>
            </w:r>
            <w:r w:rsidRPr="00A73A1E">
              <w:rPr>
                <w:rFonts w:eastAsia="MS PGothic"/>
                <w:sz w:val="16"/>
                <w:szCs w:val="16"/>
              </w:rPr>
              <w:sym w:font="Symbol" w:char="00B1"/>
            </w:r>
            <w:r w:rsidRPr="00A73A1E">
              <w:rPr>
                <w:rFonts w:eastAsia="MS PGothic"/>
                <w:sz w:val="16"/>
                <w:szCs w:val="16"/>
              </w:rPr>
              <w:t xml:space="preserve"> 12</w:t>
            </w:r>
          </w:p>
        </w:tc>
        <w:tc>
          <w:tcPr>
            <w:tcW w:w="1652" w:type="dxa"/>
            <w:gridSpan w:val="2"/>
            <w:tcBorders>
              <w:top w:val="single" w:sz="4" w:space="0" w:color="auto"/>
              <w:left w:val="single" w:sz="4" w:space="0" w:color="auto"/>
              <w:bottom w:val="single" w:sz="4" w:space="0" w:color="auto"/>
              <w:right w:val="single" w:sz="4" w:space="0" w:color="auto"/>
            </w:tcBorders>
            <w:textDirection w:val="btLr"/>
            <w:vAlign w:val="center"/>
          </w:tcPr>
          <w:p w14:paraId="6A1F7BE3" w14:textId="77777777" w:rsidR="003244CE" w:rsidRPr="00A73A1E" w:rsidRDefault="003244CE" w:rsidP="000E2BC3">
            <w:pPr>
              <w:pStyle w:val="Tabletext"/>
              <w:ind w:left="113" w:right="113"/>
              <w:jc w:val="center"/>
              <w:rPr>
                <w:sz w:val="16"/>
                <w:szCs w:val="16"/>
              </w:rPr>
            </w:pPr>
            <w:r w:rsidRPr="00A73A1E">
              <w:rPr>
                <w:sz w:val="16"/>
                <w:szCs w:val="16"/>
                <w:lang w:eastAsia="ja-JP"/>
              </w:rPr>
              <w:t xml:space="preserve">1 278.75 </w:t>
            </w:r>
            <w:r w:rsidRPr="00A73A1E">
              <w:rPr>
                <w:rFonts w:eastAsia="MS PGothic"/>
                <w:sz w:val="16"/>
                <w:szCs w:val="16"/>
              </w:rPr>
              <w:sym w:font="Symbol" w:char="00B1"/>
            </w:r>
            <w:r w:rsidRPr="00A73A1E">
              <w:rPr>
                <w:rFonts w:eastAsia="MS PGothic"/>
                <w:sz w:val="16"/>
                <w:szCs w:val="16"/>
              </w:rPr>
              <w:t> 21</w:t>
            </w:r>
          </w:p>
        </w:tc>
        <w:tc>
          <w:tcPr>
            <w:tcW w:w="1509" w:type="dxa"/>
            <w:tcBorders>
              <w:top w:val="single" w:sz="4" w:space="0" w:color="auto"/>
              <w:left w:val="single" w:sz="4" w:space="0" w:color="auto"/>
              <w:bottom w:val="single" w:sz="4" w:space="0" w:color="auto"/>
              <w:right w:val="single" w:sz="4" w:space="0" w:color="auto"/>
            </w:tcBorders>
            <w:vAlign w:val="center"/>
          </w:tcPr>
          <w:p w14:paraId="54E0B564" w14:textId="77777777" w:rsidR="003244CE" w:rsidRPr="00A73A1E" w:rsidRDefault="003244CE" w:rsidP="009C40C0">
            <w:pPr>
              <w:pStyle w:val="Tabletext"/>
              <w:jc w:val="center"/>
              <w:rPr>
                <w:sz w:val="16"/>
                <w:szCs w:val="16"/>
                <w:lang w:eastAsia="ja-JP"/>
              </w:rPr>
            </w:pPr>
            <w:r w:rsidRPr="00A73A1E">
              <w:rPr>
                <w:sz w:val="16"/>
                <w:szCs w:val="16"/>
              </w:rPr>
              <w:t>1 246 + 0.4375*</w:t>
            </w:r>
            <w:r w:rsidRPr="00A73A1E">
              <w:rPr>
                <w:i/>
                <w:iCs/>
                <w:sz w:val="16"/>
                <w:szCs w:val="16"/>
              </w:rPr>
              <w:t>K</w:t>
            </w:r>
            <w:r w:rsidRPr="00A73A1E">
              <w:rPr>
                <w:sz w:val="16"/>
                <w:szCs w:val="16"/>
              </w:rPr>
              <w:t> ± 5.11,</w:t>
            </w:r>
            <w:r w:rsidRPr="00A73A1E">
              <w:rPr>
                <w:sz w:val="16"/>
                <w:szCs w:val="16"/>
              </w:rPr>
              <w:br/>
              <w:t>where</w:t>
            </w:r>
            <w:r w:rsidRPr="00A73A1E">
              <w:rPr>
                <w:sz w:val="16"/>
                <w:szCs w:val="16"/>
              </w:rPr>
              <w:br/>
            </w:r>
            <w:r w:rsidRPr="00A73A1E">
              <w:rPr>
                <w:i/>
                <w:iCs/>
                <w:sz w:val="16"/>
                <w:szCs w:val="16"/>
              </w:rPr>
              <w:t>K</w:t>
            </w:r>
            <w:r w:rsidRPr="00A73A1E">
              <w:rPr>
                <w:sz w:val="16"/>
                <w:szCs w:val="16"/>
              </w:rPr>
              <w:t xml:space="preserve"> = </w:t>
            </w:r>
            <w:r w:rsidRPr="00A73A1E">
              <w:rPr>
                <w:rFonts w:eastAsia="MS PGothic"/>
                <w:sz w:val="16"/>
                <w:szCs w:val="16"/>
              </w:rPr>
              <w:t>–</w:t>
            </w:r>
            <w:r w:rsidRPr="00A73A1E">
              <w:rPr>
                <w:sz w:val="16"/>
                <w:szCs w:val="16"/>
              </w:rPr>
              <w:t>7, …, +6</w:t>
            </w:r>
            <w:r w:rsidRPr="00A73A1E">
              <w:rPr>
                <w:sz w:val="16"/>
                <w:szCs w:val="16"/>
              </w:rPr>
              <w:br/>
            </w:r>
            <w:r w:rsidRPr="00A73A1E">
              <w:rPr>
                <w:sz w:val="16"/>
                <w:szCs w:val="16"/>
                <w:lang w:eastAsia="ja-JP"/>
              </w:rPr>
              <w:t>(Note </w:t>
            </w:r>
            <w:r w:rsidRPr="00A73A1E">
              <w:rPr>
                <w:sz w:val="16"/>
                <w:szCs w:val="16"/>
              </w:rPr>
              <w:t>8</w:t>
            </w:r>
            <w:r w:rsidRPr="00A73A1E">
              <w:rPr>
                <w:sz w:val="16"/>
                <w:szCs w:val="16"/>
                <w:lang w:eastAsia="ja-JP"/>
              </w:rPr>
              <w:t>)</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14:paraId="4B9B95D1" w14:textId="77777777" w:rsidR="003244CE" w:rsidRPr="00A73A1E" w:rsidRDefault="003244CE" w:rsidP="009C40C0">
            <w:pPr>
              <w:pStyle w:val="Tabletext"/>
              <w:jc w:val="center"/>
              <w:rPr>
                <w:sz w:val="16"/>
                <w:szCs w:val="16"/>
                <w:lang w:eastAsia="ja-JP"/>
              </w:rPr>
            </w:pPr>
            <w:r w:rsidRPr="00A73A1E">
              <w:rPr>
                <w:sz w:val="16"/>
                <w:szCs w:val="16"/>
              </w:rPr>
              <w:t>1 248,06</w:t>
            </w:r>
            <w:r>
              <w:rPr>
                <w:sz w:val="16"/>
                <w:szCs w:val="16"/>
              </w:rPr>
              <w:t xml:space="preserve"> </w:t>
            </w:r>
            <w:r w:rsidRPr="00A73A1E">
              <w:rPr>
                <w:rFonts w:eastAsia="MS PGothic"/>
                <w:sz w:val="16"/>
                <w:szCs w:val="16"/>
              </w:rPr>
              <w:sym w:font="Symbol" w:char="F0B1"/>
            </w:r>
            <w:r>
              <w:rPr>
                <w:rFonts w:eastAsia="MS PGothic"/>
                <w:sz w:val="16"/>
                <w:szCs w:val="16"/>
              </w:rPr>
              <w:t xml:space="preserve"> </w:t>
            </w:r>
            <w:r w:rsidRPr="00A73A1E">
              <w:rPr>
                <w:rFonts w:eastAsia="MS PGothic"/>
                <w:sz w:val="16"/>
                <w:szCs w:val="16"/>
              </w:rPr>
              <w:t>7.7</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14:paraId="2ACF609F" w14:textId="77777777" w:rsidR="003244CE" w:rsidRPr="00A73A1E" w:rsidRDefault="003244CE" w:rsidP="009C40C0">
            <w:pPr>
              <w:pStyle w:val="Tabletext"/>
              <w:jc w:val="center"/>
              <w:rPr>
                <w:sz w:val="16"/>
                <w:szCs w:val="16"/>
                <w:lang w:eastAsia="ja-JP"/>
              </w:rPr>
            </w:pPr>
            <w:r w:rsidRPr="00A73A1E">
              <w:rPr>
                <w:sz w:val="16"/>
                <w:szCs w:val="16"/>
                <w:lang w:eastAsia="ja-JP"/>
              </w:rPr>
              <w:t xml:space="preserve">1 227.6 </w:t>
            </w:r>
            <w:r w:rsidRPr="00A73A1E">
              <w:rPr>
                <w:rFonts w:eastAsia="MS PGothic"/>
                <w:sz w:val="16"/>
                <w:szCs w:val="16"/>
              </w:rPr>
              <w:sym w:font="Symbol" w:char="00B1"/>
            </w:r>
            <w:r w:rsidRPr="00A73A1E">
              <w:rPr>
                <w:rFonts w:eastAsia="MS PGothic"/>
                <w:sz w:val="16"/>
                <w:szCs w:val="16"/>
              </w:rPr>
              <w:t xml:space="preserve"> 12</w:t>
            </w:r>
          </w:p>
        </w:tc>
        <w:tc>
          <w:tcPr>
            <w:tcW w:w="716" w:type="dxa"/>
            <w:tcBorders>
              <w:top w:val="single" w:sz="4" w:space="0" w:color="auto"/>
              <w:left w:val="single" w:sz="4" w:space="0" w:color="auto"/>
              <w:bottom w:val="single" w:sz="4" w:space="0" w:color="auto"/>
              <w:right w:val="single" w:sz="4" w:space="0" w:color="auto"/>
            </w:tcBorders>
            <w:textDirection w:val="btLr"/>
            <w:vAlign w:val="center"/>
          </w:tcPr>
          <w:p w14:paraId="70BA8A9A" w14:textId="77777777" w:rsidR="003244CE" w:rsidRPr="00A73A1E" w:rsidRDefault="003244CE" w:rsidP="009C40C0">
            <w:pPr>
              <w:pStyle w:val="Tabletext"/>
              <w:jc w:val="center"/>
              <w:rPr>
                <w:sz w:val="16"/>
                <w:szCs w:val="16"/>
                <w:lang w:eastAsia="ja-JP"/>
              </w:rPr>
            </w:pPr>
            <w:r w:rsidRPr="00A73A1E">
              <w:rPr>
                <w:sz w:val="16"/>
                <w:szCs w:val="16"/>
              </w:rPr>
              <w:t>1 246 + 0.4375*</w:t>
            </w:r>
            <w:r w:rsidRPr="00A73A1E">
              <w:rPr>
                <w:i/>
                <w:iCs/>
                <w:sz w:val="16"/>
                <w:szCs w:val="16"/>
              </w:rPr>
              <w:t>K</w:t>
            </w:r>
            <w:r w:rsidRPr="00A73A1E">
              <w:rPr>
                <w:sz w:val="16"/>
                <w:szCs w:val="16"/>
              </w:rPr>
              <w:t xml:space="preserve"> ± 5.11</w:t>
            </w:r>
            <w:r w:rsidRPr="00A73A1E">
              <w:rPr>
                <w:sz w:val="16"/>
                <w:szCs w:val="16"/>
              </w:rPr>
              <w:br/>
              <w:t xml:space="preserve">where </w:t>
            </w:r>
            <w:r w:rsidRPr="00A73A1E">
              <w:rPr>
                <w:i/>
                <w:iCs/>
                <w:sz w:val="16"/>
                <w:szCs w:val="16"/>
              </w:rPr>
              <w:t>K</w:t>
            </w:r>
            <w:r w:rsidRPr="00A73A1E">
              <w:rPr>
                <w:sz w:val="16"/>
                <w:szCs w:val="16"/>
              </w:rPr>
              <w:t xml:space="preserve"> = </w:t>
            </w:r>
            <w:r w:rsidRPr="00A73A1E">
              <w:rPr>
                <w:rFonts w:eastAsia="MS PGothic"/>
                <w:sz w:val="16"/>
                <w:szCs w:val="16"/>
              </w:rPr>
              <w:t>–</w:t>
            </w:r>
            <w:proofErr w:type="gramStart"/>
            <w:r w:rsidRPr="00A73A1E">
              <w:rPr>
                <w:sz w:val="16"/>
                <w:szCs w:val="16"/>
              </w:rPr>
              <w:t>7, ..</w:t>
            </w:r>
            <w:proofErr w:type="gramEnd"/>
            <w:r w:rsidRPr="00A73A1E">
              <w:rPr>
                <w:sz w:val="16"/>
                <w:szCs w:val="16"/>
              </w:rPr>
              <w:t>, +6</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F6423CA" w14:textId="77777777" w:rsidR="003244CE" w:rsidRPr="00A73A1E" w:rsidRDefault="003244CE" w:rsidP="009C40C0">
            <w:pPr>
              <w:pStyle w:val="Tabletext"/>
              <w:jc w:val="center"/>
              <w:rPr>
                <w:sz w:val="16"/>
                <w:szCs w:val="16"/>
                <w:lang w:eastAsia="ja-JP"/>
              </w:rPr>
            </w:pPr>
            <w:r w:rsidRPr="00A73A1E">
              <w:rPr>
                <w:sz w:val="16"/>
                <w:szCs w:val="16"/>
              </w:rPr>
              <w:t>1 248,06</w:t>
            </w:r>
            <w:r>
              <w:rPr>
                <w:sz w:val="16"/>
                <w:szCs w:val="16"/>
              </w:rPr>
              <w:t xml:space="preserve"> </w:t>
            </w:r>
            <w:r w:rsidRPr="00A73A1E">
              <w:rPr>
                <w:rFonts w:eastAsia="MS PGothic"/>
                <w:sz w:val="16"/>
                <w:szCs w:val="16"/>
              </w:rPr>
              <w:sym w:font="Symbol" w:char="F0B1"/>
            </w:r>
            <w:r>
              <w:rPr>
                <w:rFonts w:eastAsia="MS PGothic"/>
                <w:sz w:val="16"/>
                <w:szCs w:val="16"/>
              </w:rPr>
              <w:t xml:space="preserve"> </w:t>
            </w:r>
            <w:r w:rsidRPr="00A73A1E">
              <w:rPr>
                <w:rFonts w:eastAsia="MS PGothic"/>
                <w:sz w:val="16"/>
                <w:szCs w:val="16"/>
              </w:rPr>
              <w:t>7.7</w:t>
            </w:r>
          </w:p>
        </w:tc>
        <w:tc>
          <w:tcPr>
            <w:tcW w:w="735" w:type="dxa"/>
            <w:tcBorders>
              <w:top w:val="single" w:sz="4" w:space="0" w:color="auto"/>
              <w:left w:val="single" w:sz="4" w:space="0" w:color="auto"/>
              <w:bottom w:val="single" w:sz="4" w:space="0" w:color="auto"/>
              <w:right w:val="single" w:sz="4" w:space="0" w:color="auto"/>
            </w:tcBorders>
            <w:textDirection w:val="btLr"/>
            <w:vAlign w:val="center"/>
          </w:tcPr>
          <w:p w14:paraId="7FBDE14F" w14:textId="77777777" w:rsidR="003244CE" w:rsidRPr="00A73A1E" w:rsidDel="007508B4" w:rsidRDefault="003244CE" w:rsidP="009C40C0">
            <w:pPr>
              <w:pStyle w:val="Tabletext"/>
              <w:jc w:val="center"/>
              <w:rPr>
                <w:sz w:val="16"/>
                <w:szCs w:val="16"/>
                <w:lang w:eastAsia="ja-JP"/>
              </w:rPr>
            </w:pPr>
            <w:r w:rsidRPr="00A73A1E">
              <w:rPr>
                <w:sz w:val="16"/>
                <w:szCs w:val="16"/>
                <w:lang w:eastAsia="ja-JP"/>
              </w:rPr>
              <w:t>1 2</w:t>
            </w:r>
            <w:r w:rsidRPr="00A73A1E">
              <w:rPr>
                <w:sz w:val="16"/>
                <w:szCs w:val="16"/>
                <w:lang w:eastAsia="zh-CN"/>
              </w:rPr>
              <w:t>68.52</w:t>
            </w:r>
            <w:r w:rsidRPr="00A73A1E">
              <w:rPr>
                <w:sz w:val="16"/>
                <w:szCs w:val="16"/>
                <w:lang w:eastAsia="ja-JP"/>
              </w:rPr>
              <w:t xml:space="preserve"> </w:t>
            </w:r>
            <w:r w:rsidRPr="00A73A1E">
              <w:rPr>
                <w:rFonts w:eastAsia="MS PGothic"/>
                <w:sz w:val="16"/>
                <w:szCs w:val="16"/>
              </w:rPr>
              <w:sym w:font="Symbol" w:char="00B1"/>
            </w:r>
            <w:r w:rsidRPr="00A73A1E">
              <w:rPr>
                <w:rFonts w:eastAsia="MS PGothic"/>
                <w:sz w:val="16"/>
                <w:szCs w:val="16"/>
              </w:rPr>
              <w:t xml:space="preserve"> 12</w:t>
            </w:r>
          </w:p>
        </w:tc>
        <w:tc>
          <w:tcPr>
            <w:tcW w:w="642" w:type="dxa"/>
            <w:tcBorders>
              <w:top w:val="single" w:sz="4" w:space="0" w:color="auto"/>
              <w:left w:val="single" w:sz="4" w:space="0" w:color="auto"/>
              <w:bottom w:val="single" w:sz="4" w:space="0" w:color="auto"/>
              <w:right w:val="single" w:sz="4" w:space="0" w:color="auto"/>
            </w:tcBorders>
            <w:textDirection w:val="btLr"/>
            <w:vAlign w:val="center"/>
          </w:tcPr>
          <w:p w14:paraId="3279873D" w14:textId="77777777" w:rsidR="003244CE" w:rsidRPr="00A73A1E" w:rsidRDefault="003244CE" w:rsidP="009C40C0">
            <w:pPr>
              <w:pStyle w:val="Tabletext"/>
              <w:jc w:val="center"/>
              <w:rPr>
                <w:sz w:val="16"/>
                <w:szCs w:val="16"/>
                <w:lang w:eastAsia="ja-JP"/>
              </w:rPr>
            </w:pPr>
            <w:r w:rsidRPr="00A73A1E">
              <w:rPr>
                <w:sz w:val="16"/>
                <w:szCs w:val="16"/>
                <w:lang w:eastAsia="ja-JP"/>
              </w:rPr>
              <w:t xml:space="preserve">1 227.6 </w:t>
            </w:r>
            <w:r w:rsidRPr="00A73A1E">
              <w:rPr>
                <w:rFonts w:eastAsia="MS PGothic"/>
                <w:sz w:val="16"/>
                <w:szCs w:val="16"/>
              </w:rPr>
              <w:sym w:font="Symbol" w:char="00B1"/>
            </w:r>
            <w:r w:rsidRPr="00A73A1E">
              <w:rPr>
                <w:rFonts w:eastAsia="MS PGothic"/>
                <w:sz w:val="16"/>
                <w:szCs w:val="16"/>
              </w:rPr>
              <w:t xml:space="preserve"> 12</w:t>
            </w:r>
          </w:p>
        </w:tc>
        <w:tc>
          <w:tcPr>
            <w:tcW w:w="642" w:type="dxa"/>
            <w:tcBorders>
              <w:top w:val="single" w:sz="4" w:space="0" w:color="auto"/>
              <w:left w:val="single" w:sz="4" w:space="0" w:color="auto"/>
              <w:bottom w:val="single" w:sz="4" w:space="0" w:color="auto"/>
              <w:right w:val="single" w:sz="4" w:space="0" w:color="auto"/>
            </w:tcBorders>
            <w:textDirection w:val="btLr"/>
            <w:vAlign w:val="center"/>
          </w:tcPr>
          <w:p w14:paraId="7B460C98" w14:textId="77777777" w:rsidR="003244CE" w:rsidRPr="000E2BC3" w:rsidRDefault="003244CE" w:rsidP="000E2BC3">
            <w:pPr>
              <w:pStyle w:val="Tabletext"/>
              <w:spacing w:before="0" w:after="0"/>
              <w:jc w:val="center"/>
              <w:rPr>
                <w:sz w:val="14"/>
                <w:szCs w:val="14"/>
                <w:lang w:eastAsia="ja-JP"/>
              </w:rPr>
            </w:pPr>
            <w:r w:rsidRPr="000E2BC3">
              <w:rPr>
                <w:sz w:val="14"/>
                <w:szCs w:val="14"/>
              </w:rPr>
              <w:t>1 246 + 0.4375*</w:t>
            </w:r>
            <w:r w:rsidRPr="000E2BC3">
              <w:rPr>
                <w:i/>
                <w:iCs/>
                <w:sz w:val="14"/>
                <w:szCs w:val="14"/>
              </w:rPr>
              <w:t>K</w:t>
            </w:r>
            <w:r w:rsidRPr="000E2BC3">
              <w:rPr>
                <w:sz w:val="14"/>
                <w:szCs w:val="14"/>
              </w:rPr>
              <w:t xml:space="preserve"> ± 5.11</w:t>
            </w:r>
            <w:r w:rsidRPr="000E2BC3">
              <w:rPr>
                <w:sz w:val="14"/>
                <w:szCs w:val="14"/>
              </w:rPr>
              <w:br/>
              <w:t xml:space="preserve">where </w:t>
            </w:r>
            <w:r w:rsidRPr="000E2BC3">
              <w:rPr>
                <w:i/>
                <w:iCs/>
                <w:sz w:val="14"/>
                <w:szCs w:val="14"/>
              </w:rPr>
              <w:t>K</w:t>
            </w:r>
            <w:r w:rsidRPr="000E2BC3">
              <w:rPr>
                <w:sz w:val="14"/>
                <w:szCs w:val="14"/>
              </w:rPr>
              <w:t xml:space="preserve">= </w:t>
            </w:r>
            <w:r w:rsidRPr="000E2BC3">
              <w:rPr>
                <w:rFonts w:eastAsia="MS PGothic"/>
                <w:sz w:val="14"/>
                <w:szCs w:val="14"/>
              </w:rPr>
              <w:t>–</w:t>
            </w:r>
            <w:proofErr w:type="gramStart"/>
            <w:r w:rsidRPr="000E2BC3">
              <w:rPr>
                <w:sz w:val="14"/>
                <w:szCs w:val="14"/>
              </w:rPr>
              <w:t>7,..</w:t>
            </w:r>
            <w:proofErr w:type="gramEnd"/>
            <w:r w:rsidRPr="000E2BC3">
              <w:rPr>
                <w:sz w:val="14"/>
                <w:szCs w:val="14"/>
              </w:rPr>
              <w:t>,+6</w:t>
            </w:r>
          </w:p>
        </w:tc>
        <w:tc>
          <w:tcPr>
            <w:tcW w:w="492" w:type="dxa"/>
            <w:tcBorders>
              <w:top w:val="single" w:sz="4" w:space="0" w:color="auto"/>
              <w:left w:val="single" w:sz="4" w:space="0" w:color="auto"/>
              <w:bottom w:val="single" w:sz="4" w:space="0" w:color="auto"/>
              <w:right w:val="single" w:sz="4" w:space="0" w:color="auto"/>
            </w:tcBorders>
            <w:textDirection w:val="btLr"/>
            <w:vAlign w:val="center"/>
          </w:tcPr>
          <w:p w14:paraId="495E1077" w14:textId="77777777" w:rsidR="003244CE" w:rsidRPr="00A73A1E" w:rsidRDefault="003244CE" w:rsidP="009C40C0">
            <w:pPr>
              <w:pStyle w:val="Tabletext"/>
              <w:jc w:val="center"/>
              <w:rPr>
                <w:sz w:val="16"/>
                <w:szCs w:val="16"/>
                <w:lang w:eastAsia="ja-JP"/>
              </w:rPr>
            </w:pPr>
            <w:r w:rsidRPr="00A73A1E">
              <w:rPr>
                <w:sz w:val="16"/>
                <w:szCs w:val="16"/>
              </w:rPr>
              <w:t>1 248,06</w:t>
            </w:r>
            <w:r>
              <w:rPr>
                <w:sz w:val="16"/>
                <w:szCs w:val="16"/>
              </w:rPr>
              <w:t xml:space="preserve"> </w:t>
            </w:r>
            <w:r w:rsidRPr="00A73A1E">
              <w:rPr>
                <w:rFonts w:eastAsia="MS PGothic"/>
                <w:sz w:val="16"/>
                <w:szCs w:val="16"/>
              </w:rPr>
              <w:sym w:font="Symbol" w:char="F0B1"/>
            </w:r>
            <w:r>
              <w:rPr>
                <w:rFonts w:eastAsia="MS PGothic"/>
                <w:sz w:val="16"/>
                <w:szCs w:val="16"/>
              </w:rPr>
              <w:t xml:space="preserve"> </w:t>
            </w:r>
            <w:r w:rsidRPr="00A73A1E">
              <w:rPr>
                <w:rFonts w:eastAsia="MS PGothic"/>
                <w:sz w:val="16"/>
                <w:szCs w:val="16"/>
              </w:rPr>
              <w:t>7.7</w:t>
            </w:r>
          </w:p>
        </w:tc>
        <w:tc>
          <w:tcPr>
            <w:tcW w:w="956" w:type="dxa"/>
            <w:tcBorders>
              <w:top w:val="single" w:sz="4" w:space="0" w:color="auto"/>
              <w:left w:val="single" w:sz="4" w:space="0" w:color="auto"/>
              <w:bottom w:val="single" w:sz="4" w:space="0" w:color="auto"/>
              <w:right w:val="single" w:sz="4" w:space="0" w:color="auto"/>
            </w:tcBorders>
            <w:textDirection w:val="btLr"/>
            <w:vAlign w:val="center"/>
          </w:tcPr>
          <w:p w14:paraId="38AA78C7" w14:textId="77777777" w:rsidR="003244CE" w:rsidRPr="00A73A1E" w:rsidRDefault="003244CE" w:rsidP="009C40C0">
            <w:pPr>
              <w:pStyle w:val="Tabletext"/>
              <w:jc w:val="center"/>
              <w:rPr>
                <w:sz w:val="16"/>
                <w:szCs w:val="16"/>
              </w:rPr>
            </w:pPr>
            <w:r w:rsidRPr="00A73A1E">
              <w:rPr>
                <w:sz w:val="16"/>
                <w:szCs w:val="16"/>
                <w:lang w:eastAsia="ja-JP"/>
              </w:rPr>
              <w:t>1 2</w:t>
            </w:r>
            <w:r w:rsidRPr="00A73A1E">
              <w:rPr>
                <w:sz w:val="16"/>
                <w:szCs w:val="16"/>
                <w:lang w:eastAsia="zh-CN"/>
              </w:rPr>
              <w:t>68.52</w:t>
            </w:r>
            <w:r w:rsidRPr="00A73A1E">
              <w:rPr>
                <w:sz w:val="16"/>
                <w:szCs w:val="16"/>
                <w:lang w:eastAsia="ja-JP"/>
              </w:rPr>
              <w:t xml:space="preserve"> </w:t>
            </w:r>
            <w:r w:rsidRPr="00A73A1E">
              <w:rPr>
                <w:rFonts w:eastAsia="MS PGothic"/>
                <w:sz w:val="16"/>
                <w:szCs w:val="16"/>
              </w:rPr>
              <w:sym w:font="Symbol" w:char="00B1"/>
            </w:r>
            <w:r w:rsidRPr="00A73A1E">
              <w:rPr>
                <w:rFonts w:eastAsia="MS PGothic"/>
                <w:sz w:val="16"/>
                <w:szCs w:val="16"/>
              </w:rPr>
              <w:t xml:space="preserve"> 12</w:t>
            </w:r>
          </w:p>
        </w:tc>
      </w:tr>
      <w:tr w:rsidR="003244CE" w:rsidRPr="00A73A1E" w14:paraId="55778A37" w14:textId="77777777" w:rsidTr="000E2BC3">
        <w:trPr>
          <w:cantSplit/>
          <w:jc w:val="center"/>
        </w:trPr>
        <w:tc>
          <w:tcPr>
            <w:tcW w:w="2033" w:type="dxa"/>
            <w:tcBorders>
              <w:top w:val="single" w:sz="4" w:space="0" w:color="auto"/>
              <w:left w:val="single" w:sz="4" w:space="0" w:color="auto"/>
              <w:bottom w:val="single" w:sz="4" w:space="0" w:color="auto"/>
              <w:right w:val="single" w:sz="4" w:space="0" w:color="auto"/>
            </w:tcBorders>
          </w:tcPr>
          <w:p w14:paraId="2CD5DD31" w14:textId="77777777" w:rsidR="003244CE" w:rsidRPr="00A73A1E" w:rsidRDefault="003244CE" w:rsidP="000E2BC3">
            <w:pPr>
              <w:pStyle w:val="Tabletext"/>
              <w:jc w:val="left"/>
              <w:rPr>
                <w:rFonts w:eastAsia="MS PGothic"/>
                <w:sz w:val="16"/>
                <w:szCs w:val="16"/>
              </w:rPr>
            </w:pPr>
            <w:r w:rsidRPr="00A73A1E">
              <w:rPr>
                <w:rFonts w:eastAsia="MS PGothic"/>
                <w:sz w:val="16"/>
                <w:szCs w:val="16"/>
              </w:rPr>
              <w:t xml:space="preserve">Maximum receiver antenna </w:t>
            </w:r>
            <w:proofErr w:type="gramStart"/>
            <w:r w:rsidRPr="00A73A1E">
              <w:rPr>
                <w:rFonts w:eastAsia="MS PGothic"/>
                <w:sz w:val="16"/>
                <w:szCs w:val="16"/>
              </w:rPr>
              <w:t>gain</w:t>
            </w:r>
            <w:proofErr w:type="gramEnd"/>
            <w:r w:rsidRPr="00A73A1E">
              <w:rPr>
                <w:rFonts w:eastAsia="MS PGothic"/>
                <w:sz w:val="16"/>
                <w:szCs w:val="16"/>
              </w:rPr>
              <w:t xml:space="preserve"> in upper hemisphere (</w:t>
            </w:r>
            <w:proofErr w:type="spellStart"/>
            <w:r w:rsidRPr="00A73A1E">
              <w:rPr>
                <w:rFonts w:eastAsia="MS PGothic"/>
                <w:sz w:val="16"/>
                <w:szCs w:val="16"/>
              </w:rPr>
              <w:t>dBi</w:t>
            </w:r>
            <w:proofErr w:type="spellEnd"/>
            <w:r w:rsidRPr="00A73A1E">
              <w:rPr>
                <w:rFonts w:eastAsia="MS PGothic"/>
                <w:sz w:val="16"/>
                <w:szCs w:val="16"/>
              </w:rPr>
              <w:t>)</w:t>
            </w:r>
          </w:p>
        </w:tc>
        <w:tc>
          <w:tcPr>
            <w:tcW w:w="1172" w:type="dxa"/>
            <w:tcBorders>
              <w:top w:val="single" w:sz="4" w:space="0" w:color="auto"/>
              <w:left w:val="single" w:sz="4" w:space="0" w:color="auto"/>
              <w:bottom w:val="single" w:sz="4" w:space="0" w:color="auto"/>
              <w:right w:val="single" w:sz="4" w:space="0" w:color="auto"/>
            </w:tcBorders>
            <w:vAlign w:val="center"/>
          </w:tcPr>
          <w:p w14:paraId="239375FF"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–2.0 circular (Note </w:t>
            </w:r>
            <w:r w:rsidRPr="00A73A1E">
              <w:rPr>
                <w:sz w:val="16"/>
                <w:szCs w:val="16"/>
              </w:rPr>
              <w:t>3</w:t>
            </w:r>
            <w:r w:rsidRPr="00A73A1E">
              <w:rPr>
                <w:rFonts w:eastAsia="MS PGothic"/>
                <w:sz w:val="16"/>
                <w:szCs w:val="16"/>
              </w:rPr>
              <w:t>)</w:t>
            </w:r>
          </w:p>
        </w:tc>
        <w:tc>
          <w:tcPr>
            <w:tcW w:w="1009" w:type="dxa"/>
            <w:tcBorders>
              <w:top w:val="single" w:sz="4" w:space="0" w:color="auto"/>
              <w:left w:val="single" w:sz="4" w:space="0" w:color="auto"/>
              <w:bottom w:val="single" w:sz="4" w:space="0" w:color="auto"/>
              <w:right w:val="single" w:sz="4" w:space="0" w:color="auto"/>
            </w:tcBorders>
            <w:vAlign w:val="center"/>
          </w:tcPr>
          <w:p w14:paraId="6B227F44"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3.0 circular</w:t>
            </w:r>
          </w:p>
        </w:tc>
        <w:tc>
          <w:tcPr>
            <w:tcW w:w="917" w:type="dxa"/>
            <w:tcBorders>
              <w:top w:val="single" w:sz="4" w:space="0" w:color="auto"/>
              <w:left w:val="single" w:sz="4" w:space="0" w:color="auto"/>
              <w:bottom w:val="single" w:sz="4" w:space="0" w:color="auto"/>
              <w:right w:val="single" w:sz="4" w:space="0" w:color="auto"/>
            </w:tcBorders>
            <w:vAlign w:val="center"/>
          </w:tcPr>
          <w:p w14:paraId="2579466C"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3.0 circular</w:t>
            </w:r>
          </w:p>
        </w:tc>
        <w:tc>
          <w:tcPr>
            <w:tcW w:w="917" w:type="dxa"/>
            <w:tcBorders>
              <w:top w:val="single" w:sz="4" w:space="0" w:color="auto"/>
              <w:left w:val="single" w:sz="4" w:space="0" w:color="auto"/>
              <w:bottom w:val="single" w:sz="4" w:space="0" w:color="auto"/>
              <w:right w:val="single" w:sz="4" w:space="0" w:color="auto"/>
            </w:tcBorders>
            <w:vAlign w:val="center"/>
          </w:tcPr>
          <w:p w14:paraId="388F544F"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3.0 circular</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6DA22194" w14:textId="77777777" w:rsidR="003244CE" w:rsidRPr="00A73A1E" w:rsidRDefault="003244CE" w:rsidP="009C40C0">
            <w:pPr>
              <w:pStyle w:val="Tabletext"/>
              <w:jc w:val="center"/>
              <w:rPr>
                <w:sz w:val="16"/>
                <w:szCs w:val="16"/>
                <w:lang w:eastAsia="ja-JP"/>
              </w:rPr>
            </w:pPr>
            <w:r w:rsidRPr="00A73A1E">
              <w:rPr>
                <w:sz w:val="16"/>
                <w:szCs w:val="16"/>
                <w:lang w:eastAsia="ja-JP"/>
              </w:rPr>
              <w:t xml:space="preserve">3 </w:t>
            </w:r>
            <w:proofErr w:type="gramStart"/>
            <w:r w:rsidRPr="00A73A1E">
              <w:rPr>
                <w:sz w:val="16"/>
                <w:szCs w:val="16"/>
                <w:lang w:eastAsia="ja-JP"/>
              </w:rPr>
              <w:t>circular</w:t>
            </w:r>
            <w:proofErr w:type="gramEnd"/>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7FEF2485" w14:textId="77777777" w:rsidR="003244CE" w:rsidRPr="00A73A1E" w:rsidRDefault="003244CE" w:rsidP="009C40C0">
            <w:pPr>
              <w:pStyle w:val="Tabletext"/>
              <w:jc w:val="center"/>
              <w:rPr>
                <w:sz w:val="16"/>
                <w:szCs w:val="16"/>
                <w:lang w:eastAsia="ja-JP"/>
              </w:rPr>
            </w:pPr>
            <w:r w:rsidRPr="00A73A1E">
              <w:rPr>
                <w:sz w:val="16"/>
                <w:szCs w:val="16"/>
                <w:lang w:eastAsia="ja-JP"/>
              </w:rPr>
              <w:t xml:space="preserve">7 </w:t>
            </w:r>
            <w:r w:rsidRPr="00A73A1E">
              <w:rPr>
                <w:rFonts w:eastAsia="MS PGothic"/>
                <w:sz w:val="16"/>
                <w:szCs w:val="16"/>
              </w:rPr>
              <w:t>circular</w:t>
            </w:r>
            <w:r w:rsidRPr="00A73A1E">
              <w:rPr>
                <w:sz w:val="16"/>
                <w:szCs w:val="16"/>
                <w:lang w:eastAsia="ja-JP"/>
              </w:rPr>
              <w:t xml:space="preserve"> (Note 1</w:t>
            </w:r>
            <w:r w:rsidRPr="00A73A1E">
              <w:rPr>
                <w:sz w:val="16"/>
                <w:szCs w:val="16"/>
              </w:rPr>
              <w:t>1</w:t>
            </w:r>
            <w:r w:rsidRPr="00A73A1E">
              <w:rPr>
                <w:sz w:val="16"/>
                <w:szCs w:val="16"/>
                <w:lang w:eastAsia="ja-JP"/>
              </w:rPr>
              <w:t>)</w:t>
            </w:r>
          </w:p>
        </w:tc>
        <w:tc>
          <w:tcPr>
            <w:tcW w:w="1994" w:type="dxa"/>
            <w:gridSpan w:val="3"/>
            <w:tcBorders>
              <w:top w:val="single" w:sz="4" w:space="0" w:color="auto"/>
              <w:left w:val="single" w:sz="4" w:space="0" w:color="auto"/>
              <w:bottom w:val="single" w:sz="4" w:space="0" w:color="auto"/>
              <w:right w:val="single" w:sz="4" w:space="0" w:color="auto"/>
            </w:tcBorders>
            <w:vAlign w:val="center"/>
          </w:tcPr>
          <w:p w14:paraId="145908F7" w14:textId="77777777" w:rsidR="003244CE" w:rsidRPr="00A73A1E" w:rsidRDefault="003244CE" w:rsidP="009C40C0">
            <w:pPr>
              <w:pStyle w:val="Tabletext"/>
              <w:jc w:val="center"/>
              <w:rPr>
                <w:rFonts w:eastAsia="MS PGothic"/>
                <w:sz w:val="16"/>
                <w:szCs w:val="16"/>
              </w:rPr>
            </w:pPr>
            <w:r w:rsidRPr="00A73A1E">
              <w:rPr>
                <w:sz w:val="16"/>
                <w:szCs w:val="16"/>
                <w:lang w:eastAsia="ja-JP"/>
              </w:rPr>
              <w:t>6</w:t>
            </w:r>
          </w:p>
        </w:tc>
        <w:tc>
          <w:tcPr>
            <w:tcW w:w="735" w:type="dxa"/>
            <w:tcBorders>
              <w:top w:val="single" w:sz="4" w:space="0" w:color="auto"/>
              <w:left w:val="single" w:sz="4" w:space="0" w:color="auto"/>
              <w:bottom w:val="single" w:sz="4" w:space="0" w:color="auto"/>
              <w:right w:val="single" w:sz="4" w:space="0" w:color="auto"/>
            </w:tcBorders>
            <w:vAlign w:val="center"/>
          </w:tcPr>
          <w:p w14:paraId="36B9AEF1" w14:textId="77777777" w:rsidR="003244CE" w:rsidRPr="00A73A1E" w:rsidDel="007508B4" w:rsidRDefault="003244CE" w:rsidP="009C40C0">
            <w:pPr>
              <w:pStyle w:val="Tabletext"/>
              <w:jc w:val="center"/>
              <w:rPr>
                <w:sz w:val="16"/>
                <w:szCs w:val="16"/>
                <w:lang w:eastAsia="ja-JP"/>
              </w:rPr>
            </w:pPr>
            <w:r w:rsidRPr="00A73A1E">
              <w:rPr>
                <w:sz w:val="16"/>
                <w:szCs w:val="16"/>
                <w:lang w:eastAsia="ja-JP"/>
              </w:rPr>
              <w:t>3</w:t>
            </w:r>
          </w:p>
        </w:tc>
        <w:tc>
          <w:tcPr>
            <w:tcW w:w="1776" w:type="dxa"/>
            <w:gridSpan w:val="3"/>
            <w:tcBorders>
              <w:top w:val="single" w:sz="4" w:space="0" w:color="auto"/>
              <w:left w:val="single" w:sz="4" w:space="0" w:color="auto"/>
              <w:bottom w:val="single" w:sz="4" w:space="0" w:color="auto"/>
              <w:right w:val="single" w:sz="4" w:space="0" w:color="auto"/>
            </w:tcBorders>
            <w:vAlign w:val="center"/>
          </w:tcPr>
          <w:p w14:paraId="0C792AC5" w14:textId="77777777" w:rsidR="003244CE" w:rsidRPr="00A73A1E" w:rsidRDefault="003244CE" w:rsidP="009C40C0">
            <w:pPr>
              <w:pStyle w:val="Tabletext"/>
              <w:jc w:val="center"/>
              <w:rPr>
                <w:sz w:val="16"/>
                <w:szCs w:val="16"/>
              </w:rPr>
            </w:pPr>
            <w:r w:rsidRPr="00A73A1E">
              <w:rPr>
                <w:sz w:val="16"/>
                <w:szCs w:val="16"/>
                <w:lang w:eastAsia="ja-JP"/>
              </w:rPr>
              <w:t>6</w:t>
            </w:r>
          </w:p>
        </w:tc>
        <w:tc>
          <w:tcPr>
            <w:tcW w:w="956" w:type="dxa"/>
            <w:tcBorders>
              <w:top w:val="single" w:sz="4" w:space="0" w:color="auto"/>
              <w:left w:val="single" w:sz="4" w:space="0" w:color="auto"/>
              <w:bottom w:val="single" w:sz="4" w:space="0" w:color="auto"/>
              <w:right w:val="single" w:sz="4" w:space="0" w:color="auto"/>
            </w:tcBorders>
            <w:vAlign w:val="center"/>
          </w:tcPr>
          <w:p w14:paraId="1F6A8B87" w14:textId="77777777" w:rsidR="003244CE" w:rsidRPr="00A73A1E" w:rsidRDefault="003244CE" w:rsidP="009C40C0">
            <w:pPr>
              <w:pStyle w:val="Tabletext"/>
              <w:jc w:val="center"/>
              <w:rPr>
                <w:sz w:val="16"/>
                <w:szCs w:val="16"/>
                <w:lang w:eastAsia="ja-JP"/>
              </w:rPr>
            </w:pPr>
            <w:r w:rsidRPr="00A73A1E">
              <w:rPr>
                <w:sz w:val="16"/>
                <w:szCs w:val="16"/>
                <w:lang w:eastAsia="ja-JP"/>
              </w:rPr>
              <w:t>3</w:t>
            </w:r>
          </w:p>
        </w:tc>
      </w:tr>
      <w:tr w:rsidR="003244CE" w:rsidRPr="00A73A1E" w14:paraId="1D6FF473" w14:textId="77777777" w:rsidTr="000E2BC3">
        <w:trPr>
          <w:cantSplit/>
          <w:jc w:val="center"/>
        </w:trPr>
        <w:tc>
          <w:tcPr>
            <w:tcW w:w="2033" w:type="dxa"/>
            <w:tcBorders>
              <w:top w:val="single" w:sz="4" w:space="0" w:color="auto"/>
              <w:left w:val="single" w:sz="4" w:space="0" w:color="auto"/>
              <w:bottom w:val="single" w:sz="4" w:space="0" w:color="auto"/>
              <w:right w:val="single" w:sz="4" w:space="0" w:color="auto"/>
            </w:tcBorders>
          </w:tcPr>
          <w:p w14:paraId="65FE4774" w14:textId="77777777" w:rsidR="003244CE" w:rsidRPr="00A73A1E" w:rsidRDefault="003244CE" w:rsidP="000E2BC3">
            <w:pPr>
              <w:pStyle w:val="Tabletext"/>
              <w:jc w:val="left"/>
              <w:rPr>
                <w:rFonts w:eastAsia="MS PGothic"/>
                <w:sz w:val="16"/>
                <w:szCs w:val="16"/>
              </w:rPr>
            </w:pPr>
            <w:r w:rsidRPr="00A73A1E">
              <w:rPr>
                <w:rFonts w:eastAsia="MS PGothic"/>
                <w:sz w:val="16"/>
                <w:szCs w:val="16"/>
              </w:rPr>
              <w:t xml:space="preserve">Maximum receiver antenna </w:t>
            </w:r>
            <w:proofErr w:type="gramStart"/>
            <w:r w:rsidRPr="00A73A1E">
              <w:rPr>
                <w:rFonts w:eastAsia="MS PGothic"/>
                <w:sz w:val="16"/>
                <w:szCs w:val="16"/>
              </w:rPr>
              <w:t>gain</w:t>
            </w:r>
            <w:proofErr w:type="gramEnd"/>
            <w:r w:rsidRPr="00A73A1E">
              <w:rPr>
                <w:rFonts w:eastAsia="MS PGothic"/>
                <w:sz w:val="16"/>
                <w:szCs w:val="16"/>
              </w:rPr>
              <w:t xml:space="preserve"> in lower hemisphere (</w:t>
            </w:r>
            <w:proofErr w:type="spellStart"/>
            <w:r w:rsidRPr="00A73A1E">
              <w:rPr>
                <w:rFonts w:eastAsia="MS PGothic"/>
                <w:sz w:val="16"/>
                <w:szCs w:val="16"/>
              </w:rPr>
              <w:t>dBi</w:t>
            </w:r>
            <w:proofErr w:type="spellEnd"/>
            <w:r w:rsidRPr="00A73A1E">
              <w:rPr>
                <w:rFonts w:eastAsia="MS PGothic"/>
                <w:sz w:val="16"/>
                <w:szCs w:val="16"/>
              </w:rPr>
              <w:t>)</w:t>
            </w:r>
          </w:p>
        </w:tc>
        <w:tc>
          <w:tcPr>
            <w:tcW w:w="1172" w:type="dxa"/>
            <w:tcBorders>
              <w:top w:val="single" w:sz="4" w:space="0" w:color="auto"/>
              <w:left w:val="single" w:sz="4" w:space="0" w:color="auto"/>
              <w:bottom w:val="single" w:sz="4" w:space="0" w:color="auto"/>
              <w:right w:val="single" w:sz="4" w:space="0" w:color="auto"/>
            </w:tcBorders>
            <w:vAlign w:val="center"/>
          </w:tcPr>
          <w:p w14:paraId="6708276C"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–5.0 circular (see Note </w:t>
            </w:r>
            <w:r w:rsidRPr="00A73A1E">
              <w:rPr>
                <w:sz w:val="16"/>
                <w:szCs w:val="16"/>
              </w:rPr>
              <w:t>3</w:t>
            </w:r>
            <w:r w:rsidRPr="00A73A1E">
              <w:rPr>
                <w:rFonts w:eastAsia="MS PGothic"/>
                <w:sz w:val="16"/>
                <w:szCs w:val="16"/>
              </w:rPr>
              <w:t>)</w:t>
            </w:r>
          </w:p>
        </w:tc>
        <w:tc>
          <w:tcPr>
            <w:tcW w:w="1009" w:type="dxa"/>
            <w:tcBorders>
              <w:top w:val="single" w:sz="4" w:space="0" w:color="auto"/>
              <w:left w:val="single" w:sz="4" w:space="0" w:color="auto"/>
              <w:bottom w:val="single" w:sz="4" w:space="0" w:color="auto"/>
              <w:right w:val="single" w:sz="4" w:space="0" w:color="auto"/>
            </w:tcBorders>
            <w:vAlign w:val="center"/>
          </w:tcPr>
          <w:p w14:paraId="3EDD44DC"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 xml:space="preserve">–7 linear </w:t>
            </w:r>
            <w:r w:rsidRPr="00A73A1E">
              <w:rPr>
                <w:rFonts w:eastAsia="MS PGothic"/>
                <w:sz w:val="16"/>
                <w:szCs w:val="16"/>
              </w:rPr>
              <w:br/>
              <w:t>(&lt; 10° elev.)</w:t>
            </w:r>
          </w:p>
        </w:tc>
        <w:tc>
          <w:tcPr>
            <w:tcW w:w="917" w:type="dxa"/>
            <w:tcBorders>
              <w:top w:val="single" w:sz="4" w:space="0" w:color="auto"/>
              <w:left w:val="single" w:sz="4" w:space="0" w:color="auto"/>
              <w:bottom w:val="single" w:sz="4" w:space="0" w:color="auto"/>
              <w:right w:val="single" w:sz="4" w:space="0" w:color="auto"/>
            </w:tcBorders>
            <w:vAlign w:val="center"/>
          </w:tcPr>
          <w:p w14:paraId="49A7719B"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 xml:space="preserve">–7 linear </w:t>
            </w:r>
            <w:r w:rsidRPr="00A73A1E">
              <w:rPr>
                <w:rFonts w:eastAsia="MS PGothic"/>
                <w:sz w:val="16"/>
                <w:szCs w:val="16"/>
              </w:rPr>
              <w:br/>
              <w:t>(&lt; 10° elev.)</w:t>
            </w:r>
          </w:p>
        </w:tc>
        <w:tc>
          <w:tcPr>
            <w:tcW w:w="917" w:type="dxa"/>
            <w:tcBorders>
              <w:top w:val="single" w:sz="4" w:space="0" w:color="auto"/>
              <w:left w:val="single" w:sz="4" w:space="0" w:color="auto"/>
              <w:bottom w:val="single" w:sz="4" w:space="0" w:color="auto"/>
              <w:right w:val="single" w:sz="4" w:space="0" w:color="auto"/>
            </w:tcBorders>
            <w:vAlign w:val="center"/>
          </w:tcPr>
          <w:p w14:paraId="37BE1E4D"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 xml:space="preserve">–7 linear </w:t>
            </w:r>
            <w:r w:rsidRPr="00A73A1E">
              <w:rPr>
                <w:rFonts w:eastAsia="MS PGothic"/>
                <w:sz w:val="16"/>
                <w:szCs w:val="16"/>
              </w:rPr>
              <w:br/>
              <w:t>(&lt; 10° elev.)</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139D4565"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–6 circular</w:t>
            </w:r>
            <w:r w:rsidRPr="00A73A1E">
              <w:rPr>
                <w:rFonts w:eastAsia="MS PGothic"/>
                <w:sz w:val="16"/>
                <w:szCs w:val="16"/>
              </w:rPr>
              <w:br/>
              <w:t xml:space="preserve"> (Note 15)</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137BE9DE" w14:textId="77777777" w:rsidR="003244CE" w:rsidRPr="00A73A1E" w:rsidRDefault="003244CE" w:rsidP="009C40C0">
            <w:pPr>
              <w:pStyle w:val="Tabletext"/>
              <w:jc w:val="center"/>
              <w:rPr>
                <w:sz w:val="16"/>
                <w:szCs w:val="16"/>
                <w:lang w:eastAsia="ja-JP"/>
              </w:rPr>
            </w:pPr>
            <w:r w:rsidRPr="00A73A1E">
              <w:rPr>
                <w:rFonts w:eastAsia="MS PGothic"/>
                <w:sz w:val="16"/>
                <w:szCs w:val="16"/>
              </w:rPr>
              <w:t>–</w:t>
            </w:r>
            <w:r w:rsidRPr="00A73A1E">
              <w:rPr>
                <w:sz w:val="16"/>
                <w:szCs w:val="16"/>
                <w:lang w:eastAsia="ja-JP"/>
              </w:rPr>
              <w:t>10</w:t>
            </w:r>
            <w:r w:rsidRPr="00A73A1E">
              <w:rPr>
                <w:rFonts w:eastAsia="MS PGothic"/>
                <w:sz w:val="16"/>
                <w:szCs w:val="16"/>
              </w:rPr>
              <w:t xml:space="preserve"> circular</w:t>
            </w:r>
          </w:p>
        </w:tc>
        <w:tc>
          <w:tcPr>
            <w:tcW w:w="1994" w:type="dxa"/>
            <w:gridSpan w:val="3"/>
            <w:tcBorders>
              <w:top w:val="single" w:sz="4" w:space="0" w:color="auto"/>
              <w:left w:val="single" w:sz="4" w:space="0" w:color="auto"/>
              <w:bottom w:val="single" w:sz="4" w:space="0" w:color="auto"/>
              <w:right w:val="single" w:sz="4" w:space="0" w:color="auto"/>
            </w:tcBorders>
            <w:vAlign w:val="center"/>
          </w:tcPr>
          <w:p w14:paraId="13C7A9A4" w14:textId="77777777" w:rsidR="003244CE" w:rsidRPr="00A73A1E" w:rsidRDefault="003244CE" w:rsidP="009C40C0">
            <w:pPr>
              <w:pStyle w:val="Tabletext"/>
              <w:jc w:val="center"/>
              <w:rPr>
                <w:rFonts w:eastAsia="MS PGothic"/>
                <w:sz w:val="16"/>
                <w:szCs w:val="16"/>
              </w:rPr>
            </w:pPr>
            <w:r w:rsidRPr="00A73A1E">
              <w:rPr>
                <w:sz w:val="16"/>
                <w:szCs w:val="16"/>
                <w:lang w:eastAsia="ja-JP"/>
              </w:rPr>
              <w:t>6</w:t>
            </w:r>
            <w:r w:rsidRPr="00A73A1E">
              <w:rPr>
                <w:sz w:val="16"/>
                <w:szCs w:val="16"/>
                <w:lang w:eastAsia="ja-JP"/>
              </w:rPr>
              <w:br/>
              <w:t>(Note 12)</w:t>
            </w:r>
          </w:p>
        </w:tc>
        <w:tc>
          <w:tcPr>
            <w:tcW w:w="735" w:type="dxa"/>
            <w:tcBorders>
              <w:top w:val="single" w:sz="4" w:space="0" w:color="auto"/>
              <w:left w:val="single" w:sz="4" w:space="0" w:color="auto"/>
              <w:bottom w:val="single" w:sz="4" w:space="0" w:color="auto"/>
              <w:right w:val="single" w:sz="4" w:space="0" w:color="auto"/>
            </w:tcBorders>
            <w:vAlign w:val="center"/>
          </w:tcPr>
          <w:p w14:paraId="6DC3B0B2" w14:textId="77777777" w:rsidR="003244CE" w:rsidRPr="00A73A1E" w:rsidDel="007508B4" w:rsidRDefault="003244CE" w:rsidP="009C40C0">
            <w:pPr>
              <w:pStyle w:val="Tabletext"/>
              <w:jc w:val="center"/>
              <w:rPr>
                <w:sz w:val="16"/>
                <w:szCs w:val="16"/>
                <w:lang w:eastAsia="ja-JP"/>
              </w:rPr>
            </w:pPr>
            <w:r w:rsidRPr="00A73A1E">
              <w:rPr>
                <w:rFonts w:eastAsia="MS PGothic"/>
                <w:sz w:val="16"/>
                <w:szCs w:val="16"/>
              </w:rPr>
              <w:t>–</w:t>
            </w:r>
            <w:r w:rsidRPr="00A73A1E">
              <w:rPr>
                <w:sz w:val="16"/>
                <w:szCs w:val="16"/>
                <w:lang w:eastAsia="ja-JP"/>
              </w:rPr>
              <w:t>9</w:t>
            </w:r>
          </w:p>
        </w:tc>
        <w:tc>
          <w:tcPr>
            <w:tcW w:w="1776" w:type="dxa"/>
            <w:gridSpan w:val="3"/>
            <w:tcBorders>
              <w:top w:val="single" w:sz="4" w:space="0" w:color="auto"/>
              <w:left w:val="single" w:sz="4" w:space="0" w:color="auto"/>
              <w:bottom w:val="single" w:sz="4" w:space="0" w:color="auto"/>
              <w:right w:val="single" w:sz="4" w:space="0" w:color="auto"/>
            </w:tcBorders>
            <w:vAlign w:val="center"/>
          </w:tcPr>
          <w:p w14:paraId="075E9EBE" w14:textId="77777777" w:rsidR="003244CE" w:rsidRPr="00A73A1E" w:rsidRDefault="003244CE" w:rsidP="009C40C0">
            <w:pPr>
              <w:pStyle w:val="Tabletext"/>
              <w:jc w:val="center"/>
              <w:rPr>
                <w:sz w:val="16"/>
                <w:szCs w:val="16"/>
              </w:rPr>
            </w:pPr>
            <w:r w:rsidRPr="00A73A1E">
              <w:rPr>
                <w:sz w:val="16"/>
                <w:szCs w:val="16"/>
                <w:lang w:eastAsia="ja-JP"/>
              </w:rPr>
              <w:t>6</w:t>
            </w:r>
            <w:r w:rsidRPr="00A73A1E">
              <w:rPr>
                <w:sz w:val="16"/>
                <w:szCs w:val="16"/>
                <w:lang w:eastAsia="ja-JP"/>
              </w:rPr>
              <w:br/>
              <w:t>(Note 12)</w:t>
            </w:r>
          </w:p>
        </w:tc>
        <w:tc>
          <w:tcPr>
            <w:tcW w:w="956" w:type="dxa"/>
            <w:tcBorders>
              <w:top w:val="single" w:sz="4" w:space="0" w:color="auto"/>
              <w:left w:val="single" w:sz="4" w:space="0" w:color="auto"/>
              <w:bottom w:val="single" w:sz="4" w:space="0" w:color="auto"/>
              <w:right w:val="single" w:sz="4" w:space="0" w:color="auto"/>
            </w:tcBorders>
            <w:vAlign w:val="center"/>
          </w:tcPr>
          <w:p w14:paraId="53FC9F16" w14:textId="77777777" w:rsidR="003244CE" w:rsidRPr="00A73A1E" w:rsidRDefault="003244CE" w:rsidP="009C40C0">
            <w:pPr>
              <w:pStyle w:val="Tabletext"/>
              <w:jc w:val="center"/>
              <w:rPr>
                <w:sz w:val="16"/>
                <w:szCs w:val="16"/>
                <w:lang w:eastAsia="ja-JP"/>
              </w:rPr>
            </w:pPr>
            <w:r w:rsidRPr="00A73A1E">
              <w:rPr>
                <w:sz w:val="16"/>
                <w:szCs w:val="16"/>
                <w:lang w:eastAsia="ja-JP"/>
              </w:rPr>
              <w:t>-10</w:t>
            </w:r>
          </w:p>
        </w:tc>
      </w:tr>
      <w:tr w:rsidR="003244CE" w:rsidRPr="00A73A1E" w14:paraId="1DE1194A" w14:textId="77777777" w:rsidTr="000E2BC3">
        <w:trPr>
          <w:cantSplit/>
          <w:jc w:val="center"/>
        </w:trPr>
        <w:tc>
          <w:tcPr>
            <w:tcW w:w="2033" w:type="dxa"/>
            <w:tcBorders>
              <w:top w:val="single" w:sz="4" w:space="0" w:color="auto"/>
              <w:left w:val="single" w:sz="4" w:space="0" w:color="auto"/>
              <w:bottom w:val="single" w:sz="4" w:space="0" w:color="auto"/>
              <w:right w:val="single" w:sz="4" w:space="0" w:color="auto"/>
            </w:tcBorders>
          </w:tcPr>
          <w:p w14:paraId="6B019101" w14:textId="77777777" w:rsidR="003244CE" w:rsidRPr="00486169" w:rsidRDefault="003244CE" w:rsidP="000E2BC3">
            <w:pPr>
              <w:pStyle w:val="Tabletext"/>
              <w:jc w:val="left"/>
              <w:rPr>
                <w:rFonts w:eastAsia="MS PGothic"/>
                <w:sz w:val="16"/>
                <w:szCs w:val="16"/>
                <w:lang w:val="de-CH"/>
              </w:rPr>
            </w:pPr>
            <w:r w:rsidRPr="00486169">
              <w:rPr>
                <w:rFonts w:eastAsia="MS PGothic"/>
                <w:sz w:val="16"/>
                <w:szCs w:val="16"/>
                <w:lang w:val="de-CH"/>
              </w:rPr>
              <w:t>RF filter 3 dB bandwidth (MHz)</w:t>
            </w:r>
          </w:p>
        </w:tc>
        <w:tc>
          <w:tcPr>
            <w:tcW w:w="1172" w:type="dxa"/>
            <w:tcBorders>
              <w:top w:val="single" w:sz="4" w:space="0" w:color="auto"/>
              <w:left w:val="single" w:sz="4" w:space="0" w:color="auto"/>
              <w:bottom w:val="single" w:sz="4" w:space="0" w:color="auto"/>
              <w:right w:val="single" w:sz="4" w:space="0" w:color="auto"/>
            </w:tcBorders>
            <w:vAlign w:val="center"/>
          </w:tcPr>
          <w:p w14:paraId="3624BA2A"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24.0</w:t>
            </w:r>
          </w:p>
        </w:tc>
        <w:tc>
          <w:tcPr>
            <w:tcW w:w="1009" w:type="dxa"/>
            <w:tcBorders>
              <w:top w:val="single" w:sz="4" w:space="0" w:color="auto"/>
              <w:left w:val="single" w:sz="4" w:space="0" w:color="auto"/>
              <w:bottom w:val="single" w:sz="4" w:space="0" w:color="auto"/>
              <w:right w:val="single" w:sz="4" w:space="0" w:color="auto"/>
            </w:tcBorders>
            <w:vAlign w:val="center"/>
          </w:tcPr>
          <w:p w14:paraId="3A06BF31" w14:textId="77777777" w:rsidR="003244CE" w:rsidRPr="00A73A1E" w:rsidRDefault="003244CE" w:rsidP="009C40C0">
            <w:pPr>
              <w:pStyle w:val="Tabletext"/>
              <w:jc w:val="center"/>
              <w:rPr>
                <w:sz w:val="16"/>
                <w:szCs w:val="16"/>
                <w:lang w:eastAsia="ja-JP"/>
              </w:rPr>
            </w:pPr>
            <w:r w:rsidRPr="00A73A1E">
              <w:rPr>
                <w:rFonts w:eastAsia="MS PGothic"/>
                <w:sz w:val="16"/>
                <w:szCs w:val="16"/>
              </w:rPr>
              <w:t>24.0</w:t>
            </w:r>
          </w:p>
        </w:tc>
        <w:tc>
          <w:tcPr>
            <w:tcW w:w="917" w:type="dxa"/>
            <w:tcBorders>
              <w:top w:val="single" w:sz="4" w:space="0" w:color="auto"/>
              <w:left w:val="single" w:sz="4" w:space="0" w:color="auto"/>
              <w:bottom w:val="single" w:sz="4" w:space="0" w:color="auto"/>
              <w:right w:val="single" w:sz="4" w:space="0" w:color="auto"/>
            </w:tcBorders>
            <w:vAlign w:val="center"/>
          </w:tcPr>
          <w:p w14:paraId="2FE17DCA" w14:textId="77777777" w:rsidR="003244CE" w:rsidRPr="00A73A1E" w:rsidRDefault="003244CE" w:rsidP="009C40C0">
            <w:pPr>
              <w:pStyle w:val="Tabletext"/>
              <w:jc w:val="center"/>
              <w:rPr>
                <w:rFonts w:eastAsia="MS PGothic"/>
                <w:sz w:val="16"/>
                <w:szCs w:val="16"/>
              </w:rPr>
            </w:pPr>
            <w:r w:rsidRPr="00A73A1E">
              <w:rPr>
                <w:sz w:val="16"/>
                <w:szCs w:val="16"/>
                <w:lang w:eastAsia="ja-JP"/>
              </w:rPr>
              <w:t>24.0</w:t>
            </w:r>
          </w:p>
        </w:tc>
        <w:tc>
          <w:tcPr>
            <w:tcW w:w="917" w:type="dxa"/>
            <w:tcBorders>
              <w:top w:val="single" w:sz="4" w:space="0" w:color="auto"/>
              <w:left w:val="single" w:sz="4" w:space="0" w:color="auto"/>
              <w:bottom w:val="single" w:sz="4" w:space="0" w:color="auto"/>
              <w:right w:val="single" w:sz="4" w:space="0" w:color="auto"/>
            </w:tcBorders>
            <w:vAlign w:val="center"/>
          </w:tcPr>
          <w:p w14:paraId="78A370B1" w14:textId="77777777" w:rsidR="003244CE" w:rsidRPr="00A73A1E" w:rsidRDefault="003244CE" w:rsidP="009C40C0">
            <w:pPr>
              <w:pStyle w:val="Tabletext"/>
              <w:jc w:val="center"/>
              <w:rPr>
                <w:rFonts w:eastAsia="MS PGothic"/>
                <w:sz w:val="16"/>
                <w:szCs w:val="16"/>
              </w:rPr>
            </w:pPr>
            <w:r w:rsidRPr="00A73A1E">
              <w:rPr>
                <w:sz w:val="16"/>
                <w:szCs w:val="16"/>
                <w:lang w:eastAsia="ja-JP"/>
              </w:rPr>
              <w:t>24.0</w:t>
            </w:r>
          </w:p>
        </w:tc>
        <w:tc>
          <w:tcPr>
            <w:tcW w:w="826" w:type="dxa"/>
            <w:tcBorders>
              <w:top w:val="single" w:sz="4" w:space="0" w:color="auto"/>
              <w:left w:val="single" w:sz="4" w:space="0" w:color="auto"/>
              <w:bottom w:val="single" w:sz="4" w:space="0" w:color="auto"/>
              <w:right w:val="single" w:sz="4" w:space="0" w:color="auto"/>
            </w:tcBorders>
            <w:vAlign w:val="center"/>
          </w:tcPr>
          <w:p w14:paraId="31272CFD" w14:textId="77777777" w:rsidR="003244CE" w:rsidRPr="00A73A1E" w:rsidRDefault="003244CE" w:rsidP="009C40C0">
            <w:pPr>
              <w:pStyle w:val="Tabletext"/>
              <w:jc w:val="center"/>
              <w:rPr>
                <w:sz w:val="16"/>
                <w:szCs w:val="16"/>
                <w:lang w:eastAsia="ja-JP"/>
              </w:rPr>
            </w:pPr>
            <w:r w:rsidRPr="00A73A1E">
              <w:rPr>
                <w:sz w:val="16"/>
                <w:szCs w:val="16"/>
                <w:lang w:eastAsia="ja-JP"/>
              </w:rPr>
              <w:t>40.92</w:t>
            </w:r>
            <w:r w:rsidRPr="00A73A1E">
              <w:rPr>
                <w:rFonts w:eastAsia="MS PGothic"/>
                <w:sz w:val="16"/>
                <w:szCs w:val="16"/>
              </w:rPr>
              <w:br/>
            </w:r>
            <w:r w:rsidRPr="00A73A1E">
              <w:rPr>
                <w:sz w:val="16"/>
                <w:szCs w:val="16"/>
                <w:lang w:eastAsia="ja-JP"/>
              </w:rPr>
              <w:t>(Note 18)</w:t>
            </w:r>
          </w:p>
        </w:tc>
        <w:tc>
          <w:tcPr>
            <w:tcW w:w="826" w:type="dxa"/>
            <w:tcBorders>
              <w:top w:val="single" w:sz="4" w:space="0" w:color="auto"/>
              <w:left w:val="single" w:sz="4" w:space="0" w:color="auto"/>
              <w:bottom w:val="single" w:sz="4" w:space="0" w:color="auto"/>
              <w:right w:val="single" w:sz="4" w:space="0" w:color="auto"/>
            </w:tcBorders>
            <w:vAlign w:val="center"/>
          </w:tcPr>
          <w:p w14:paraId="46F5B4F6" w14:textId="77777777" w:rsidR="003244CE" w:rsidRPr="00A73A1E" w:rsidRDefault="003244CE" w:rsidP="009C40C0">
            <w:pPr>
              <w:pStyle w:val="Tabletext"/>
              <w:jc w:val="center"/>
              <w:rPr>
                <w:sz w:val="16"/>
                <w:szCs w:val="16"/>
                <w:lang w:eastAsia="ja-JP"/>
              </w:rPr>
            </w:pPr>
            <w:r w:rsidRPr="00A73A1E">
              <w:rPr>
                <w:sz w:val="16"/>
                <w:szCs w:val="16"/>
                <w:lang w:eastAsia="ja-JP"/>
              </w:rPr>
              <w:t>42.0</w:t>
            </w:r>
            <w:r w:rsidRPr="00A73A1E">
              <w:rPr>
                <w:rFonts w:eastAsia="MS PGothic"/>
                <w:sz w:val="16"/>
                <w:szCs w:val="16"/>
              </w:rPr>
              <w:br/>
            </w:r>
            <w:r w:rsidRPr="00A73A1E">
              <w:rPr>
                <w:sz w:val="16"/>
                <w:szCs w:val="16"/>
                <w:lang w:eastAsia="ja-JP"/>
              </w:rPr>
              <w:t>(Note 18)</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5B2C0D0B" w14:textId="77777777" w:rsidR="003244CE" w:rsidRPr="00A73A1E" w:rsidRDefault="003244CE" w:rsidP="009C40C0">
            <w:pPr>
              <w:pStyle w:val="Tabletext"/>
              <w:jc w:val="center"/>
              <w:rPr>
                <w:sz w:val="16"/>
                <w:szCs w:val="16"/>
                <w:lang w:eastAsia="ja-JP"/>
              </w:rPr>
            </w:pPr>
            <w:r w:rsidRPr="00A73A1E">
              <w:rPr>
                <w:sz w:val="16"/>
                <w:szCs w:val="16"/>
                <w:lang w:eastAsia="ja-JP"/>
              </w:rPr>
              <w:t>30</w:t>
            </w:r>
          </w:p>
        </w:tc>
        <w:tc>
          <w:tcPr>
            <w:tcW w:w="711" w:type="dxa"/>
            <w:tcBorders>
              <w:top w:val="single" w:sz="4" w:space="0" w:color="auto"/>
              <w:left w:val="single" w:sz="4" w:space="0" w:color="auto"/>
              <w:bottom w:val="single" w:sz="4" w:space="0" w:color="auto"/>
              <w:right w:val="single" w:sz="4" w:space="0" w:color="auto"/>
            </w:tcBorders>
            <w:vAlign w:val="center"/>
          </w:tcPr>
          <w:p w14:paraId="43FD4A5E" w14:textId="77777777" w:rsidR="003244CE" w:rsidRPr="00A73A1E" w:rsidRDefault="003244CE" w:rsidP="009C40C0">
            <w:pPr>
              <w:pStyle w:val="Tabletext"/>
              <w:jc w:val="center"/>
              <w:rPr>
                <w:sz w:val="16"/>
                <w:szCs w:val="16"/>
                <w:lang w:eastAsia="ja-JP"/>
              </w:rPr>
            </w:pPr>
            <w:r w:rsidRPr="00A73A1E">
              <w:rPr>
                <w:sz w:val="16"/>
                <w:szCs w:val="16"/>
                <w:lang w:eastAsia="ja-JP"/>
              </w:rPr>
              <w:t>32</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671ADD26" w14:textId="77777777" w:rsidR="003244CE" w:rsidRPr="00A73A1E" w:rsidRDefault="003244CE" w:rsidP="009C40C0">
            <w:pPr>
              <w:pStyle w:val="Tabletext"/>
              <w:jc w:val="center"/>
              <w:rPr>
                <w:sz w:val="16"/>
                <w:szCs w:val="16"/>
                <w:lang w:eastAsia="ja-JP"/>
              </w:rPr>
            </w:pPr>
            <w:r w:rsidRPr="00A73A1E">
              <w:rPr>
                <w:sz w:val="16"/>
                <w:szCs w:val="16"/>
                <w:lang w:eastAsia="ja-JP"/>
              </w:rPr>
              <w:t>30</w:t>
            </w:r>
          </w:p>
        </w:tc>
        <w:tc>
          <w:tcPr>
            <w:tcW w:w="735" w:type="dxa"/>
            <w:tcBorders>
              <w:top w:val="single" w:sz="4" w:space="0" w:color="auto"/>
              <w:left w:val="single" w:sz="4" w:space="0" w:color="auto"/>
              <w:bottom w:val="single" w:sz="4" w:space="0" w:color="auto"/>
              <w:right w:val="single" w:sz="4" w:space="0" w:color="auto"/>
            </w:tcBorders>
            <w:vAlign w:val="center"/>
          </w:tcPr>
          <w:p w14:paraId="0CA2F551" w14:textId="77777777" w:rsidR="003244CE" w:rsidRPr="00A73A1E" w:rsidDel="007508B4" w:rsidRDefault="003244CE" w:rsidP="009C40C0">
            <w:pPr>
              <w:pStyle w:val="Tabletext"/>
              <w:jc w:val="center"/>
              <w:rPr>
                <w:sz w:val="16"/>
                <w:szCs w:val="16"/>
                <w:lang w:eastAsia="ja-JP"/>
              </w:rPr>
            </w:pPr>
            <w:r w:rsidRPr="00A73A1E">
              <w:rPr>
                <w:sz w:val="16"/>
                <w:szCs w:val="16"/>
                <w:lang w:eastAsia="ja-JP"/>
              </w:rPr>
              <w:t>24</w:t>
            </w:r>
          </w:p>
        </w:tc>
        <w:tc>
          <w:tcPr>
            <w:tcW w:w="642" w:type="dxa"/>
            <w:tcBorders>
              <w:top w:val="single" w:sz="4" w:space="0" w:color="auto"/>
              <w:left w:val="single" w:sz="4" w:space="0" w:color="auto"/>
              <w:bottom w:val="single" w:sz="4" w:space="0" w:color="auto"/>
              <w:right w:val="single" w:sz="4" w:space="0" w:color="auto"/>
            </w:tcBorders>
            <w:vAlign w:val="center"/>
          </w:tcPr>
          <w:p w14:paraId="62A9D73A" w14:textId="77777777" w:rsidR="003244CE" w:rsidRPr="00A73A1E" w:rsidRDefault="003244CE" w:rsidP="009C40C0">
            <w:pPr>
              <w:pStyle w:val="Tabletext"/>
              <w:jc w:val="center"/>
              <w:rPr>
                <w:sz w:val="16"/>
                <w:szCs w:val="16"/>
                <w:lang w:eastAsia="ja-JP"/>
              </w:rPr>
            </w:pPr>
            <w:r w:rsidRPr="00A73A1E">
              <w:rPr>
                <w:sz w:val="16"/>
                <w:szCs w:val="16"/>
                <w:lang w:eastAsia="ja-JP"/>
              </w:rPr>
              <w:t>32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B2ABC1" w14:textId="77777777" w:rsidR="003244CE" w:rsidRPr="00A73A1E" w:rsidRDefault="003244CE" w:rsidP="009C40C0">
            <w:pPr>
              <w:pStyle w:val="Tabletext"/>
              <w:jc w:val="center"/>
              <w:rPr>
                <w:sz w:val="16"/>
                <w:szCs w:val="16"/>
                <w:lang w:eastAsia="ja-JP"/>
              </w:rPr>
            </w:pPr>
            <w:r w:rsidRPr="00A73A1E">
              <w:rPr>
                <w:sz w:val="16"/>
                <w:szCs w:val="16"/>
                <w:lang w:eastAsia="ja-JP"/>
              </w:rPr>
              <w:t>30</w:t>
            </w:r>
          </w:p>
        </w:tc>
        <w:tc>
          <w:tcPr>
            <w:tcW w:w="956" w:type="dxa"/>
            <w:tcBorders>
              <w:top w:val="single" w:sz="4" w:space="0" w:color="auto"/>
              <w:left w:val="single" w:sz="4" w:space="0" w:color="auto"/>
              <w:bottom w:val="single" w:sz="4" w:space="0" w:color="auto"/>
              <w:right w:val="single" w:sz="4" w:space="0" w:color="auto"/>
            </w:tcBorders>
            <w:vAlign w:val="center"/>
          </w:tcPr>
          <w:p w14:paraId="6973E33A" w14:textId="77777777" w:rsidR="003244CE" w:rsidRPr="00A73A1E" w:rsidRDefault="003244CE" w:rsidP="009C40C0">
            <w:pPr>
              <w:pStyle w:val="Tabletext"/>
              <w:jc w:val="center"/>
              <w:rPr>
                <w:sz w:val="16"/>
                <w:szCs w:val="16"/>
                <w:lang w:eastAsia="ja-JP"/>
              </w:rPr>
            </w:pPr>
            <w:r w:rsidRPr="00A73A1E">
              <w:rPr>
                <w:sz w:val="16"/>
                <w:szCs w:val="16"/>
                <w:lang w:eastAsia="ja-JP"/>
              </w:rPr>
              <w:t>24</w:t>
            </w:r>
          </w:p>
        </w:tc>
      </w:tr>
      <w:tr w:rsidR="003244CE" w:rsidRPr="00A73A1E" w14:paraId="58DB6A76" w14:textId="77777777" w:rsidTr="000E2BC3">
        <w:trPr>
          <w:cantSplit/>
          <w:jc w:val="center"/>
        </w:trPr>
        <w:tc>
          <w:tcPr>
            <w:tcW w:w="2033" w:type="dxa"/>
            <w:tcBorders>
              <w:top w:val="single" w:sz="4" w:space="0" w:color="auto"/>
              <w:left w:val="single" w:sz="4" w:space="0" w:color="auto"/>
              <w:bottom w:val="single" w:sz="4" w:space="0" w:color="auto"/>
              <w:right w:val="single" w:sz="4" w:space="0" w:color="auto"/>
            </w:tcBorders>
          </w:tcPr>
          <w:p w14:paraId="5F93F0F7" w14:textId="77777777" w:rsidR="003244CE" w:rsidRPr="00A73A1E" w:rsidRDefault="003244CE" w:rsidP="000E2BC3">
            <w:pPr>
              <w:pStyle w:val="Tabletext"/>
              <w:jc w:val="left"/>
              <w:rPr>
                <w:rFonts w:eastAsia="MS PGothic"/>
                <w:sz w:val="16"/>
                <w:szCs w:val="16"/>
              </w:rPr>
            </w:pPr>
            <w:r w:rsidRPr="00A73A1E">
              <w:rPr>
                <w:rFonts w:eastAsia="MS PGothic"/>
                <w:sz w:val="16"/>
                <w:szCs w:val="16"/>
              </w:rPr>
              <w:t>Pre-correlation filter 3 dB bandwidth (MHz)</w:t>
            </w:r>
          </w:p>
        </w:tc>
        <w:tc>
          <w:tcPr>
            <w:tcW w:w="1172" w:type="dxa"/>
            <w:tcBorders>
              <w:top w:val="single" w:sz="4" w:space="0" w:color="auto"/>
              <w:left w:val="single" w:sz="4" w:space="0" w:color="auto"/>
              <w:bottom w:val="single" w:sz="4" w:space="0" w:color="auto"/>
              <w:right w:val="single" w:sz="4" w:space="0" w:color="auto"/>
            </w:tcBorders>
            <w:vAlign w:val="center"/>
          </w:tcPr>
          <w:p w14:paraId="49901FB4" w14:textId="77777777" w:rsidR="003244CE" w:rsidRPr="00A73A1E" w:rsidRDefault="003244CE" w:rsidP="009C40C0">
            <w:pPr>
              <w:pStyle w:val="Tabletext"/>
              <w:jc w:val="center"/>
              <w:rPr>
                <w:rFonts w:eastAsia="MS PGothic"/>
                <w:sz w:val="16"/>
                <w:szCs w:val="16"/>
              </w:rPr>
            </w:pPr>
            <w:r w:rsidRPr="00A73A1E">
              <w:rPr>
                <w:sz w:val="16"/>
                <w:szCs w:val="16"/>
              </w:rPr>
              <w:t>20.46</w:t>
            </w:r>
          </w:p>
        </w:tc>
        <w:tc>
          <w:tcPr>
            <w:tcW w:w="1009" w:type="dxa"/>
            <w:tcBorders>
              <w:top w:val="single" w:sz="4" w:space="0" w:color="auto"/>
              <w:left w:val="single" w:sz="4" w:space="0" w:color="auto"/>
              <w:bottom w:val="single" w:sz="4" w:space="0" w:color="auto"/>
              <w:right w:val="single" w:sz="4" w:space="0" w:color="auto"/>
            </w:tcBorders>
            <w:vAlign w:val="center"/>
          </w:tcPr>
          <w:p w14:paraId="391D0C6A" w14:textId="77777777" w:rsidR="003244CE" w:rsidRPr="00A73A1E" w:rsidRDefault="003244CE" w:rsidP="009C40C0">
            <w:pPr>
              <w:pStyle w:val="Tabletext"/>
              <w:jc w:val="center"/>
              <w:rPr>
                <w:sz w:val="16"/>
                <w:szCs w:val="16"/>
                <w:lang w:eastAsia="ja-JP"/>
              </w:rPr>
            </w:pPr>
            <w:r w:rsidRPr="00A73A1E">
              <w:rPr>
                <w:sz w:val="16"/>
                <w:szCs w:val="16"/>
              </w:rPr>
              <w:t>20.46</w:t>
            </w:r>
          </w:p>
        </w:tc>
        <w:tc>
          <w:tcPr>
            <w:tcW w:w="917" w:type="dxa"/>
            <w:tcBorders>
              <w:top w:val="single" w:sz="4" w:space="0" w:color="auto"/>
              <w:left w:val="single" w:sz="4" w:space="0" w:color="auto"/>
              <w:bottom w:val="single" w:sz="4" w:space="0" w:color="auto"/>
              <w:right w:val="single" w:sz="4" w:space="0" w:color="auto"/>
            </w:tcBorders>
            <w:vAlign w:val="center"/>
          </w:tcPr>
          <w:p w14:paraId="2A72180C" w14:textId="77777777" w:rsidR="003244CE" w:rsidRPr="00A73A1E" w:rsidRDefault="003244CE" w:rsidP="009C40C0">
            <w:pPr>
              <w:pStyle w:val="Tabletext"/>
              <w:jc w:val="center"/>
              <w:rPr>
                <w:sz w:val="16"/>
                <w:szCs w:val="16"/>
              </w:rPr>
            </w:pPr>
            <w:r w:rsidRPr="00A73A1E">
              <w:rPr>
                <w:sz w:val="16"/>
                <w:szCs w:val="16"/>
                <w:lang w:eastAsia="ja-JP"/>
              </w:rPr>
              <w:t>20.46</w:t>
            </w:r>
          </w:p>
        </w:tc>
        <w:tc>
          <w:tcPr>
            <w:tcW w:w="917" w:type="dxa"/>
            <w:tcBorders>
              <w:top w:val="single" w:sz="4" w:space="0" w:color="auto"/>
              <w:left w:val="single" w:sz="4" w:space="0" w:color="auto"/>
              <w:bottom w:val="single" w:sz="4" w:space="0" w:color="auto"/>
              <w:right w:val="single" w:sz="4" w:space="0" w:color="auto"/>
            </w:tcBorders>
            <w:vAlign w:val="center"/>
          </w:tcPr>
          <w:p w14:paraId="76116085" w14:textId="77777777" w:rsidR="003244CE" w:rsidRPr="00A73A1E" w:rsidRDefault="003244CE" w:rsidP="009C40C0">
            <w:pPr>
              <w:pStyle w:val="Tabletext"/>
              <w:jc w:val="center"/>
              <w:rPr>
                <w:sz w:val="16"/>
                <w:szCs w:val="16"/>
              </w:rPr>
            </w:pPr>
            <w:r w:rsidRPr="00A73A1E">
              <w:rPr>
                <w:sz w:val="16"/>
                <w:szCs w:val="16"/>
                <w:lang w:eastAsia="ja-JP"/>
              </w:rPr>
              <w:t>20.46</w:t>
            </w:r>
          </w:p>
        </w:tc>
        <w:tc>
          <w:tcPr>
            <w:tcW w:w="826" w:type="dxa"/>
            <w:tcBorders>
              <w:top w:val="single" w:sz="4" w:space="0" w:color="auto"/>
              <w:left w:val="single" w:sz="4" w:space="0" w:color="auto"/>
              <w:bottom w:val="single" w:sz="4" w:space="0" w:color="auto"/>
              <w:right w:val="single" w:sz="4" w:space="0" w:color="auto"/>
            </w:tcBorders>
            <w:vAlign w:val="center"/>
          </w:tcPr>
          <w:p w14:paraId="13B0B831" w14:textId="77777777" w:rsidR="003244CE" w:rsidRPr="00A73A1E" w:rsidRDefault="003244CE" w:rsidP="009C40C0">
            <w:pPr>
              <w:pStyle w:val="Tabletext"/>
              <w:jc w:val="center"/>
              <w:rPr>
                <w:sz w:val="16"/>
                <w:szCs w:val="16"/>
                <w:lang w:eastAsia="ja-JP"/>
              </w:rPr>
            </w:pPr>
            <w:r w:rsidRPr="00A73A1E">
              <w:rPr>
                <w:sz w:val="16"/>
                <w:szCs w:val="16"/>
                <w:lang w:eastAsia="ja-JP"/>
              </w:rPr>
              <w:t>40.92</w:t>
            </w:r>
            <w:r w:rsidRPr="00A73A1E">
              <w:rPr>
                <w:rFonts w:eastAsia="MS PGothic"/>
                <w:sz w:val="16"/>
                <w:szCs w:val="16"/>
              </w:rPr>
              <w:br/>
            </w:r>
            <w:r w:rsidRPr="00A73A1E">
              <w:rPr>
                <w:sz w:val="16"/>
                <w:szCs w:val="16"/>
                <w:lang w:eastAsia="ja-JP"/>
              </w:rPr>
              <w:t>(Note 18)</w:t>
            </w:r>
          </w:p>
        </w:tc>
        <w:tc>
          <w:tcPr>
            <w:tcW w:w="826" w:type="dxa"/>
            <w:tcBorders>
              <w:top w:val="single" w:sz="4" w:space="0" w:color="auto"/>
              <w:left w:val="single" w:sz="4" w:space="0" w:color="auto"/>
              <w:bottom w:val="single" w:sz="4" w:space="0" w:color="auto"/>
              <w:right w:val="single" w:sz="4" w:space="0" w:color="auto"/>
            </w:tcBorders>
            <w:vAlign w:val="center"/>
          </w:tcPr>
          <w:p w14:paraId="7D96FC99" w14:textId="77777777" w:rsidR="003244CE" w:rsidRPr="00A73A1E" w:rsidRDefault="003244CE" w:rsidP="009C40C0">
            <w:pPr>
              <w:pStyle w:val="Tabletext"/>
              <w:jc w:val="center"/>
              <w:rPr>
                <w:sz w:val="16"/>
                <w:szCs w:val="16"/>
                <w:lang w:eastAsia="ja-JP"/>
              </w:rPr>
            </w:pPr>
            <w:r w:rsidRPr="00A73A1E">
              <w:rPr>
                <w:sz w:val="16"/>
                <w:szCs w:val="16"/>
                <w:lang w:eastAsia="ja-JP"/>
              </w:rPr>
              <w:t>42.0</w:t>
            </w:r>
            <w:r w:rsidRPr="00A73A1E">
              <w:rPr>
                <w:rFonts w:eastAsia="MS PGothic"/>
                <w:sz w:val="16"/>
                <w:szCs w:val="16"/>
              </w:rPr>
              <w:br/>
            </w:r>
            <w:r w:rsidRPr="00A73A1E">
              <w:rPr>
                <w:sz w:val="16"/>
                <w:szCs w:val="16"/>
                <w:lang w:eastAsia="ja-JP"/>
              </w:rPr>
              <w:t>(Note 18)</w:t>
            </w:r>
          </w:p>
        </w:tc>
        <w:tc>
          <w:tcPr>
            <w:tcW w:w="1509" w:type="dxa"/>
            <w:tcBorders>
              <w:top w:val="single" w:sz="4" w:space="0" w:color="auto"/>
              <w:left w:val="single" w:sz="4" w:space="0" w:color="auto"/>
              <w:bottom w:val="single" w:sz="4" w:space="0" w:color="auto"/>
              <w:right w:val="single" w:sz="4" w:space="0" w:color="auto"/>
            </w:tcBorders>
            <w:vAlign w:val="center"/>
          </w:tcPr>
          <w:p w14:paraId="246580C1" w14:textId="77777777" w:rsidR="003244CE" w:rsidRPr="00A73A1E" w:rsidRDefault="003244CE" w:rsidP="009C40C0">
            <w:pPr>
              <w:pStyle w:val="Tabletext"/>
              <w:jc w:val="center"/>
              <w:rPr>
                <w:sz w:val="16"/>
                <w:szCs w:val="16"/>
                <w:lang w:eastAsia="ja-JP"/>
              </w:rPr>
            </w:pPr>
            <w:r w:rsidRPr="00A73A1E">
              <w:rPr>
                <w:sz w:val="16"/>
                <w:szCs w:val="16"/>
                <w:lang w:eastAsia="ja-JP"/>
              </w:rPr>
              <w:t>20</w:t>
            </w:r>
          </w:p>
        </w:tc>
        <w:tc>
          <w:tcPr>
            <w:tcW w:w="639" w:type="dxa"/>
            <w:tcBorders>
              <w:top w:val="single" w:sz="4" w:space="0" w:color="auto"/>
              <w:left w:val="single" w:sz="4" w:space="0" w:color="auto"/>
              <w:bottom w:val="single" w:sz="4" w:space="0" w:color="auto"/>
              <w:right w:val="single" w:sz="4" w:space="0" w:color="auto"/>
            </w:tcBorders>
            <w:vAlign w:val="center"/>
          </w:tcPr>
          <w:p w14:paraId="650939AA" w14:textId="77777777" w:rsidR="003244CE" w:rsidRPr="00A73A1E" w:rsidRDefault="003244CE" w:rsidP="009C40C0">
            <w:pPr>
              <w:pStyle w:val="Tabletext"/>
              <w:jc w:val="center"/>
              <w:rPr>
                <w:sz w:val="16"/>
                <w:szCs w:val="16"/>
                <w:lang w:eastAsia="ja-JP"/>
              </w:rPr>
            </w:pPr>
            <w:r w:rsidRPr="00A73A1E">
              <w:rPr>
                <w:sz w:val="16"/>
                <w:szCs w:val="16"/>
                <w:lang w:eastAsia="ja-JP"/>
              </w:rPr>
              <w:t>25</w:t>
            </w:r>
          </w:p>
        </w:tc>
        <w:tc>
          <w:tcPr>
            <w:tcW w:w="711" w:type="dxa"/>
            <w:tcBorders>
              <w:top w:val="single" w:sz="4" w:space="0" w:color="auto"/>
              <w:left w:val="single" w:sz="4" w:space="0" w:color="auto"/>
              <w:bottom w:val="single" w:sz="4" w:space="0" w:color="auto"/>
              <w:right w:val="single" w:sz="4" w:space="0" w:color="auto"/>
            </w:tcBorders>
            <w:vAlign w:val="center"/>
          </w:tcPr>
          <w:p w14:paraId="2DF60886" w14:textId="77777777" w:rsidR="003244CE" w:rsidRPr="00A73A1E" w:rsidRDefault="003244CE" w:rsidP="009C40C0">
            <w:pPr>
              <w:pStyle w:val="Tabletext"/>
              <w:jc w:val="center"/>
              <w:rPr>
                <w:sz w:val="16"/>
                <w:szCs w:val="16"/>
                <w:lang w:eastAsia="ja-JP"/>
              </w:rPr>
            </w:pPr>
            <w:r w:rsidRPr="00A73A1E">
              <w:rPr>
                <w:sz w:val="16"/>
                <w:szCs w:val="16"/>
                <w:lang w:eastAsia="ja-JP"/>
              </w:rPr>
              <w:t>2</w:t>
            </w:r>
          </w:p>
        </w:tc>
        <w:tc>
          <w:tcPr>
            <w:tcW w:w="693" w:type="dxa"/>
            <w:tcBorders>
              <w:top w:val="single" w:sz="4" w:space="0" w:color="auto"/>
              <w:left w:val="single" w:sz="4" w:space="0" w:color="auto"/>
              <w:bottom w:val="single" w:sz="4" w:space="0" w:color="auto"/>
              <w:right w:val="single" w:sz="4" w:space="0" w:color="auto"/>
            </w:tcBorders>
            <w:vAlign w:val="center"/>
          </w:tcPr>
          <w:p w14:paraId="52B1C762" w14:textId="77777777" w:rsidR="003244CE" w:rsidRPr="00A73A1E" w:rsidRDefault="003244CE" w:rsidP="009C40C0">
            <w:pPr>
              <w:pStyle w:val="Tabletext"/>
              <w:jc w:val="center"/>
              <w:rPr>
                <w:sz w:val="16"/>
                <w:szCs w:val="16"/>
                <w:lang w:eastAsia="ja-JP"/>
              </w:rPr>
            </w:pPr>
            <w:r w:rsidRPr="00A73A1E">
              <w:rPr>
                <w:sz w:val="16"/>
                <w:szCs w:val="16"/>
                <w:lang w:eastAsia="ja-JP"/>
              </w:rPr>
              <w:t>20</w:t>
            </w:r>
          </w:p>
        </w:tc>
        <w:tc>
          <w:tcPr>
            <w:tcW w:w="590" w:type="dxa"/>
            <w:tcBorders>
              <w:top w:val="single" w:sz="4" w:space="0" w:color="auto"/>
              <w:left w:val="single" w:sz="4" w:space="0" w:color="auto"/>
              <w:bottom w:val="single" w:sz="4" w:space="0" w:color="auto"/>
              <w:right w:val="single" w:sz="4" w:space="0" w:color="auto"/>
            </w:tcBorders>
            <w:vAlign w:val="center"/>
          </w:tcPr>
          <w:p w14:paraId="093AD81E" w14:textId="77777777" w:rsidR="003244CE" w:rsidRPr="00A73A1E" w:rsidRDefault="003244CE" w:rsidP="009C40C0">
            <w:pPr>
              <w:pStyle w:val="Tabletext"/>
              <w:jc w:val="center"/>
              <w:rPr>
                <w:sz w:val="16"/>
                <w:szCs w:val="16"/>
                <w:lang w:eastAsia="ja-JP"/>
              </w:rPr>
            </w:pPr>
            <w:r w:rsidRPr="00A73A1E">
              <w:rPr>
                <w:sz w:val="16"/>
                <w:szCs w:val="16"/>
                <w:lang w:eastAsia="ja-JP"/>
              </w:rPr>
              <w:t>25</w:t>
            </w:r>
          </w:p>
        </w:tc>
        <w:tc>
          <w:tcPr>
            <w:tcW w:w="735" w:type="dxa"/>
            <w:tcBorders>
              <w:top w:val="single" w:sz="4" w:space="0" w:color="auto"/>
              <w:left w:val="single" w:sz="4" w:space="0" w:color="auto"/>
              <w:bottom w:val="single" w:sz="4" w:space="0" w:color="auto"/>
              <w:right w:val="single" w:sz="4" w:space="0" w:color="auto"/>
            </w:tcBorders>
            <w:vAlign w:val="center"/>
          </w:tcPr>
          <w:p w14:paraId="31819E63" w14:textId="77777777" w:rsidR="003244CE" w:rsidRPr="00A73A1E" w:rsidDel="007508B4" w:rsidRDefault="003244CE" w:rsidP="009C40C0">
            <w:pPr>
              <w:pStyle w:val="Tabletext"/>
              <w:jc w:val="center"/>
              <w:rPr>
                <w:sz w:val="16"/>
                <w:szCs w:val="16"/>
                <w:lang w:eastAsia="ja-JP"/>
              </w:rPr>
            </w:pPr>
            <w:r w:rsidRPr="00A73A1E">
              <w:rPr>
                <w:sz w:val="16"/>
                <w:szCs w:val="16"/>
                <w:lang w:eastAsia="ja-JP"/>
              </w:rPr>
              <w:t>20.46</w:t>
            </w:r>
          </w:p>
        </w:tc>
        <w:tc>
          <w:tcPr>
            <w:tcW w:w="642" w:type="dxa"/>
            <w:tcBorders>
              <w:top w:val="single" w:sz="4" w:space="0" w:color="auto"/>
              <w:left w:val="single" w:sz="4" w:space="0" w:color="auto"/>
              <w:bottom w:val="single" w:sz="4" w:space="0" w:color="auto"/>
              <w:right w:val="single" w:sz="4" w:space="0" w:color="auto"/>
            </w:tcBorders>
            <w:vAlign w:val="center"/>
          </w:tcPr>
          <w:p w14:paraId="54A60B3D" w14:textId="77777777" w:rsidR="003244CE" w:rsidRPr="00A73A1E" w:rsidRDefault="003244CE" w:rsidP="009C40C0">
            <w:pPr>
              <w:pStyle w:val="Tabletext"/>
              <w:jc w:val="center"/>
              <w:rPr>
                <w:sz w:val="16"/>
                <w:szCs w:val="16"/>
                <w:lang w:eastAsia="ja-JP"/>
              </w:rPr>
            </w:pPr>
            <w:r w:rsidRPr="00A73A1E">
              <w:rPr>
                <w:sz w:val="16"/>
                <w:szCs w:val="16"/>
                <w:lang w:eastAsia="ja-JP"/>
              </w:rPr>
              <w:t>2</w:t>
            </w:r>
          </w:p>
        </w:tc>
        <w:tc>
          <w:tcPr>
            <w:tcW w:w="642" w:type="dxa"/>
            <w:tcBorders>
              <w:top w:val="single" w:sz="4" w:space="0" w:color="auto"/>
              <w:left w:val="single" w:sz="4" w:space="0" w:color="auto"/>
              <w:bottom w:val="single" w:sz="4" w:space="0" w:color="auto"/>
              <w:right w:val="single" w:sz="4" w:space="0" w:color="auto"/>
            </w:tcBorders>
            <w:vAlign w:val="center"/>
          </w:tcPr>
          <w:p w14:paraId="010A03BF" w14:textId="77777777" w:rsidR="003244CE" w:rsidRPr="00A73A1E" w:rsidRDefault="003244CE" w:rsidP="009C40C0">
            <w:pPr>
              <w:pStyle w:val="Tabletext"/>
              <w:jc w:val="center"/>
              <w:rPr>
                <w:sz w:val="16"/>
                <w:szCs w:val="16"/>
                <w:lang w:eastAsia="ja-JP"/>
              </w:rPr>
            </w:pPr>
            <w:r w:rsidRPr="00A73A1E">
              <w:rPr>
                <w:sz w:val="16"/>
                <w:szCs w:val="16"/>
                <w:lang w:eastAsia="ja-JP"/>
              </w:rPr>
              <w:t>20</w:t>
            </w:r>
          </w:p>
        </w:tc>
        <w:tc>
          <w:tcPr>
            <w:tcW w:w="492" w:type="dxa"/>
            <w:tcBorders>
              <w:top w:val="single" w:sz="4" w:space="0" w:color="auto"/>
              <w:left w:val="single" w:sz="4" w:space="0" w:color="auto"/>
              <w:bottom w:val="single" w:sz="4" w:space="0" w:color="auto"/>
              <w:right w:val="single" w:sz="4" w:space="0" w:color="auto"/>
            </w:tcBorders>
            <w:vAlign w:val="center"/>
          </w:tcPr>
          <w:p w14:paraId="783E6F08" w14:textId="77777777" w:rsidR="003244CE" w:rsidRPr="00A73A1E" w:rsidRDefault="003244CE" w:rsidP="009C40C0">
            <w:pPr>
              <w:pStyle w:val="Tabletext"/>
              <w:jc w:val="center"/>
              <w:rPr>
                <w:sz w:val="16"/>
                <w:szCs w:val="16"/>
                <w:lang w:eastAsia="ja-JP"/>
              </w:rPr>
            </w:pPr>
            <w:r w:rsidRPr="00A73A1E">
              <w:rPr>
                <w:sz w:val="16"/>
                <w:szCs w:val="16"/>
                <w:lang w:eastAsia="ja-JP"/>
              </w:rPr>
              <w:t>25</w:t>
            </w:r>
          </w:p>
        </w:tc>
        <w:tc>
          <w:tcPr>
            <w:tcW w:w="956" w:type="dxa"/>
            <w:tcBorders>
              <w:top w:val="single" w:sz="4" w:space="0" w:color="auto"/>
              <w:left w:val="single" w:sz="4" w:space="0" w:color="auto"/>
              <w:bottom w:val="single" w:sz="4" w:space="0" w:color="auto"/>
              <w:right w:val="single" w:sz="4" w:space="0" w:color="auto"/>
            </w:tcBorders>
            <w:vAlign w:val="center"/>
          </w:tcPr>
          <w:p w14:paraId="0E366C0A" w14:textId="77777777" w:rsidR="003244CE" w:rsidRPr="00A73A1E" w:rsidRDefault="003244CE" w:rsidP="009C40C0">
            <w:pPr>
              <w:pStyle w:val="Tabletext"/>
              <w:jc w:val="center"/>
              <w:rPr>
                <w:sz w:val="16"/>
                <w:szCs w:val="16"/>
                <w:lang w:eastAsia="ja-JP"/>
              </w:rPr>
            </w:pPr>
            <w:r w:rsidRPr="00A73A1E">
              <w:rPr>
                <w:sz w:val="16"/>
                <w:szCs w:val="16"/>
                <w:lang w:eastAsia="ja-JP"/>
              </w:rPr>
              <w:t>20.46</w:t>
            </w:r>
          </w:p>
        </w:tc>
      </w:tr>
      <w:tr w:rsidR="003244CE" w:rsidRPr="00A73A1E" w14:paraId="0811F303" w14:textId="77777777" w:rsidTr="000E2BC3">
        <w:trPr>
          <w:cantSplit/>
          <w:jc w:val="center"/>
        </w:trPr>
        <w:tc>
          <w:tcPr>
            <w:tcW w:w="2033" w:type="dxa"/>
            <w:tcBorders>
              <w:top w:val="single" w:sz="4" w:space="0" w:color="auto"/>
              <w:left w:val="single" w:sz="4" w:space="0" w:color="auto"/>
              <w:bottom w:val="single" w:sz="4" w:space="0" w:color="auto"/>
              <w:right w:val="single" w:sz="4" w:space="0" w:color="auto"/>
            </w:tcBorders>
          </w:tcPr>
          <w:p w14:paraId="74901EDC" w14:textId="77777777" w:rsidR="003244CE" w:rsidRPr="00A73A1E" w:rsidRDefault="003244CE" w:rsidP="000E2BC3">
            <w:pPr>
              <w:pStyle w:val="Tabletext"/>
              <w:jc w:val="left"/>
              <w:rPr>
                <w:rFonts w:eastAsia="MS PGothic"/>
                <w:sz w:val="16"/>
                <w:szCs w:val="16"/>
              </w:rPr>
            </w:pPr>
            <w:r w:rsidRPr="00A73A1E">
              <w:rPr>
                <w:rFonts w:eastAsia="MS PGothic"/>
                <w:sz w:val="16"/>
                <w:szCs w:val="16"/>
              </w:rPr>
              <w:t>Receiver system noise temperature (K)</w:t>
            </w:r>
          </w:p>
        </w:tc>
        <w:tc>
          <w:tcPr>
            <w:tcW w:w="1172" w:type="dxa"/>
            <w:tcBorders>
              <w:top w:val="single" w:sz="4" w:space="0" w:color="auto"/>
              <w:left w:val="single" w:sz="4" w:space="0" w:color="auto"/>
              <w:bottom w:val="single" w:sz="4" w:space="0" w:color="auto"/>
              <w:right w:val="single" w:sz="4" w:space="0" w:color="auto"/>
            </w:tcBorders>
            <w:vAlign w:val="center"/>
          </w:tcPr>
          <w:p w14:paraId="57FCD0A3"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513</w:t>
            </w:r>
          </w:p>
        </w:tc>
        <w:tc>
          <w:tcPr>
            <w:tcW w:w="1009" w:type="dxa"/>
            <w:tcBorders>
              <w:top w:val="single" w:sz="4" w:space="0" w:color="auto"/>
              <w:left w:val="single" w:sz="4" w:space="0" w:color="auto"/>
              <w:bottom w:val="single" w:sz="4" w:space="0" w:color="auto"/>
              <w:right w:val="single" w:sz="4" w:space="0" w:color="auto"/>
            </w:tcBorders>
            <w:vAlign w:val="center"/>
          </w:tcPr>
          <w:p w14:paraId="18DCDAA7" w14:textId="77777777" w:rsidR="003244CE" w:rsidRPr="00A73A1E" w:rsidRDefault="003244CE" w:rsidP="009C40C0">
            <w:pPr>
              <w:pStyle w:val="Tabletext"/>
              <w:jc w:val="center"/>
              <w:rPr>
                <w:sz w:val="16"/>
                <w:szCs w:val="16"/>
                <w:lang w:eastAsia="ja-JP"/>
              </w:rPr>
            </w:pPr>
            <w:r w:rsidRPr="00A73A1E">
              <w:rPr>
                <w:rFonts w:eastAsia="MS PGothic"/>
                <w:sz w:val="16"/>
                <w:szCs w:val="16"/>
              </w:rPr>
              <w:t>513</w:t>
            </w:r>
          </w:p>
        </w:tc>
        <w:tc>
          <w:tcPr>
            <w:tcW w:w="917" w:type="dxa"/>
            <w:tcBorders>
              <w:top w:val="single" w:sz="4" w:space="0" w:color="auto"/>
              <w:left w:val="single" w:sz="4" w:space="0" w:color="auto"/>
              <w:bottom w:val="single" w:sz="4" w:space="0" w:color="auto"/>
              <w:right w:val="single" w:sz="4" w:space="0" w:color="auto"/>
            </w:tcBorders>
            <w:vAlign w:val="center"/>
          </w:tcPr>
          <w:p w14:paraId="6BBCFF8C" w14:textId="77777777" w:rsidR="003244CE" w:rsidRPr="00A73A1E" w:rsidRDefault="003244CE" w:rsidP="009C40C0">
            <w:pPr>
              <w:pStyle w:val="Tabletext"/>
              <w:jc w:val="center"/>
              <w:rPr>
                <w:rFonts w:eastAsia="MS PGothic"/>
                <w:sz w:val="16"/>
                <w:szCs w:val="16"/>
              </w:rPr>
            </w:pPr>
            <w:r w:rsidRPr="00A73A1E">
              <w:rPr>
                <w:sz w:val="16"/>
                <w:szCs w:val="16"/>
                <w:lang w:eastAsia="ja-JP"/>
              </w:rPr>
              <w:t>513</w:t>
            </w:r>
          </w:p>
        </w:tc>
        <w:tc>
          <w:tcPr>
            <w:tcW w:w="917" w:type="dxa"/>
            <w:tcBorders>
              <w:top w:val="single" w:sz="4" w:space="0" w:color="auto"/>
              <w:left w:val="single" w:sz="4" w:space="0" w:color="auto"/>
              <w:bottom w:val="single" w:sz="4" w:space="0" w:color="auto"/>
              <w:right w:val="single" w:sz="4" w:space="0" w:color="auto"/>
            </w:tcBorders>
            <w:vAlign w:val="center"/>
          </w:tcPr>
          <w:p w14:paraId="4CA4979E" w14:textId="77777777" w:rsidR="003244CE" w:rsidRPr="00A73A1E" w:rsidRDefault="003244CE" w:rsidP="009C40C0">
            <w:pPr>
              <w:pStyle w:val="Tabletext"/>
              <w:jc w:val="center"/>
              <w:rPr>
                <w:rFonts w:eastAsia="MS PGothic"/>
                <w:sz w:val="16"/>
                <w:szCs w:val="16"/>
              </w:rPr>
            </w:pPr>
            <w:r w:rsidRPr="00A73A1E">
              <w:rPr>
                <w:sz w:val="16"/>
                <w:szCs w:val="16"/>
                <w:lang w:eastAsia="ja-JP"/>
              </w:rPr>
              <w:t>513</w:t>
            </w:r>
          </w:p>
        </w:tc>
        <w:tc>
          <w:tcPr>
            <w:tcW w:w="826" w:type="dxa"/>
            <w:tcBorders>
              <w:top w:val="single" w:sz="4" w:space="0" w:color="auto"/>
              <w:left w:val="single" w:sz="4" w:space="0" w:color="auto"/>
              <w:bottom w:val="single" w:sz="4" w:space="0" w:color="auto"/>
              <w:right w:val="single" w:sz="4" w:space="0" w:color="auto"/>
            </w:tcBorders>
            <w:vAlign w:val="center"/>
          </w:tcPr>
          <w:p w14:paraId="615968AE" w14:textId="77777777" w:rsidR="003244CE" w:rsidRPr="00A73A1E" w:rsidRDefault="003244CE" w:rsidP="009C40C0">
            <w:pPr>
              <w:pStyle w:val="Tabletext"/>
              <w:jc w:val="center"/>
              <w:rPr>
                <w:sz w:val="16"/>
                <w:szCs w:val="16"/>
                <w:lang w:eastAsia="ja-JP"/>
              </w:rPr>
            </w:pPr>
            <w:r w:rsidRPr="00A73A1E">
              <w:rPr>
                <w:sz w:val="16"/>
                <w:szCs w:val="16"/>
                <w:lang w:eastAsia="ja-JP"/>
              </w:rPr>
              <w:t>722</w:t>
            </w:r>
            <w:r w:rsidRPr="00A73A1E">
              <w:rPr>
                <w:rFonts w:eastAsia="MS PGothic"/>
                <w:sz w:val="16"/>
                <w:szCs w:val="16"/>
              </w:rPr>
              <w:br/>
            </w:r>
            <w:r w:rsidRPr="00A73A1E">
              <w:rPr>
                <w:sz w:val="16"/>
                <w:szCs w:val="16"/>
                <w:lang w:eastAsia="ja-JP"/>
              </w:rPr>
              <w:t>(Note 18)</w:t>
            </w:r>
          </w:p>
        </w:tc>
        <w:tc>
          <w:tcPr>
            <w:tcW w:w="826" w:type="dxa"/>
            <w:tcBorders>
              <w:top w:val="single" w:sz="4" w:space="0" w:color="auto"/>
              <w:left w:val="single" w:sz="4" w:space="0" w:color="auto"/>
              <w:bottom w:val="single" w:sz="4" w:space="0" w:color="auto"/>
              <w:right w:val="single" w:sz="4" w:space="0" w:color="auto"/>
            </w:tcBorders>
            <w:vAlign w:val="center"/>
          </w:tcPr>
          <w:p w14:paraId="3E11C4B6" w14:textId="77777777" w:rsidR="003244CE" w:rsidRPr="00A73A1E" w:rsidRDefault="003244CE" w:rsidP="009C40C0">
            <w:pPr>
              <w:pStyle w:val="Tabletext"/>
              <w:jc w:val="center"/>
              <w:rPr>
                <w:sz w:val="16"/>
                <w:szCs w:val="16"/>
                <w:lang w:eastAsia="ja-JP"/>
              </w:rPr>
            </w:pPr>
            <w:r w:rsidRPr="00A73A1E">
              <w:rPr>
                <w:sz w:val="16"/>
                <w:szCs w:val="16"/>
                <w:lang w:eastAsia="ja-JP"/>
              </w:rPr>
              <w:t>645</w:t>
            </w:r>
            <w:r w:rsidRPr="00A73A1E">
              <w:rPr>
                <w:rFonts w:eastAsia="MS PGothic"/>
                <w:sz w:val="16"/>
                <w:szCs w:val="16"/>
              </w:rPr>
              <w:br/>
            </w:r>
            <w:r w:rsidRPr="00A73A1E">
              <w:rPr>
                <w:sz w:val="16"/>
                <w:szCs w:val="16"/>
                <w:lang w:eastAsia="ja-JP"/>
              </w:rPr>
              <w:t>(Note 18)</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4AB44A5D" w14:textId="77777777" w:rsidR="003244CE" w:rsidRPr="00A73A1E" w:rsidRDefault="003244CE" w:rsidP="009C40C0">
            <w:pPr>
              <w:pStyle w:val="Tabletext"/>
              <w:jc w:val="center"/>
              <w:rPr>
                <w:sz w:val="16"/>
                <w:szCs w:val="16"/>
                <w:lang w:eastAsia="ja-JP"/>
              </w:rPr>
            </w:pPr>
            <w:r w:rsidRPr="00A73A1E">
              <w:rPr>
                <w:sz w:val="16"/>
                <w:szCs w:val="16"/>
                <w:lang w:eastAsia="ja-JP"/>
              </w:rPr>
              <w:t>400</w:t>
            </w:r>
          </w:p>
        </w:tc>
        <w:tc>
          <w:tcPr>
            <w:tcW w:w="1994" w:type="dxa"/>
            <w:gridSpan w:val="3"/>
            <w:tcBorders>
              <w:top w:val="single" w:sz="4" w:space="0" w:color="auto"/>
              <w:left w:val="single" w:sz="4" w:space="0" w:color="auto"/>
              <w:bottom w:val="single" w:sz="4" w:space="0" w:color="auto"/>
              <w:right w:val="single" w:sz="4" w:space="0" w:color="auto"/>
            </w:tcBorders>
            <w:vAlign w:val="center"/>
          </w:tcPr>
          <w:p w14:paraId="0195C03C" w14:textId="77777777" w:rsidR="003244CE" w:rsidRPr="00A73A1E" w:rsidRDefault="003244CE" w:rsidP="009C40C0">
            <w:pPr>
              <w:pStyle w:val="Tabletext"/>
              <w:jc w:val="center"/>
              <w:rPr>
                <w:sz w:val="16"/>
                <w:szCs w:val="16"/>
                <w:lang w:eastAsia="ja-JP"/>
              </w:rPr>
            </w:pPr>
            <w:r w:rsidRPr="00A73A1E">
              <w:rPr>
                <w:sz w:val="16"/>
                <w:szCs w:val="16"/>
                <w:lang w:eastAsia="ja-JP"/>
              </w:rPr>
              <w:t>645</w:t>
            </w:r>
          </w:p>
        </w:tc>
        <w:tc>
          <w:tcPr>
            <w:tcW w:w="735" w:type="dxa"/>
            <w:tcBorders>
              <w:top w:val="single" w:sz="4" w:space="0" w:color="auto"/>
              <w:left w:val="single" w:sz="4" w:space="0" w:color="auto"/>
              <w:bottom w:val="single" w:sz="4" w:space="0" w:color="auto"/>
              <w:right w:val="single" w:sz="4" w:space="0" w:color="auto"/>
            </w:tcBorders>
            <w:vAlign w:val="center"/>
          </w:tcPr>
          <w:p w14:paraId="68FC673B" w14:textId="77777777" w:rsidR="003244CE" w:rsidRPr="00A73A1E" w:rsidDel="007508B4" w:rsidRDefault="003244CE" w:rsidP="009C40C0">
            <w:pPr>
              <w:pStyle w:val="Tabletext"/>
              <w:jc w:val="center"/>
              <w:rPr>
                <w:sz w:val="16"/>
                <w:szCs w:val="16"/>
                <w:lang w:eastAsia="ja-JP"/>
              </w:rPr>
            </w:pPr>
            <w:r w:rsidRPr="00A73A1E">
              <w:rPr>
                <w:sz w:val="16"/>
                <w:szCs w:val="16"/>
                <w:lang w:eastAsia="ja-JP"/>
              </w:rPr>
              <w:t>330</w:t>
            </w:r>
          </w:p>
        </w:tc>
        <w:tc>
          <w:tcPr>
            <w:tcW w:w="1776" w:type="dxa"/>
            <w:gridSpan w:val="3"/>
            <w:tcBorders>
              <w:top w:val="single" w:sz="4" w:space="0" w:color="auto"/>
              <w:left w:val="single" w:sz="4" w:space="0" w:color="auto"/>
              <w:bottom w:val="single" w:sz="4" w:space="0" w:color="auto"/>
              <w:right w:val="single" w:sz="4" w:space="0" w:color="auto"/>
            </w:tcBorders>
            <w:vAlign w:val="center"/>
          </w:tcPr>
          <w:p w14:paraId="36112D6F" w14:textId="77777777" w:rsidR="003244CE" w:rsidRPr="00A73A1E" w:rsidRDefault="003244CE" w:rsidP="009C40C0">
            <w:pPr>
              <w:pStyle w:val="Tabletext"/>
              <w:jc w:val="center"/>
              <w:rPr>
                <w:sz w:val="16"/>
                <w:szCs w:val="16"/>
                <w:lang w:eastAsia="ja-JP"/>
              </w:rPr>
            </w:pPr>
            <w:r w:rsidRPr="00A73A1E">
              <w:rPr>
                <w:sz w:val="16"/>
                <w:szCs w:val="16"/>
                <w:lang w:eastAsia="ja-JP"/>
              </w:rPr>
              <w:t>645</w:t>
            </w:r>
          </w:p>
        </w:tc>
        <w:tc>
          <w:tcPr>
            <w:tcW w:w="956" w:type="dxa"/>
            <w:tcBorders>
              <w:top w:val="single" w:sz="4" w:space="0" w:color="auto"/>
              <w:left w:val="single" w:sz="4" w:space="0" w:color="auto"/>
              <w:bottom w:val="single" w:sz="4" w:space="0" w:color="auto"/>
              <w:right w:val="single" w:sz="4" w:space="0" w:color="auto"/>
            </w:tcBorders>
            <w:vAlign w:val="center"/>
          </w:tcPr>
          <w:p w14:paraId="4C08C8F3" w14:textId="77777777" w:rsidR="003244CE" w:rsidRPr="00A73A1E" w:rsidRDefault="003244CE" w:rsidP="009C40C0">
            <w:pPr>
              <w:pStyle w:val="Tabletext"/>
              <w:jc w:val="center"/>
              <w:rPr>
                <w:sz w:val="16"/>
                <w:szCs w:val="16"/>
                <w:lang w:eastAsia="ja-JP"/>
              </w:rPr>
            </w:pPr>
            <w:r w:rsidRPr="00A73A1E">
              <w:rPr>
                <w:sz w:val="16"/>
                <w:szCs w:val="16"/>
                <w:lang w:eastAsia="ja-JP"/>
              </w:rPr>
              <w:t>330</w:t>
            </w:r>
          </w:p>
        </w:tc>
      </w:tr>
      <w:tr w:rsidR="003244CE" w:rsidRPr="00A73A1E" w14:paraId="48E9245F" w14:textId="77777777" w:rsidTr="000E2BC3">
        <w:trPr>
          <w:cantSplit/>
          <w:jc w:val="center"/>
        </w:trPr>
        <w:tc>
          <w:tcPr>
            <w:tcW w:w="15309" w:type="dxa"/>
            <w:gridSpan w:val="17"/>
            <w:tcBorders>
              <w:top w:val="single" w:sz="4" w:space="0" w:color="auto"/>
              <w:left w:val="single" w:sz="4" w:space="0" w:color="auto"/>
              <w:bottom w:val="single" w:sz="4" w:space="0" w:color="auto"/>
              <w:right w:val="single" w:sz="4" w:space="0" w:color="auto"/>
            </w:tcBorders>
          </w:tcPr>
          <w:p w14:paraId="33A480AC" w14:textId="77777777" w:rsidR="003244CE" w:rsidRPr="00A73A1E" w:rsidRDefault="003244CE" w:rsidP="009C40C0">
            <w:pPr>
              <w:pStyle w:val="Tabletext"/>
              <w:rPr>
                <w:rFonts w:eastAsia="MS PGothic"/>
                <w:b/>
                <w:sz w:val="16"/>
                <w:szCs w:val="16"/>
              </w:rPr>
            </w:pPr>
            <w:r w:rsidRPr="00A73A1E">
              <w:rPr>
                <w:rFonts w:eastAsia="MS PGothic"/>
                <w:b/>
                <w:sz w:val="16"/>
                <w:szCs w:val="16"/>
              </w:rPr>
              <w:t>Thresholds for continuous interference</w:t>
            </w:r>
          </w:p>
        </w:tc>
      </w:tr>
      <w:tr w:rsidR="003244CE" w:rsidRPr="00A73A1E" w14:paraId="2F6339C9" w14:textId="77777777" w:rsidTr="000E2BC3">
        <w:trPr>
          <w:cantSplit/>
          <w:jc w:val="center"/>
        </w:trPr>
        <w:tc>
          <w:tcPr>
            <w:tcW w:w="2033" w:type="dxa"/>
            <w:tcBorders>
              <w:top w:val="single" w:sz="4" w:space="0" w:color="auto"/>
              <w:left w:val="single" w:sz="4" w:space="0" w:color="auto"/>
              <w:bottom w:val="single" w:sz="4" w:space="0" w:color="auto"/>
              <w:right w:val="single" w:sz="4" w:space="0" w:color="auto"/>
            </w:tcBorders>
          </w:tcPr>
          <w:p w14:paraId="33251AD7" w14:textId="77777777" w:rsidR="003244CE" w:rsidRPr="00A73A1E" w:rsidRDefault="003244CE" w:rsidP="000E2BC3">
            <w:pPr>
              <w:pStyle w:val="Tabletext"/>
              <w:jc w:val="left"/>
              <w:rPr>
                <w:rFonts w:eastAsia="MS PGothic"/>
                <w:sz w:val="16"/>
                <w:szCs w:val="16"/>
              </w:rPr>
            </w:pPr>
            <w:r w:rsidRPr="00A73A1E">
              <w:rPr>
                <w:rFonts w:eastAsia="MS PGothic"/>
                <w:sz w:val="16"/>
                <w:szCs w:val="16"/>
              </w:rPr>
              <w:t>Tracking mode threshold power level of aggregate narrow-band interference at the passive antenna output (</w:t>
            </w:r>
            <w:proofErr w:type="spellStart"/>
            <w:r w:rsidRPr="00A73A1E">
              <w:rPr>
                <w:rFonts w:eastAsia="MS PGothic"/>
                <w:sz w:val="16"/>
                <w:szCs w:val="16"/>
              </w:rPr>
              <w:t>dBW</w:t>
            </w:r>
            <w:proofErr w:type="spellEnd"/>
            <w:r w:rsidRPr="00A73A1E">
              <w:rPr>
                <w:rFonts w:eastAsia="MS PGothic"/>
                <w:sz w:val="16"/>
                <w:szCs w:val="16"/>
              </w:rPr>
              <w:t>)</w:t>
            </w:r>
          </w:p>
        </w:tc>
        <w:tc>
          <w:tcPr>
            <w:tcW w:w="1172" w:type="dxa"/>
            <w:tcBorders>
              <w:top w:val="single" w:sz="4" w:space="0" w:color="auto"/>
              <w:left w:val="single" w:sz="4" w:space="0" w:color="auto"/>
              <w:bottom w:val="single" w:sz="4" w:space="0" w:color="auto"/>
              <w:right w:val="single" w:sz="4" w:space="0" w:color="auto"/>
            </w:tcBorders>
            <w:vAlign w:val="center"/>
          </w:tcPr>
          <w:p w14:paraId="31838B24"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–137.5 (P(Y))</w:t>
            </w:r>
            <w:r w:rsidRPr="00A73A1E">
              <w:rPr>
                <w:rFonts w:eastAsia="MS PGothic"/>
                <w:sz w:val="16"/>
                <w:szCs w:val="16"/>
              </w:rPr>
              <w:br/>
              <w:t>(Note 1)</w:t>
            </w:r>
          </w:p>
        </w:tc>
        <w:tc>
          <w:tcPr>
            <w:tcW w:w="1009" w:type="dxa"/>
            <w:tcBorders>
              <w:top w:val="single" w:sz="4" w:space="0" w:color="auto"/>
              <w:left w:val="single" w:sz="4" w:space="0" w:color="auto"/>
              <w:bottom w:val="single" w:sz="4" w:space="0" w:color="auto"/>
              <w:right w:val="single" w:sz="4" w:space="0" w:color="auto"/>
            </w:tcBorders>
            <w:vAlign w:val="center"/>
          </w:tcPr>
          <w:p w14:paraId="1E7DA02C"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–137.4 (P(Y))</w:t>
            </w:r>
            <w:r w:rsidRPr="00A73A1E">
              <w:rPr>
                <w:rFonts w:eastAsia="MS PGothic"/>
                <w:sz w:val="16"/>
                <w:szCs w:val="16"/>
              </w:rPr>
              <w:br/>
              <w:t>(Note 1)</w:t>
            </w:r>
          </w:p>
        </w:tc>
        <w:tc>
          <w:tcPr>
            <w:tcW w:w="917" w:type="dxa"/>
            <w:tcBorders>
              <w:top w:val="single" w:sz="4" w:space="0" w:color="auto"/>
              <w:left w:val="single" w:sz="4" w:space="0" w:color="auto"/>
              <w:bottom w:val="single" w:sz="4" w:space="0" w:color="auto"/>
              <w:right w:val="single" w:sz="4" w:space="0" w:color="auto"/>
            </w:tcBorders>
            <w:vAlign w:val="center"/>
          </w:tcPr>
          <w:p w14:paraId="54768562"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–151.4 (Note 1)</w:t>
            </w:r>
          </w:p>
        </w:tc>
        <w:tc>
          <w:tcPr>
            <w:tcW w:w="917" w:type="dxa"/>
            <w:tcBorders>
              <w:top w:val="single" w:sz="4" w:space="0" w:color="auto"/>
              <w:left w:val="single" w:sz="4" w:space="0" w:color="auto"/>
              <w:bottom w:val="single" w:sz="4" w:space="0" w:color="auto"/>
              <w:right w:val="single" w:sz="4" w:space="0" w:color="auto"/>
            </w:tcBorders>
            <w:vAlign w:val="center"/>
          </w:tcPr>
          <w:p w14:paraId="61E7F2CA"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–157.4</w:t>
            </w:r>
            <w:r w:rsidRPr="00A73A1E">
              <w:rPr>
                <w:rFonts w:eastAsia="MS PGothic"/>
                <w:sz w:val="16"/>
                <w:szCs w:val="16"/>
              </w:rPr>
              <w:br/>
            </w:r>
            <w:r w:rsidRPr="00A73A1E">
              <w:rPr>
                <w:sz w:val="16"/>
                <w:szCs w:val="16"/>
                <w:lang w:eastAsia="ja-JP"/>
              </w:rPr>
              <w:t xml:space="preserve">(Note </w:t>
            </w:r>
            <w:r w:rsidRPr="00A73A1E">
              <w:rPr>
                <w:sz w:val="16"/>
                <w:szCs w:val="16"/>
              </w:rPr>
              <w:t>2</w:t>
            </w:r>
            <w:r w:rsidRPr="00A73A1E">
              <w:rPr>
                <w:sz w:val="16"/>
                <w:szCs w:val="16"/>
                <w:lang w:eastAsia="ja-JP"/>
              </w:rPr>
              <w:t>)</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1A5A28B2"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–134.5</w:t>
            </w:r>
            <w:r w:rsidRPr="00A73A1E">
              <w:rPr>
                <w:rFonts w:eastAsia="MS PGothic"/>
                <w:sz w:val="16"/>
                <w:szCs w:val="16"/>
              </w:rPr>
              <w:br/>
              <w:t>(Note 16)</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0FD7EB11" w14:textId="77777777" w:rsidR="003244CE" w:rsidRPr="00A73A1E" w:rsidRDefault="003244CE" w:rsidP="009C40C0">
            <w:pPr>
              <w:pStyle w:val="Tabletext"/>
              <w:jc w:val="center"/>
              <w:rPr>
                <w:sz w:val="16"/>
                <w:szCs w:val="16"/>
                <w:lang w:eastAsia="ja-JP"/>
              </w:rPr>
            </w:pPr>
            <w:r w:rsidRPr="00A73A1E">
              <w:rPr>
                <w:rFonts w:eastAsia="MS PGothic"/>
                <w:sz w:val="16"/>
                <w:szCs w:val="16"/>
              </w:rPr>
              <w:t>–</w:t>
            </w:r>
            <w:r w:rsidRPr="00A73A1E">
              <w:rPr>
                <w:sz w:val="16"/>
                <w:szCs w:val="16"/>
                <w:lang w:eastAsia="ja-JP"/>
              </w:rPr>
              <w:t xml:space="preserve">149 </w:t>
            </w:r>
            <w:r w:rsidRPr="00A73A1E">
              <w:rPr>
                <w:rFonts w:eastAsia="MS PGothic"/>
                <w:sz w:val="16"/>
                <w:szCs w:val="16"/>
              </w:rPr>
              <w:t>(Note 1)</w:t>
            </w:r>
            <w:r w:rsidRPr="00A73A1E">
              <w:rPr>
                <w:sz w:val="16"/>
                <w:szCs w:val="16"/>
                <w:lang w:eastAsia="ja-JP"/>
              </w:rPr>
              <w:t xml:space="preserve"> (Note </w:t>
            </w:r>
            <w:r w:rsidRPr="00A73A1E">
              <w:rPr>
                <w:sz w:val="16"/>
                <w:szCs w:val="16"/>
              </w:rPr>
              <w:t>9</w:t>
            </w:r>
            <w:r w:rsidRPr="00A73A1E">
              <w:rPr>
                <w:sz w:val="16"/>
                <w:szCs w:val="16"/>
                <w:lang w:eastAsia="ja-JP"/>
              </w:rPr>
              <w:t>)</w:t>
            </w:r>
          </w:p>
        </w:tc>
        <w:tc>
          <w:tcPr>
            <w:tcW w:w="1994" w:type="dxa"/>
            <w:gridSpan w:val="3"/>
            <w:tcBorders>
              <w:top w:val="single" w:sz="4" w:space="0" w:color="auto"/>
              <w:left w:val="single" w:sz="4" w:space="0" w:color="auto"/>
              <w:bottom w:val="single" w:sz="4" w:space="0" w:color="auto"/>
              <w:right w:val="single" w:sz="4" w:space="0" w:color="auto"/>
            </w:tcBorders>
            <w:vAlign w:val="center"/>
          </w:tcPr>
          <w:p w14:paraId="696199B4"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w:t>
            </w:r>
            <w:r w:rsidRPr="00A73A1E">
              <w:rPr>
                <w:sz w:val="16"/>
                <w:szCs w:val="16"/>
                <w:lang w:eastAsia="ja-JP"/>
              </w:rPr>
              <w:t>193</w:t>
            </w:r>
            <w:r w:rsidRPr="00A73A1E">
              <w:rPr>
                <w:sz w:val="16"/>
                <w:szCs w:val="16"/>
                <w:lang w:eastAsia="ja-JP"/>
              </w:rPr>
              <w:br/>
              <w:t>(Note 1)</w:t>
            </w:r>
          </w:p>
        </w:tc>
        <w:tc>
          <w:tcPr>
            <w:tcW w:w="735" w:type="dxa"/>
            <w:tcBorders>
              <w:top w:val="single" w:sz="4" w:space="0" w:color="auto"/>
              <w:left w:val="single" w:sz="4" w:space="0" w:color="auto"/>
              <w:bottom w:val="single" w:sz="4" w:space="0" w:color="auto"/>
              <w:right w:val="single" w:sz="4" w:space="0" w:color="auto"/>
            </w:tcBorders>
            <w:vAlign w:val="center"/>
          </w:tcPr>
          <w:p w14:paraId="605286E0" w14:textId="77777777" w:rsidR="003244CE" w:rsidRPr="00A73A1E" w:rsidDel="007508B4" w:rsidRDefault="003244CE" w:rsidP="009C40C0">
            <w:pPr>
              <w:pStyle w:val="Tabletext"/>
              <w:jc w:val="center"/>
              <w:rPr>
                <w:rFonts w:eastAsia="MS PGothic"/>
                <w:sz w:val="16"/>
                <w:szCs w:val="16"/>
              </w:rPr>
            </w:pPr>
            <w:r w:rsidRPr="00A73A1E">
              <w:rPr>
                <w:rFonts w:eastAsia="MS PGothic"/>
                <w:sz w:val="16"/>
                <w:szCs w:val="16"/>
              </w:rPr>
              <w:t>–</w:t>
            </w:r>
            <w:r w:rsidRPr="00A73A1E">
              <w:rPr>
                <w:sz w:val="16"/>
                <w:szCs w:val="16"/>
                <w:lang w:eastAsia="ja-JP"/>
              </w:rPr>
              <w:t>193</w:t>
            </w:r>
            <w:r w:rsidRPr="00A73A1E">
              <w:rPr>
                <w:sz w:val="16"/>
                <w:szCs w:val="16"/>
                <w:lang w:eastAsia="ja-JP"/>
              </w:rPr>
              <w:br/>
            </w:r>
            <w:r w:rsidRPr="00A73A1E">
              <w:rPr>
                <w:sz w:val="16"/>
                <w:szCs w:val="16"/>
                <w:lang w:eastAsia="zh-CN"/>
              </w:rPr>
              <w:t>(Note 2)</w:t>
            </w:r>
          </w:p>
        </w:tc>
        <w:tc>
          <w:tcPr>
            <w:tcW w:w="1776" w:type="dxa"/>
            <w:gridSpan w:val="3"/>
            <w:tcBorders>
              <w:top w:val="single" w:sz="4" w:space="0" w:color="auto"/>
              <w:left w:val="single" w:sz="4" w:space="0" w:color="auto"/>
              <w:bottom w:val="single" w:sz="4" w:space="0" w:color="auto"/>
              <w:right w:val="single" w:sz="4" w:space="0" w:color="auto"/>
            </w:tcBorders>
            <w:vAlign w:val="center"/>
          </w:tcPr>
          <w:p w14:paraId="590D1C36"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w:t>
            </w:r>
            <w:r w:rsidRPr="00A73A1E">
              <w:rPr>
                <w:sz w:val="16"/>
                <w:szCs w:val="16"/>
                <w:lang w:eastAsia="ja-JP"/>
              </w:rPr>
              <w:t>158</w:t>
            </w:r>
            <w:r w:rsidRPr="00A73A1E">
              <w:rPr>
                <w:sz w:val="16"/>
                <w:szCs w:val="16"/>
                <w:lang w:eastAsia="ja-JP"/>
              </w:rPr>
              <w:br/>
              <w:t>(Note 1)</w:t>
            </w:r>
          </w:p>
        </w:tc>
        <w:tc>
          <w:tcPr>
            <w:tcW w:w="956" w:type="dxa"/>
            <w:tcBorders>
              <w:top w:val="single" w:sz="4" w:space="0" w:color="auto"/>
              <w:left w:val="single" w:sz="4" w:space="0" w:color="auto"/>
              <w:bottom w:val="single" w:sz="4" w:space="0" w:color="auto"/>
              <w:right w:val="single" w:sz="4" w:space="0" w:color="auto"/>
            </w:tcBorders>
            <w:vAlign w:val="center"/>
          </w:tcPr>
          <w:p w14:paraId="67001F7A" w14:textId="77777777" w:rsidR="003244CE" w:rsidRPr="00A73A1E" w:rsidRDefault="003244CE" w:rsidP="009C40C0">
            <w:pPr>
              <w:pStyle w:val="Tabletext"/>
              <w:jc w:val="center"/>
              <w:rPr>
                <w:sz w:val="16"/>
                <w:szCs w:val="16"/>
                <w:lang w:eastAsia="zh-CN"/>
              </w:rPr>
            </w:pPr>
            <w:r w:rsidRPr="00A73A1E">
              <w:rPr>
                <w:rFonts w:ascii="SimSun" w:hAnsi="SimSun"/>
                <w:sz w:val="16"/>
                <w:szCs w:val="16"/>
                <w:lang w:eastAsia="zh-CN"/>
              </w:rPr>
              <w:t>-</w:t>
            </w:r>
            <w:r w:rsidRPr="00A73A1E">
              <w:rPr>
                <w:sz w:val="16"/>
                <w:szCs w:val="16"/>
                <w:lang w:eastAsia="zh-CN"/>
              </w:rPr>
              <w:t>150</w:t>
            </w:r>
          </w:p>
          <w:p w14:paraId="0AC47FB0" w14:textId="77777777" w:rsidR="003244CE" w:rsidRPr="00A73A1E" w:rsidRDefault="003244CE" w:rsidP="009C40C0">
            <w:pPr>
              <w:pStyle w:val="Tabletext"/>
              <w:jc w:val="center"/>
              <w:rPr>
                <w:rFonts w:eastAsia="MS PGothic"/>
                <w:sz w:val="16"/>
                <w:szCs w:val="16"/>
              </w:rPr>
            </w:pPr>
            <w:r w:rsidRPr="00A73A1E">
              <w:rPr>
                <w:sz w:val="16"/>
                <w:szCs w:val="16"/>
                <w:lang w:eastAsia="ja-JP"/>
              </w:rPr>
              <w:t xml:space="preserve">(Note </w:t>
            </w:r>
            <w:r w:rsidRPr="00A73A1E">
              <w:rPr>
                <w:sz w:val="16"/>
                <w:szCs w:val="16"/>
              </w:rPr>
              <w:t>2</w:t>
            </w:r>
            <w:r w:rsidRPr="00A73A1E">
              <w:rPr>
                <w:sz w:val="16"/>
                <w:szCs w:val="16"/>
                <w:lang w:eastAsia="ja-JP"/>
              </w:rPr>
              <w:t>)</w:t>
            </w:r>
          </w:p>
        </w:tc>
      </w:tr>
      <w:tr w:rsidR="003244CE" w:rsidRPr="00A73A1E" w14:paraId="5196090B" w14:textId="77777777" w:rsidTr="000E2BC3">
        <w:trPr>
          <w:cantSplit/>
          <w:jc w:val="center"/>
        </w:trPr>
        <w:tc>
          <w:tcPr>
            <w:tcW w:w="2033" w:type="dxa"/>
            <w:tcBorders>
              <w:top w:val="single" w:sz="4" w:space="0" w:color="auto"/>
              <w:left w:val="single" w:sz="4" w:space="0" w:color="auto"/>
              <w:bottom w:val="single" w:sz="4" w:space="0" w:color="auto"/>
              <w:right w:val="single" w:sz="4" w:space="0" w:color="auto"/>
            </w:tcBorders>
          </w:tcPr>
          <w:p w14:paraId="0CACAC5D" w14:textId="77777777" w:rsidR="003244CE" w:rsidRPr="00A73A1E" w:rsidRDefault="003244CE" w:rsidP="000E2BC3">
            <w:pPr>
              <w:pStyle w:val="Tabletext"/>
              <w:jc w:val="left"/>
              <w:rPr>
                <w:rFonts w:eastAsia="MS PGothic"/>
                <w:sz w:val="16"/>
                <w:szCs w:val="16"/>
              </w:rPr>
            </w:pPr>
            <w:r w:rsidRPr="00A73A1E">
              <w:rPr>
                <w:rFonts w:eastAsia="MS PGothic"/>
                <w:sz w:val="16"/>
                <w:szCs w:val="16"/>
              </w:rPr>
              <w:t>Acquisition mode threshold power level of aggregate narrow-band interference at the passive antenna output (</w:t>
            </w:r>
            <w:proofErr w:type="spellStart"/>
            <w:r w:rsidRPr="00A73A1E">
              <w:rPr>
                <w:rFonts w:eastAsia="MS PGothic"/>
                <w:sz w:val="16"/>
                <w:szCs w:val="16"/>
              </w:rPr>
              <w:t>dBW</w:t>
            </w:r>
            <w:proofErr w:type="spellEnd"/>
            <w:r w:rsidRPr="00A73A1E">
              <w:rPr>
                <w:rFonts w:eastAsia="MS PGothic"/>
                <w:sz w:val="16"/>
                <w:szCs w:val="16"/>
              </w:rPr>
              <w:t>)</w:t>
            </w:r>
          </w:p>
        </w:tc>
        <w:tc>
          <w:tcPr>
            <w:tcW w:w="1172" w:type="dxa"/>
            <w:tcBorders>
              <w:top w:val="single" w:sz="4" w:space="0" w:color="auto"/>
              <w:left w:val="single" w:sz="4" w:space="0" w:color="auto"/>
              <w:bottom w:val="single" w:sz="4" w:space="0" w:color="auto"/>
              <w:right w:val="single" w:sz="4" w:space="0" w:color="auto"/>
            </w:tcBorders>
            <w:vAlign w:val="center"/>
          </w:tcPr>
          <w:p w14:paraId="575D252E"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See Note </w:t>
            </w:r>
            <w:r w:rsidRPr="00A73A1E">
              <w:rPr>
                <w:sz w:val="16"/>
                <w:szCs w:val="16"/>
              </w:rPr>
              <w:t>4</w:t>
            </w:r>
          </w:p>
        </w:tc>
        <w:tc>
          <w:tcPr>
            <w:tcW w:w="1009" w:type="dxa"/>
            <w:tcBorders>
              <w:top w:val="single" w:sz="4" w:space="0" w:color="auto"/>
              <w:left w:val="single" w:sz="4" w:space="0" w:color="auto"/>
              <w:bottom w:val="single" w:sz="4" w:space="0" w:color="auto"/>
              <w:right w:val="single" w:sz="4" w:space="0" w:color="auto"/>
            </w:tcBorders>
            <w:vAlign w:val="center"/>
          </w:tcPr>
          <w:p w14:paraId="2B6834CC"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See Note </w:t>
            </w:r>
            <w:r w:rsidRPr="00A73A1E">
              <w:rPr>
                <w:sz w:val="16"/>
                <w:szCs w:val="16"/>
              </w:rPr>
              <w:t>5</w:t>
            </w:r>
          </w:p>
        </w:tc>
        <w:tc>
          <w:tcPr>
            <w:tcW w:w="917" w:type="dxa"/>
            <w:tcBorders>
              <w:top w:val="single" w:sz="4" w:space="0" w:color="auto"/>
              <w:left w:val="single" w:sz="4" w:space="0" w:color="auto"/>
              <w:bottom w:val="single" w:sz="4" w:space="0" w:color="auto"/>
              <w:right w:val="single" w:sz="4" w:space="0" w:color="auto"/>
            </w:tcBorders>
            <w:vAlign w:val="center"/>
          </w:tcPr>
          <w:p w14:paraId="57BE3CD7"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–157.4 (Note 1)</w:t>
            </w:r>
          </w:p>
        </w:tc>
        <w:tc>
          <w:tcPr>
            <w:tcW w:w="917" w:type="dxa"/>
            <w:tcBorders>
              <w:top w:val="single" w:sz="4" w:space="0" w:color="auto"/>
              <w:left w:val="single" w:sz="4" w:space="0" w:color="auto"/>
              <w:bottom w:val="single" w:sz="4" w:space="0" w:color="auto"/>
              <w:right w:val="single" w:sz="4" w:space="0" w:color="auto"/>
            </w:tcBorders>
            <w:vAlign w:val="center"/>
          </w:tcPr>
          <w:p w14:paraId="3830EFEE"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–1</w:t>
            </w:r>
            <w:r w:rsidRPr="00A73A1E">
              <w:rPr>
                <w:sz w:val="16"/>
                <w:szCs w:val="16"/>
                <w:lang w:eastAsia="zh-CN"/>
              </w:rPr>
              <w:t>57</w:t>
            </w:r>
            <w:r w:rsidRPr="00A73A1E">
              <w:rPr>
                <w:rFonts w:eastAsia="MS PGothic"/>
                <w:sz w:val="16"/>
                <w:szCs w:val="16"/>
              </w:rPr>
              <w:t>.4</w:t>
            </w:r>
            <w:r w:rsidRPr="00A73A1E">
              <w:rPr>
                <w:rFonts w:eastAsia="MS PGothic"/>
                <w:sz w:val="16"/>
                <w:szCs w:val="16"/>
              </w:rPr>
              <w:br/>
            </w:r>
            <w:r w:rsidRPr="00A73A1E">
              <w:rPr>
                <w:sz w:val="16"/>
                <w:szCs w:val="16"/>
                <w:lang w:eastAsia="ja-JP"/>
              </w:rPr>
              <w:t xml:space="preserve">(Note </w:t>
            </w:r>
            <w:r w:rsidRPr="00A73A1E">
              <w:rPr>
                <w:sz w:val="16"/>
                <w:szCs w:val="16"/>
              </w:rPr>
              <w:t>2</w:t>
            </w:r>
            <w:r w:rsidRPr="00A73A1E">
              <w:rPr>
                <w:sz w:val="16"/>
                <w:szCs w:val="16"/>
                <w:lang w:eastAsia="ja-JP"/>
              </w:rPr>
              <w:t>)</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48713F8C"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See Note 17</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3B9FBFA4" w14:textId="77777777" w:rsidR="003244CE" w:rsidRPr="00A73A1E" w:rsidRDefault="003244CE" w:rsidP="009C40C0">
            <w:pPr>
              <w:pStyle w:val="Tabletext"/>
              <w:jc w:val="center"/>
              <w:rPr>
                <w:sz w:val="16"/>
                <w:szCs w:val="16"/>
                <w:lang w:eastAsia="ja-JP"/>
              </w:rPr>
            </w:pPr>
            <w:r w:rsidRPr="00A73A1E">
              <w:rPr>
                <w:rFonts w:eastAsia="MS PGothic"/>
                <w:sz w:val="16"/>
                <w:szCs w:val="16"/>
              </w:rPr>
              <w:t>–</w:t>
            </w:r>
            <w:r w:rsidRPr="00A73A1E">
              <w:rPr>
                <w:sz w:val="16"/>
                <w:szCs w:val="16"/>
                <w:lang w:eastAsia="ja-JP"/>
              </w:rPr>
              <w:t xml:space="preserve">155 </w:t>
            </w:r>
            <w:r w:rsidRPr="00A73A1E">
              <w:rPr>
                <w:rFonts w:eastAsia="MS PGothic"/>
                <w:sz w:val="16"/>
                <w:szCs w:val="16"/>
              </w:rPr>
              <w:t>(Note 1)</w:t>
            </w:r>
            <w:r w:rsidRPr="00A73A1E">
              <w:rPr>
                <w:sz w:val="16"/>
                <w:szCs w:val="16"/>
                <w:lang w:eastAsia="ja-JP"/>
              </w:rPr>
              <w:t xml:space="preserve"> (Note </w:t>
            </w:r>
            <w:r w:rsidRPr="00A73A1E">
              <w:rPr>
                <w:sz w:val="16"/>
                <w:szCs w:val="16"/>
              </w:rPr>
              <w:t>9</w:t>
            </w:r>
            <w:r w:rsidRPr="00A73A1E">
              <w:rPr>
                <w:sz w:val="16"/>
                <w:szCs w:val="16"/>
                <w:lang w:eastAsia="ja-JP"/>
              </w:rPr>
              <w:t>)</w:t>
            </w:r>
          </w:p>
        </w:tc>
        <w:tc>
          <w:tcPr>
            <w:tcW w:w="1994" w:type="dxa"/>
            <w:gridSpan w:val="3"/>
            <w:tcBorders>
              <w:top w:val="single" w:sz="4" w:space="0" w:color="auto"/>
              <w:left w:val="single" w:sz="4" w:space="0" w:color="auto"/>
              <w:bottom w:val="single" w:sz="4" w:space="0" w:color="auto"/>
              <w:right w:val="single" w:sz="4" w:space="0" w:color="auto"/>
            </w:tcBorders>
            <w:vAlign w:val="center"/>
          </w:tcPr>
          <w:p w14:paraId="7A87D1FD" w14:textId="77777777" w:rsidR="003244CE" w:rsidRPr="00A73A1E" w:rsidRDefault="003244CE" w:rsidP="009C40C0">
            <w:pPr>
              <w:pStyle w:val="Tabletext"/>
              <w:jc w:val="center"/>
              <w:rPr>
                <w:sz w:val="16"/>
                <w:szCs w:val="16"/>
                <w:lang w:eastAsia="ja-JP"/>
              </w:rPr>
            </w:pPr>
            <w:r w:rsidRPr="00A73A1E">
              <w:rPr>
                <w:rFonts w:eastAsia="MS PGothic"/>
                <w:sz w:val="16"/>
                <w:szCs w:val="16"/>
              </w:rPr>
              <w:t>–</w:t>
            </w:r>
            <w:r w:rsidRPr="00A73A1E">
              <w:rPr>
                <w:sz w:val="16"/>
                <w:szCs w:val="16"/>
                <w:lang w:eastAsia="ja-JP"/>
              </w:rPr>
              <w:t>199</w:t>
            </w:r>
            <w:r w:rsidRPr="00A73A1E">
              <w:rPr>
                <w:sz w:val="16"/>
                <w:szCs w:val="16"/>
                <w:lang w:eastAsia="ja-JP"/>
              </w:rPr>
              <w:br/>
              <w:t>(Note 1)</w:t>
            </w:r>
          </w:p>
        </w:tc>
        <w:tc>
          <w:tcPr>
            <w:tcW w:w="735" w:type="dxa"/>
            <w:tcBorders>
              <w:top w:val="single" w:sz="4" w:space="0" w:color="auto"/>
              <w:left w:val="single" w:sz="4" w:space="0" w:color="auto"/>
              <w:bottom w:val="single" w:sz="4" w:space="0" w:color="auto"/>
              <w:right w:val="single" w:sz="4" w:space="0" w:color="auto"/>
            </w:tcBorders>
            <w:vAlign w:val="center"/>
          </w:tcPr>
          <w:p w14:paraId="478FC7D4" w14:textId="77777777" w:rsidR="003244CE" w:rsidRPr="00A73A1E" w:rsidDel="007508B4" w:rsidRDefault="003244CE" w:rsidP="009C40C0">
            <w:pPr>
              <w:pStyle w:val="Tabletext"/>
              <w:jc w:val="center"/>
              <w:rPr>
                <w:rFonts w:eastAsia="MS PGothic"/>
                <w:sz w:val="16"/>
                <w:szCs w:val="16"/>
              </w:rPr>
            </w:pPr>
            <w:r w:rsidRPr="00A73A1E">
              <w:rPr>
                <w:rFonts w:eastAsia="MS PGothic"/>
                <w:sz w:val="16"/>
                <w:szCs w:val="16"/>
              </w:rPr>
              <w:t>–</w:t>
            </w:r>
            <w:r w:rsidRPr="00A73A1E">
              <w:rPr>
                <w:sz w:val="16"/>
                <w:szCs w:val="16"/>
                <w:lang w:eastAsia="ja-JP"/>
              </w:rPr>
              <w:t>199</w:t>
            </w:r>
            <w:r w:rsidRPr="00A73A1E">
              <w:rPr>
                <w:sz w:val="16"/>
                <w:szCs w:val="16"/>
                <w:lang w:eastAsia="ja-JP"/>
              </w:rPr>
              <w:br/>
            </w:r>
            <w:r w:rsidRPr="00A73A1E">
              <w:rPr>
                <w:sz w:val="16"/>
                <w:szCs w:val="16"/>
                <w:lang w:eastAsia="zh-CN"/>
              </w:rPr>
              <w:t>(Note 2)</w:t>
            </w:r>
          </w:p>
        </w:tc>
        <w:tc>
          <w:tcPr>
            <w:tcW w:w="1776" w:type="dxa"/>
            <w:gridSpan w:val="3"/>
            <w:tcBorders>
              <w:top w:val="single" w:sz="4" w:space="0" w:color="auto"/>
              <w:left w:val="single" w:sz="4" w:space="0" w:color="auto"/>
              <w:bottom w:val="single" w:sz="4" w:space="0" w:color="auto"/>
              <w:right w:val="single" w:sz="4" w:space="0" w:color="auto"/>
            </w:tcBorders>
            <w:vAlign w:val="center"/>
          </w:tcPr>
          <w:p w14:paraId="71F1DFA9" w14:textId="77777777" w:rsidR="003244CE" w:rsidRPr="00A73A1E" w:rsidRDefault="003244CE" w:rsidP="009C40C0">
            <w:pPr>
              <w:pStyle w:val="Tabletext"/>
              <w:jc w:val="center"/>
              <w:rPr>
                <w:sz w:val="16"/>
                <w:szCs w:val="16"/>
                <w:lang w:eastAsia="ja-JP"/>
              </w:rPr>
            </w:pPr>
            <w:r w:rsidRPr="00A73A1E">
              <w:rPr>
                <w:rFonts w:eastAsia="MS PGothic"/>
                <w:sz w:val="16"/>
                <w:szCs w:val="16"/>
              </w:rPr>
              <w:t>−</w:t>
            </w:r>
            <w:r w:rsidRPr="00A73A1E">
              <w:rPr>
                <w:sz w:val="16"/>
                <w:szCs w:val="16"/>
                <w:lang w:eastAsia="ja-JP"/>
              </w:rPr>
              <w:t>164</w:t>
            </w:r>
            <w:r w:rsidRPr="00A73A1E">
              <w:rPr>
                <w:sz w:val="16"/>
                <w:szCs w:val="16"/>
                <w:lang w:eastAsia="ja-JP"/>
              </w:rPr>
              <w:br/>
              <w:t>(Note 1)</w:t>
            </w:r>
          </w:p>
        </w:tc>
        <w:tc>
          <w:tcPr>
            <w:tcW w:w="956" w:type="dxa"/>
            <w:tcBorders>
              <w:top w:val="single" w:sz="4" w:space="0" w:color="auto"/>
              <w:left w:val="single" w:sz="4" w:space="0" w:color="auto"/>
              <w:bottom w:val="single" w:sz="4" w:space="0" w:color="auto"/>
              <w:right w:val="single" w:sz="4" w:space="0" w:color="auto"/>
            </w:tcBorders>
            <w:vAlign w:val="center"/>
          </w:tcPr>
          <w:p w14:paraId="671E59D1" w14:textId="77777777" w:rsidR="003244CE" w:rsidRPr="00A73A1E" w:rsidRDefault="003244CE" w:rsidP="009C40C0">
            <w:pPr>
              <w:pStyle w:val="Tabletext"/>
              <w:jc w:val="center"/>
              <w:rPr>
                <w:sz w:val="16"/>
                <w:szCs w:val="16"/>
                <w:lang w:eastAsia="zh-CN"/>
              </w:rPr>
            </w:pPr>
            <w:r w:rsidRPr="00A73A1E">
              <w:rPr>
                <w:rFonts w:ascii="SimSun" w:hAnsi="SimSun"/>
                <w:sz w:val="16"/>
                <w:szCs w:val="16"/>
                <w:lang w:eastAsia="zh-CN"/>
              </w:rPr>
              <w:t>-</w:t>
            </w:r>
            <w:r w:rsidRPr="00A73A1E">
              <w:rPr>
                <w:sz w:val="16"/>
                <w:szCs w:val="16"/>
                <w:lang w:eastAsia="zh-CN"/>
              </w:rPr>
              <w:t>156</w:t>
            </w:r>
          </w:p>
          <w:p w14:paraId="126897D9" w14:textId="77777777" w:rsidR="003244CE" w:rsidRPr="00A73A1E" w:rsidRDefault="003244CE" w:rsidP="009C40C0">
            <w:pPr>
              <w:pStyle w:val="Tabletext"/>
              <w:jc w:val="center"/>
              <w:rPr>
                <w:rFonts w:eastAsia="MS PGothic"/>
                <w:sz w:val="16"/>
                <w:szCs w:val="16"/>
              </w:rPr>
            </w:pPr>
            <w:r w:rsidRPr="00A73A1E">
              <w:rPr>
                <w:sz w:val="16"/>
                <w:szCs w:val="16"/>
                <w:lang w:eastAsia="ja-JP"/>
              </w:rPr>
              <w:t xml:space="preserve">(Note </w:t>
            </w:r>
            <w:r w:rsidRPr="00A73A1E">
              <w:rPr>
                <w:sz w:val="16"/>
                <w:szCs w:val="16"/>
              </w:rPr>
              <w:t>2</w:t>
            </w:r>
            <w:r w:rsidRPr="00A73A1E">
              <w:rPr>
                <w:sz w:val="16"/>
                <w:szCs w:val="16"/>
                <w:lang w:eastAsia="ja-JP"/>
              </w:rPr>
              <w:t>)</w:t>
            </w:r>
          </w:p>
        </w:tc>
      </w:tr>
    </w:tbl>
    <w:p w14:paraId="03E5C118" w14:textId="77777777" w:rsidR="003244CE" w:rsidRPr="00A73A1E" w:rsidRDefault="003244CE" w:rsidP="003244CE">
      <w:pPr>
        <w:pStyle w:val="Tablefin"/>
      </w:pPr>
    </w:p>
    <w:p w14:paraId="202D5DE2" w14:textId="77777777" w:rsidR="003244CE" w:rsidRPr="00A73A1E" w:rsidRDefault="003244CE" w:rsidP="003244CE">
      <w:pPr>
        <w:overflowPunct/>
        <w:autoSpaceDE/>
        <w:autoSpaceDN/>
        <w:adjustRightInd/>
        <w:spacing w:before="0"/>
        <w:textAlignment w:val="auto"/>
        <w:rPr>
          <w:caps/>
          <w:sz w:val="20"/>
        </w:rPr>
      </w:pPr>
      <w:r w:rsidRPr="00A73A1E">
        <w:br w:type="page"/>
      </w:r>
    </w:p>
    <w:p w14:paraId="0777685E" w14:textId="77777777" w:rsidR="003244CE" w:rsidRPr="00A73A1E" w:rsidRDefault="003244CE" w:rsidP="003244CE">
      <w:pPr>
        <w:pStyle w:val="TableNo"/>
        <w:spacing w:before="120"/>
      </w:pPr>
      <w:r w:rsidRPr="00A73A1E">
        <w:lastRenderedPageBreak/>
        <w:t xml:space="preserve">TABLE </w:t>
      </w:r>
      <w:r>
        <w:t>7</w:t>
      </w:r>
      <w:r w:rsidRPr="00A73A1E">
        <w:t xml:space="preserve"> (</w:t>
      </w:r>
      <w:r w:rsidRPr="00A73A1E">
        <w:rPr>
          <w:i/>
          <w:iCs/>
        </w:rPr>
        <w:t>end</w:t>
      </w:r>
      <w:r w:rsidRPr="00A73A1E">
        <w:t>)</w:t>
      </w:r>
    </w:p>
    <w:tbl>
      <w:tblPr>
        <w:tblW w:w="14459" w:type="dxa"/>
        <w:jc w:val="center"/>
        <w:tblLook w:val="0000" w:firstRow="0" w:lastRow="0" w:firstColumn="0" w:lastColumn="0" w:noHBand="0" w:noVBand="0"/>
      </w:tblPr>
      <w:tblGrid>
        <w:gridCol w:w="2005"/>
        <w:gridCol w:w="1206"/>
        <w:gridCol w:w="1336"/>
        <w:gridCol w:w="1304"/>
        <w:gridCol w:w="1376"/>
        <w:gridCol w:w="1605"/>
        <w:gridCol w:w="1434"/>
        <w:gridCol w:w="1082"/>
        <w:gridCol w:w="1006"/>
        <w:gridCol w:w="1070"/>
        <w:gridCol w:w="1035"/>
      </w:tblGrid>
      <w:tr w:rsidR="003244CE" w:rsidRPr="00A73A1E" w14:paraId="059B9569" w14:textId="77777777" w:rsidTr="00227D04">
        <w:trPr>
          <w:jc w:val="center"/>
        </w:trPr>
        <w:tc>
          <w:tcPr>
            <w:tcW w:w="693" w:type="pct"/>
            <w:tcBorders>
              <w:top w:val="single" w:sz="4" w:space="0" w:color="auto"/>
              <w:left w:val="single" w:sz="4" w:space="0" w:color="auto"/>
              <w:bottom w:val="single" w:sz="4" w:space="0" w:color="auto"/>
              <w:right w:val="single" w:sz="4" w:space="0" w:color="auto"/>
            </w:tcBorders>
            <w:vAlign w:val="center"/>
          </w:tcPr>
          <w:p w14:paraId="0AEB99A5" w14:textId="77777777" w:rsidR="003244CE" w:rsidRPr="00A73A1E" w:rsidRDefault="003244CE" w:rsidP="009C40C0">
            <w:pPr>
              <w:pStyle w:val="Tablehead"/>
              <w:rPr>
                <w:rFonts w:eastAsia="MS PGothic"/>
                <w:sz w:val="16"/>
                <w:szCs w:val="16"/>
              </w:rPr>
            </w:pPr>
          </w:p>
        </w:tc>
        <w:tc>
          <w:tcPr>
            <w:tcW w:w="417" w:type="pct"/>
            <w:tcBorders>
              <w:top w:val="single" w:sz="4" w:space="0" w:color="auto"/>
              <w:left w:val="single" w:sz="4" w:space="0" w:color="auto"/>
              <w:bottom w:val="single" w:sz="4" w:space="0" w:color="auto"/>
              <w:right w:val="single" w:sz="4" w:space="0" w:color="auto"/>
            </w:tcBorders>
            <w:vAlign w:val="center"/>
          </w:tcPr>
          <w:p w14:paraId="0B720AF6" w14:textId="77777777" w:rsidR="003244CE" w:rsidRPr="00A73A1E" w:rsidRDefault="003244CE" w:rsidP="009C40C0">
            <w:pPr>
              <w:pStyle w:val="Tablehead"/>
              <w:rPr>
                <w:rFonts w:eastAsia="MS PGothic"/>
                <w:sz w:val="16"/>
                <w:szCs w:val="16"/>
              </w:rPr>
            </w:pPr>
            <w:r w:rsidRPr="00A73A1E">
              <w:rPr>
                <w:rFonts w:eastAsia="MS PGothic"/>
                <w:sz w:val="16"/>
                <w:szCs w:val="16"/>
              </w:rPr>
              <w:t>1</w:t>
            </w:r>
          </w:p>
        </w:tc>
        <w:tc>
          <w:tcPr>
            <w:tcW w:w="462" w:type="pct"/>
            <w:tcBorders>
              <w:top w:val="single" w:sz="4" w:space="0" w:color="auto"/>
              <w:left w:val="single" w:sz="4" w:space="0" w:color="auto"/>
              <w:bottom w:val="single" w:sz="4" w:space="0" w:color="auto"/>
              <w:right w:val="single" w:sz="4" w:space="0" w:color="auto"/>
            </w:tcBorders>
            <w:vAlign w:val="center"/>
          </w:tcPr>
          <w:p w14:paraId="311B45CD" w14:textId="77777777" w:rsidR="003244CE" w:rsidRPr="00A73A1E" w:rsidRDefault="003244CE" w:rsidP="009C40C0">
            <w:pPr>
              <w:pStyle w:val="Tablehead"/>
              <w:rPr>
                <w:rFonts w:eastAsia="MS PGothic"/>
                <w:sz w:val="16"/>
                <w:szCs w:val="16"/>
              </w:rPr>
            </w:pPr>
            <w:r w:rsidRPr="00A73A1E">
              <w:rPr>
                <w:rFonts w:eastAsia="MS PGothic"/>
                <w:sz w:val="16"/>
                <w:szCs w:val="16"/>
              </w:rPr>
              <w:t>2</w:t>
            </w:r>
          </w:p>
        </w:tc>
        <w:tc>
          <w:tcPr>
            <w:tcW w:w="451" w:type="pct"/>
            <w:tcBorders>
              <w:top w:val="single" w:sz="4" w:space="0" w:color="auto"/>
              <w:left w:val="single" w:sz="4" w:space="0" w:color="auto"/>
              <w:bottom w:val="single" w:sz="4" w:space="0" w:color="auto"/>
              <w:right w:val="single" w:sz="4" w:space="0" w:color="auto"/>
            </w:tcBorders>
            <w:vAlign w:val="center"/>
          </w:tcPr>
          <w:p w14:paraId="7E51996B" w14:textId="77777777" w:rsidR="003244CE" w:rsidRPr="00A73A1E" w:rsidRDefault="003244CE" w:rsidP="009C40C0">
            <w:pPr>
              <w:pStyle w:val="Tablehead"/>
              <w:rPr>
                <w:rFonts w:eastAsia="MS PGothic"/>
                <w:sz w:val="16"/>
                <w:szCs w:val="16"/>
              </w:rPr>
            </w:pPr>
            <w:r w:rsidRPr="00A73A1E">
              <w:rPr>
                <w:rFonts w:eastAsia="MS PGothic"/>
                <w:sz w:val="16"/>
                <w:szCs w:val="16"/>
              </w:rPr>
              <w:t>3</w:t>
            </w:r>
          </w:p>
        </w:tc>
        <w:tc>
          <w:tcPr>
            <w:tcW w:w="476" w:type="pct"/>
            <w:tcBorders>
              <w:top w:val="single" w:sz="4" w:space="0" w:color="auto"/>
              <w:left w:val="single" w:sz="4" w:space="0" w:color="auto"/>
              <w:bottom w:val="single" w:sz="4" w:space="0" w:color="auto"/>
              <w:right w:val="single" w:sz="4" w:space="0" w:color="auto"/>
            </w:tcBorders>
            <w:vAlign w:val="center"/>
          </w:tcPr>
          <w:p w14:paraId="1B7796CF" w14:textId="77777777" w:rsidR="003244CE" w:rsidRPr="00A73A1E" w:rsidRDefault="003244CE" w:rsidP="009C40C0">
            <w:pPr>
              <w:pStyle w:val="Tablehead"/>
              <w:rPr>
                <w:rFonts w:eastAsia="MS PGothic"/>
                <w:sz w:val="16"/>
                <w:szCs w:val="16"/>
              </w:rPr>
            </w:pPr>
            <w:r w:rsidRPr="00A73A1E">
              <w:rPr>
                <w:rFonts w:eastAsia="MS PGothic"/>
                <w:sz w:val="16"/>
                <w:szCs w:val="16"/>
              </w:rPr>
              <w:t>3a</w:t>
            </w:r>
          </w:p>
        </w:tc>
        <w:tc>
          <w:tcPr>
            <w:tcW w:w="555" w:type="pct"/>
            <w:tcBorders>
              <w:top w:val="single" w:sz="4" w:space="0" w:color="auto"/>
              <w:left w:val="single" w:sz="4" w:space="0" w:color="auto"/>
              <w:bottom w:val="single" w:sz="4" w:space="0" w:color="auto"/>
              <w:right w:val="single" w:sz="4" w:space="0" w:color="auto"/>
            </w:tcBorders>
          </w:tcPr>
          <w:p w14:paraId="55E13D45" w14:textId="77777777" w:rsidR="003244CE" w:rsidRPr="00A73A1E" w:rsidRDefault="003244CE" w:rsidP="009C40C0">
            <w:pPr>
              <w:pStyle w:val="Tablehead"/>
              <w:rPr>
                <w:rFonts w:eastAsia="MS PGothic"/>
                <w:sz w:val="16"/>
                <w:szCs w:val="16"/>
              </w:rPr>
            </w:pPr>
            <w:r w:rsidRPr="00A73A1E">
              <w:rPr>
                <w:rFonts w:eastAsia="MS PGothic"/>
                <w:sz w:val="16"/>
                <w:szCs w:val="16"/>
              </w:rPr>
              <w:t>3b</w:t>
            </w:r>
          </w:p>
        </w:tc>
        <w:tc>
          <w:tcPr>
            <w:tcW w:w="496" w:type="pct"/>
            <w:tcBorders>
              <w:top w:val="single" w:sz="4" w:space="0" w:color="auto"/>
              <w:left w:val="single" w:sz="4" w:space="0" w:color="auto"/>
              <w:bottom w:val="single" w:sz="4" w:space="0" w:color="auto"/>
              <w:right w:val="single" w:sz="4" w:space="0" w:color="auto"/>
            </w:tcBorders>
            <w:vAlign w:val="center"/>
          </w:tcPr>
          <w:p w14:paraId="3CF85124" w14:textId="77777777" w:rsidR="003244CE" w:rsidRPr="00A73A1E" w:rsidRDefault="003244CE" w:rsidP="009C40C0">
            <w:pPr>
              <w:pStyle w:val="Tablehead"/>
              <w:rPr>
                <w:rFonts w:eastAsia="MS PGothic"/>
                <w:sz w:val="16"/>
                <w:szCs w:val="16"/>
              </w:rPr>
            </w:pPr>
            <w:r w:rsidRPr="00A73A1E">
              <w:rPr>
                <w:rFonts w:eastAsia="MS PGothic"/>
                <w:sz w:val="16"/>
                <w:szCs w:val="16"/>
              </w:rPr>
              <w:t>4</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1D4D9A16" w14:textId="77777777" w:rsidR="003244CE" w:rsidRPr="00A73A1E" w:rsidDel="00134614" w:rsidRDefault="003244CE" w:rsidP="009C40C0">
            <w:pPr>
              <w:pStyle w:val="Tablehead"/>
              <w:rPr>
                <w:sz w:val="16"/>
                <w:szCs w:val="16"/>
              </w:rPr>
            </w:pPr>
            <w:r w:rsidRPr="00A73A1E">
              <w:rPr>
                <w:rFonts w:eastAsia="MS PGothic"/>
                <w:sz w:val="16"/>
                <w:szCs w:val="16"/>
              </w:rPr>
              <w:t>5</w:t>
            </w:r>
          </w:p>
        </w:tc>
        <w:tc>
          <w:tcPr>
            <w:tcW w:w="728" w:type="pct"/>
            <w:gridSpan w:val="2"/>
            <w:tcBorders>
              <w:top w:val="single" w:sz="4" w:space="0" w:color="auto"/>
              <w:left w:val="single" w:sz="4" w:space="0" w:color="auto"/>
              <w:bottom w:val="single" w:sz="4" w:space="0" w:color="auto"/>
              <w:right w:val="single" w:sz="4" w:space="0" w:color="auto"/>
            </w:tcBorders>
            <w:vAlign w:val="center"/>
          </w:tcPr>
          <w:p w14:paraId="451D06D3" w14:textId="77777777" w:rsidR="003244CE" w:rsidRPr="00A73A1E" w:rsidRDefault="003244CE" w:rsidP="009C40C0">
            <w:pPr>
              <w:pStyle w:val="Tablehead"/>
              <w:rPr>
                <w:rFonts w:eastAsia="MS PGothic"/>
                <w:sz w:val="16"/>
                <w:szCs w:val="16"/>
              </w:rPr>
            </w:pPr>
            <w:r w:rsidRPr="00A73A1E">
              <w:rPr>
                <w:rFonts w:eastAsia="MS PGothic"/>
                <w:sz w:val="16"/>
                <w:szCs w:val="16"/>
              </w:rPr>
              <w:t>6</w:t>
            </w:r>
          </w:p>
        </w:tc>
      </w:tr>
      <w:tr w:rsidR="003244CE" w:rsidRPr="00A73A1E" w14:paraId="6B9BC8FC" w14:textId="77777777" w:rsidTr="00227D04">
        <w:trPr>
          <w:jc w:val="center"/>
        </w:trPr>
        <w:tc>
          <w:tcPr>
            <w:tcW w:w="693" w:type="pct"/>
            <w:tcBorders>
              <w:top w:val="single" w:sz="4" w:space="0" w:color="auto"/>
              <w:left w:val="single" w:sz="4" w:space="0" w:color="auto"/>
              <w:bottom w:val="single" w:sz="4" w:space="0" w:color="auto"/>
              <w:right w:val="single" w:sz="4" w:space="0" w:color="auto"/>
            </w:tcBorders>
            <w:vAlign w:val="center"/>
          </w:tcPr>
          <w:p w14:paraId="3CBF9EEF" w14:textId="77777777" w:rsidR="003244CE" w:rsidRPr="00A73A1E" w:rsidRDefault="003244CE" w:rsidP="00227D04">
            <w:pPr>
              <w:pStyle w:val="Tabletext"/>
              <w:jc w:val="left"/>
              <w:rPr>
                <w:rFonts w:eastAsia="MS PGothic"/>
                <w:sz w:val="16"/>
                <w:szCs w:val="16"/>
              </w:rPr>
            </w:pPr>
            <w:r w:rsidRPr="00A73A1E">
              <w:rPr>
                <w:rFonts w:eastAsia="MS PGothic"/>
                <w:sz w:val="16"/>
                <w:szCs w:val="16"/>
              </w:rPr>
              <w:t>Parameter</w:t>
            </w:r>
          </w:p>
        </w:tc>
        <w:tc>
          <w:tcPr>
            <w:tcW w:w="417" w:type="pct"/>
            <w:tcBorders>
              <w:top w:val="single" w:sz="4" w:space="0" w:color="auto"/>
              <w:left w:val="single" w:sz="4" w:space="0" w:color="auto"/>
              <w:bottom w:val="single" w:sz="4" w:space="0" w:color="auto"/>
              <w:right w:val="single" w:sz="4" w:space="0" w:color="auto"/>
            </w:tcBorders>
            <w:vAlign w:val="center"/>
          </w:tcPr>
          <w:p w14:paraId="1E40FCBC"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SBAS ground reference receiver*</w:t>
            </w:r>
          </w:p>
        </w:tc>
        <w:tc>
          <w:tcPr>
            <w:tcW w:w="462" w:type="pct"/>
            <w:tcBorders>
              <w:top w:val="single" w:sz="4" w:space="0" w:color="auto"/>
              <w:left w:val="single" w:sz="4" w:space="0" w:color="auto"/>
              <w:bottom w:val="single" w:sz="4" w:space="0" w:color="auto"/>
              <w:right w:val="single" w:sz="4" w:space="0" w:color="auto"/>
            </w:tcBorders>
            <w:vAlign w:val="center"/>
          </w:tcPr>
          <w:p w14:paraId="3E2C7DD5"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High-precision semi-codeless receiver*</w:t>
            </w:r>
          </w:p>
        </w:tc>
        <w:tc>
          <w:tcPr>
            <w:tcW w:w="451" w:type="pct"/>
            <w:tcBorders>
              <w:top w:val="single" w:sz="4" w:space="0" w:color="auto"/>
              <w:left w:val="single" w:sz="4" w:space="0" w:color="auto"/>
              <w:bottom w:val="single" w:sz="4" w:space="0" w:color="auto"/>
              <w:right w:val="single" w:sz="4" w:space="0" w:color="auto"/>
            </w:tcBorders>
            <w:vAlign w:val="center"/>
          </w:tcPr>
          <w:p w14:paraId="4BE41D6F" w14:textId="77777777" w:rsidR="003244CE" w:rsidRPr="00A73A1E" w:rsidRDefault="003244CE" w:rsidP="009C40C0">
            <w:pPr>
              <w:pStyle w:val="Tabletext"/>
              <w:jc w:val="center"/>
              <w:rPr>
                <w:rFonts w:eastAsia="MS PGothic"/>
                <w:bCs/>
                <w:sz w:val="16"/>
                <w:szCs w:val="16"/>
              </w:rPr>
            </w:pPr>
            <w:r w:rsidRPr="00A73A1E">
              <w:rPr>
                <w:rFonts w:eastAsia="MS PGothic"/>
                <w:bCs/>
                <w:sz w:val="16"/>
                <w:szCs w:val="16"/>
              </w:rPr>
              <w:t xml:space="preserve">High-precision receiver </w:t>
            </w:r>
            <w:r w:rsidRPr="00A73A1E">
              <w:rPr>
                <w:bCs/>
                <w:sz w:val="16"/>
                <w:szCs w:val="16"/>
                <w:lang w:eastAsia="zh-CN"/>
              </w:rPr>
              <w:t>using L2C</w:t>
            </w:r>
            <w:r w:rsidRPr="00A73A1E">
              <w:rPr>
                <w:rFonts w:eastAsia="MS PGothic"/>
                <w:bCs/>
                <w:sz w:val="16"/>
                <w:szCs w:val="16"/>
              </w:rPr>
              <w:t>*</w:t>
            </w:r>
          </w:p>
        </w:tc>
        <w:tc>
          <w:tcPr>
            <w:tcW w:w="476" w:type="pct"/>
            <w:tcBorders>
              <w:top w:val="single" w:sz="4" w:space="0" w:color="auto"/>
              <w:left w:val="single" w:sz="4" w:space="0" w:color="auto"/>
              <w:bottom w:val="single" w:sz="4" w:space="0" w:color="auto"/>
              <w:right w:val="single" w:sz="4" w:space="0" w:color="auto"/>
            </w:tcBorders>
            <w:vAlign w:val="center"/>
          </w:tcPr>
          <w:p w14:paraId="094A08FD"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High-precision receiver using B3 and B3A</w:t>
            </w:r>
          </w:p>
        </w:tc>
        <w:tc>
          <w:tcPr>
            <w:tcW w:w="555" w:type="pct"/>
            <w:tcBorders>
              <w:top w:val="single" w:sz="4" w:space="0" w:color="auto"/>
              <w:left w:val="single" w:sz="4" w:space="0" w:color="auto"/>
              <w:bottom w:val="single" w:sz="4" w:space="0" w:color="auto"/>
              <w:right w:val="single" w:sz="4" w:space="0" w:color="auto"/>
            </w:tcBorders>
            <w:vAlign w:val="center"/>
          </w:tcPr>
          <w:p w14:paraId="78478755"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High-accuracy and authentication receiver using</w:t>
            </w:r>
            <w:r w:rsidRPr="00A73A1E">
              <w:rPr>
                <w:rFonts w:eastAsia="MS PGothic"/>
                <w:sz w:val="16"/>
                <w:szCs w:val="16"/>
              </w:rPr>
              <w:br/>
              <w:t>E6-BC</w:t>
            </w:r>
            <w:r w:rsidRPr="00A73A1E">
              <w:rPr>
                <w:rFonts w:eastAsia="MS PGothic"/>
                <w:sz w:val="16"/>
                <w:szCs w:val="16"/>
                <w:lang w:eastAsia="ja-JP"/>
              </w:rPr>
              <w:t>/L6</w:t>
            </w:r>
          </w:p>
        </w:tc>
        <w:tc>
          <w:tcPr>
            <w:tcW w:w="49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B1FB546"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Air-navigation receiver</w:t>
            </w:r>
            <w:r w:rsidRPr="00A73A1E">
              <w:rPr>
                <w:rFonts w:eastAsia="MS PGothic"/>
                <w:sz w:val="16"/>
                <w:szCs w:val="16"/>
              </w:rPr>
              <w:br/>
              <w:t xml:space="preserve">(Note </w:t>
            </w:r>
            <w:r w:rsidRPr="00A73A1E">
              <w:rPr>
                <w:sz w:val="16"/>
                <w:szCs w:val="16"/>
              </w:rPr>
              <w:t>10</w:t>
            </w:r>
            <w:r w:rsidRPr="00A73A1E">
              <w:rPr>
                <w:rFonts w:eastAsia="MS PGothic"/>
                <w:sz w:val="16"/>
                <w:szCs w:val="16"/>
              </w:rPr>
              <w:t>)</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3A7A1FC3" w14:textId="77777777" w:rsidR="003244CE" w:rsidRPr="00A73A1E" w:rsidDel="00134614" w:rsidRDefault="003244CE" w:rsidP="009C40C0">
            <w:pPr>
              <w:pStyle w:val="Tabletext"/>
              <w:jc w:val="center"/>
              <w:rPr>
                <w:sz w:val="16"/>
                <w:szCs w:val="16"/>
              </w:rPr>
            </w:pPr>
            <w:r w:rsidRPr="00A73A1E">
              <w:rPr>
                <w:rFonts w:eastAsia="MS PGothic"/>
                <w:sz w:val="16"/>
                <w:szCs w:val="16"/>
              </w:rPr>
              <w:t>Indoor positioning</w:t>
            </w:r>
          </w:p>
        </w:tc>
        <w:tc>
          <w:tcPr>
            <w:tcW w:w="728" w:type="pct"/>
            <w:gridSpan w:val="2"/>
            <w:tcBorders>
              <w:top w:val="single" w:sz="4" w:space="0" w:color="auto"/>
              <w:left w:val="single" w:sz="4" w:space="0" w:color="auto"/>
              <w:bottom w:val="single" w:sz="4" w:space="0" w:color="auto"/>
              <w:right w:val="single" w:sz="4" w:space="0" w:color="auto"/>
            </w:tcBorders>
            <w:vAlign w:val="center"/>
          </w:tcPr>
          <w:p w14:paraId="7A2153E1"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General purpose</w:t>
            </w:r>
          </w:p>
        </w:tc>
      </w:tr>
      <w:tr w:rsidR="003244CE" w:rsidRPr="00A73A1E" w14:paraId="08889FFB" w14:textId="77777777" w:rsidTr="00227D04">
        <w:trPr>
          <w:jc w:val="center"/>
        </w:trPr>
        <w:tc>
          <w:tcPr>
            <w:tcW w:w="693" w:type="pct"/>
            <w:tcBorders>
              <w:top w:val="single" w:sz="4" w:space="0" w:color="auto"/>
              <w:left w:val="single" w:sz="4" w:space="0" w:color="auto"/>
              <w:bottom w:val="single" w:sz="4" w:space="0" w:color="auto"/>
              <w:right w:val="single" w:sz="4" w:space="0" w:color="auto"/>
            </w:tcBorders>
          </w:tcPr>
          <w:p w14:paraId="527A5B44" w14:textId="77777777" w:rsidR="003244CE" w:rsidRPr="00A73A1E" w:rsidRDefault="003244CE" w:rsidP="00227D04">
            <w:pPr>
              <w:pStyle w:val="Tabletext"/>
              <w:jc w:val="left"/>
              <w:rPr>
                <w:rFonts w:eastAsia="MS PGothic"/>
                <w:sz w:val="16"/>
                <w:szCs w:val="16"/>
              </w:rPr>
            </w:pPr>
            <w:r w:rsidRPr="00A73A1E">
              <w:rPr>
                <w:rFonts w:eastAsia="MS PGothic"/>
                <w:sz w:val="16"/>
                <w:szCs w:val="16"/>
              </w:rPr>
              <w:t>Tracking mode threshold power density level of aggregate wideband interference at the passive antenna output (dB(W/MHz))</w:t>
            </w:r>
          </w:p>
        </w:tc>
        <w:tc>
          <w:tcPr>
            <w:tcW w:w="417" w:type="pct"/>
            <w:tcBorders>
              <w:top w:val="single" w:sz="4" w:space="0" w:color="auto"/>
              <w:left w:val="single" w:sz="4" w:space="0" w:color="auto"/>
              <w:bottom w:val="single" w:sz="4" w:space="0" w:color="auto"/>
              <w:right w:val="single" w:sz="4" w:space="0" w:color="auto"/>
            </w:tcBorders>
            <w:vAlign w:val="center"/>
          </w:tcPr>
          <w:p w14:paraId="3B0C12F3"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–147.5 (P(Y))</w:t>
            </w:r>
            <w:r w:rsidRPr="00A73A1E">
              <w:rPr>
                <w:rFonts w:eastAsia="MS PGothic"/>
                <w:sz w:val="16"/>
                <w:szCs w:val="16"/>
              </w:rPr>
              <w:br/>
              <w:t>(Note 1)</w:t>
            </w:r>
          </w:p>
        </w:tc>
        <w:tc>
          <w:tcPr>
            <w:tcW w:w="462" w:type="pct"/>
            <w:tcBorders>
              <w:top w:val="single" w:sz="4" w:space="0" w:color="auto"/>
              <w:left w:val="single" w:sz="4" w:space="0" w:color="auto"/>
              <w:bottom w:val="single" w:sz="4" w:space="0" w:color="auto"/>
              <w:right w:val="single" w:sz="4" w:space="0" w:color="auto"/>
            </w:tcBorders>
            <w:vAlign w:val="center"/>
          </w:tcPr>
          <w:p w14:paraId="593FC68C"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–147.4 (P(Y))</w:t>
            </w:r>
            <w:r w:rsidRPr="00A73A1E">
              <w:rPr>
                <w:rFonts w:eastAsia="MS PGothic"/>
                <w:sz w:val="16"/>
                <w:szCs w:val="16"/>
              </w:rPr>
              <w:br/>
              <w:t>(Note 1)</w:t>
            </w:r>
          </w:p>
        </w:tc>
        <w:tc>
          <w:tcPr>
            <w:tcW w:w="451" w:type="pct"/>
            <w:tcBorders>
              <w:top w:val="single" w:sz="4" w:space="0" w:color="auto"/>
              <w:left w:val="single" w:sz="4" w:space="0" w:color="auto"/>
              <w:bottom w:val="single" w:sz="4" w:space="0" w:color="auto"/>
              <w:right w:val="single" w:sz="4" w:space="0" w:color="auto"/>
            </w:tcBorders>
            <w:vAlign w:val="center"/>
          </w:tcPr>
          <w:p w14:paraId="7EB0D3A1"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–147.4</w:t>
            </w:r>
            <w:r w:rsidRPr="00A73A1E">
              <w:rPr>
                <w:rFonts w:eastAsia="MS PGothic"/>
                <w:sz w:val="16"/>
                <w:szCs w:val="16"/>
              </w:rPr>
              <w:br/>
              <w:t>(Note 1)</w:t>
            </w:r>
          </w:p>
        </w:tc>
        <w:tc>
          <w:tcPr>
            <w:tcW w:w="476" w:type="pct"/>
            <w:tcBorders>
              <w:top w:val="single" w:sz="4" w:space="0" w:color="auto"/>
              <w:left w:val="single" w:sz="4" w:space="0" w:color="auto"/>
              <w:bottom w:val="single" w:sz="4" w:space="0" w:color="auto"/>
              <w:right w:val="single" w:sz="4" w:space="0" w:color="auto"/>
            </w:tcBorders>
            <w:vAlign w:val="center"/>
          </w:tcPr>
          <w:p w14:paraId="60B3C178"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–147.4</w:t>
            </w:r>
            <w:r w:rsidRPr="00A73A1E">
              <w:rPr>
                <w:rFonts w:eastAsia="MS PGothic"/>
                <w:sz w:val="16"/>
                <w:szCs w:val="16"/>
              </w:rPr>
              <w:br/>
            </w:r>
            <w:r w:rsidRPr="00A73A1E">
              <w:rPr>
                <w:sz w:val="16"/>
                <w:szCs w:val="16"/>
                <w:lang w:eastAsia="ja-JP"/>
              </w:rPr>
              <w:t xml:space="preserve">(Note </w:t>
            </w:r>
            <w:r w:rsidRPr="00A73A1E">
              <w:rPr>
                <w:sz w:val="16"/>
                <w:szCs w:val="16"/>
              </w:rPr>
              <w:t>2</w:t>
            </w:r>
            <w:r w:rsidRPr="00A73A1E">
              <w:rPr>
                <w:sz w:val="16"/>
                <w:szCs w:val="16"/>
                <w:lang w:eastAsia="ja-JP"/>
              </w:rPr>
              <w:t>)</w:t>
            </w:r>
          </w:p>
        </w:tc>
        <w:tc>
          <w:tcPr>
            <w:tcW w:w="555" w:type="pct"/>
            <w:tcBorders>
              <w:top w:val="single" w:sz="4" w:space="0" w:color="auto"/>
              <w:left w:val="single" w:sz="4" w:space="0" w:color="auto"/>
              <w:bottom w:val="single" w:sz="4" w:space="0" w:color="auto"/>
              <w:right w:val="single" w:sz="4" w:space="0" w:color="auto"/>
            </w:tcBorders>
            <w:vAlign w:val="center"/>
          </w:tcPr>
          <w:p w14:paraId="6B120DB4"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–140</w:t>
            </w:r>
            <w:r w:rsidRPr="00A73A1E">
              <w:rPr>
                <w:rFonts w:eastAsia="MS PGothic"/>
                <w:sz w:val="16"/>
                <w:szCs w:val="16"/>
              </w:rPr>
              <w:br/>
              <w:t>(Note 16)</w:t>
            </w:r>
          </w:p>
        </w:tc>
        <w:tc>
          <w:tcPr>
            <w:tcW w:w="496" w:type="pct"/>
            <w:tcBorders>
              <w:top w:val="single" w:sz="4" w:space="0" w:color="auto"/>
              <w:left w:val="single" w:sz="4" w:space="0" w:color="auto"/>
              <w:bottom w:val="single" w:sz="4" w:space="0" w:color="auto"/>
              <w:right w:val="single" w:sz="4" w:space="0" w:color="auto"/>
            </w:tcBorders>
            <w:vAlign w:val="center"/>
          </w:tcPr>
          <w:p w14:paraId="2EA4AEEC" w14:textId="77777777" w:rsidR="003244CE" w:rsidRPr="00A73A1E" w:rsidRDefault="003244CE" w:rsidP="009C40C0">
            <w:pPr>
              <w:pStyle w:val="Tabletext"/>
              <w:jc w:val="center"/>
              <w:rPr>
                <w:sz w:val="16"/>
                <w:szCs w:val="16"/>
                <w:lang w:eastAsia="ja-JP"/>
              </w:rPr>
            </w:pPr>
            <w:r w:rsidRPr="00A73A1E">
              <w:rPr>
                <w:rFonts w:eastAsia="MS PGothic"/>
                <w:sz w:val="16"/>
                <w:szCs w:val="16"/>
              </w:rPr>
              <w:t>–</w:t>
            </w:r>
            <w:r w:rsidRPr="00A73A1E">
              <w:rPr>
                <w:sz w:val="16"/>
                <w:szCs w:val="16"/>
                <w:lang w:eastAsia="ja-JP"/>
              </w:rPr>
              <w:t xml:space="preserve">140 </w:t>
            </w:r>
            <w:r w:rsidRPr="00A73A1E">
              <w:rPr>
                <w:rFonts w:eastAsia="MS PGothic"/>
                <w:sz w:val="16"/>
                <w:szCs w:val="16"/>
              </w:rPr>
              <w:t>(Note 1)</w:t>
            </w:r>
            <w:r w:rsidRPr="00A73A1E">
              <w:rPr>
                <w:sz w:val="16"/>
                <w:szCs w:val="16"/>
                <w:lang w:eastAsia="ja-JP"/>
              </w:rPr>
              <w:t xml:space="preserve"> (Note </w:t>
            </w:r>
            <w:r w:rsidRPr="00A73A1E">
              <w:rPr>
                <w:sz w:val="16"/>
                <w:szCs w:val="16"/>
              </w:rPr>
              <w:t>9</w:t>
            </w:r>
            <w:r w:rsidRPr="00A73A1E">
              <w:rPr>
                <w:sz w:val="16"/>
                <w:szCs w:val="16"/>
                <w:lang w:eastAsia="ja-JP"/>
              </w:rPr>
              <w:t>)</w:t>
            </w:r>
          </w:p>
        </w:tc>
        <w:tc>
          <w:tcPr>
            <w:tcW w:w="374" w:type="pct"/>
            <w:tcBorders>
              <w:top w:val="single" w:sz="4" w:space="0" w:color="auto"/>
              <w:left w:val="single" w:sz="4" w:space="0" w:color="auto"/>
              <w:bottom w:val="single" w:sz="4" w:space="0" w:color="auto"/>
              <w:right w:val="single" w:sz="4" w:space="0" w:color="auto"/>
            </w:tcBorders>
            <w:vAlign w:val="center"/>
          </w:tcPr>
          <w:p w14:paraId="7ED76960"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w:t>
            </w:r>
            <w:r w:rsidRPr="00A73A1E">
              <w:rPr>
                <w:sz w:val="16"/>
                <w:szCs w:val="16"/>
                <w:lang w:eastAsia="ja-JP"/>
              </w:rPr>
              <w:t>150</w:t>
            </w:r>
            <w:r w:rsidRPr="00A73A1E">
              <w:rPr>
                <w:sz w:val="16"/>
                <w:szCs w:val="16"/>
                <w:lang w:eastAsia="ja-JP"/>
              </w:rPr>
              <w:br/>
              <w:t>(Note 1)</w:t>
            </w:r>
          </w:p>
        </w:tc>
        <w:tc>
          <w:tcPr>
            <w:tcW w:w="348" w:type="pct"/>
            <w:tcBorders>
              <w:top w:val="single" w:sz="4" w:space="0" w:color="auto"/>
              <w:left w:val="single" w:sz="4" w:space="0" w:color="auto"/>
              <w:bottom w:val="single" w:sz="4" w:space="0" w:color="auto"/>
              <w:right w:val="single" w:sz="4" w:space="0" w:color="auto"/>
            </w:tcBorders>
            <w:vAlign w:val="center"/>
          </w:tcPr>
          <w:p w14:paraId="28F27951" w14:textId="77777777" w:rsidR="003244CE" w:rsidRPr="00A73A1E" w:rsidDel="007508B4" w:rsidRDefault="003244CE" w:rsidP="009C40C0">
            <w:pPr>
              <w:pStyle w:val="Tabletext"/>
              <w:jc w:val="center"/>
              <w:rPr>
                <w:rFonts w:eastAsia="MS PGothic"/>
                <w:sz w:val="16"/>
                <w:szCs w:val="16"/>
              </w:rPr>
            </w:pPr>
            <w:r w:rsidRPr="00A73A1E">
              <w:rPr>
                <w:rFonts w:eastAsia="MS PGothic"/>
                <w:sz w:val="16"/>
                <w:szCs w:val="16"/>
              </w:rPr>
              <w:t>–</w:t>
            </w:r>
            <w:r w:rsidRPr="00A73A1E">
              <w:rPr>
                <w:sz w:val="16"/>
                <w:szCs w:val="16"/>
                <w:lang w:eastAsia="ja-JP"/>
              </w:rPr>
              <w:t>1</w:t>
            </w:r>
            <w:r w:rsidRPr="00A73A1E">
              <w:rPr>
                <w:sz w:val="16"/>
                <w:szCs w:val="16"/>
                <w:lang w:eastAsia="zh-CN"/>
              </w:rPr>
              <w:t>45</w:t>
            </w:r>
            <w:r w:rsidRPr="00A73A1E">
              <w:rPr>
                <w:rFonts w:eastAsia="MS PGothic"/>
                <w:sz w:val="16"/>
                <w:szCs w:val="16"/>
              </w:rPr>
              <w:br/>
            </w:r>
            <w:r w:rsidRPr="00A73A1E">
              <w:rPr>
                <w:sz w:val="16"/>
                <w:szCs w:val="16"/>
                <w:lang w:eastAsia="zh-CN"/>
              </w:rPr>
              <w:t>(Note 2)</w:t>
            </w:r>
          </w:p>
        </w:tc>
        <w:tc>
          <w:tcPr>
            <w:tcW w:w="370" w:type="pct"/>
            <w:tcBorders>
              <w:top w:val="single" w:sz="4" w:space="0" w:color="auto"/>
              <w:left w:val="single" w:sz="4" w:space="0" w:color="auto"/>
              <w:bottom w:val="single" w:sz="4" w:space="0" w:color="auto"/>
              <w:right w:val="single" w:sz="4" w:space="0" w:color="auto"/>
            </w:tcBorders>
            <w:vAlign w:val="center"/>
          </w:tcPr>
          <w:p w14:paraId="7924F290"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w:t>
            </w:r>
            <w:r w:rsidRPr="00A73A1E">
              <w:rPr>
                <w:sz w:val="16"/>
                <w:szCs w:val="16"/>
                <w:lang w:eastAsia="ja-JP"/>
              </w:rPr>
              <w:t>139</w:t>
            </w:r>
            <w:r w:rsidRPr="00A73A1E">
              <w:rPr>
                <w:sz w:val="16"/>
                <w:szCs w:val="16"/>
                <w:lang w:eastAsia="ja-JP"/>
              </w:rPr>
              <w:br/>
              <w:t>(Note 1)</w:t>
            </w:r>
          </w:p>
        </w:tc>
        <w:tc>
          <w:tcPr>
            <w:tcW w:w="358" w:type="pct"/>
            <w:tcBorders>
              <w:top w:val="single" w:sz="4" w:space="0" w:color="auto"/>
              <w:left w:val="single" w:sz="4" w:space="0" w:color="auto"/>
              <w:bottom w:val="single" w:sz="4" w:space="0" w:color="auto"/>
              <w:right w:val="single" w:sz="4" w:space="0" w:color="auto"/>
            </w:tcBorders>
            <w:vAlign w:val="center"/>
          </w:tcPr>
          <w:p w14:paraId="197A6BDC" w14:textId="77777777" w:rsidR="003244CE" w:rsidRPr="00A73A1E" w:rsidRDefault="003244CE" w:rsidP="009C40C0">
            <w:pPr>
              <w:pStyle w:val="Tabletext"/>
              <w:jc w:val="center"/>
              <w:rPr>
                <w:rFonts w:eastAsia="MS PGothic"/>
                <w:sz w:val="16"/>
                <w:szCs w:val="16"/>
              </w:rPr>
            </w:pPr>
            <w:r w:rsidRPr="00A73A1E">
              <w:rPr>
                <w:rFonts w:ascii="SimSun" w:hAnsi="SimSun"/>
                <w:sz w:val="16"/>
                <w:szCs w:val="16"/>
                <w:lang w:eastAsia="zh-CN"/>
              </w:rPr>
              <w:t>-</w:t>
            </w:r>
            <w:r w:rsidRPr="00A73A1E">
              <w:rPr>
                <w:sz w:val="16"/>
                <w:szCs w:val="16"/>
                <w:lang w:eastAsia="zh-CN"/>
              </w:rPr>
              <w:t>140</w:t>
            </w:r>
            <w:r w:rsidRPr="00A73A1E">
              <w:rPr>
                <w:rFonts w:eastAsia="MS PGothic"/>
                <w:sz w:val="16"/>
                <w:szCs w:val="16"/>
              </w:rPr>
              <w:br/>
            </w:r>
            <w:r w:rsidRPr="00A73A1E">
              <w:rPr>
                <w:sz w:val="16"/>
                <w:szCs w:val="16"/>
                <w:lang w:eastAsia="ja-JP"/>
              </w:rPr>
              <w:t xml:space="preserve">(Note </w:t>
            </w:r>
            <w:r w:rsidRPr="00A73A1E">
              <w:rPr>
                <w:sz w:val="16"/>
                <w:szCs w:val="16"/>
              </w:rPr>
              <w:t>2</w:t>
            </w:r>
            <w:r w:rsidRPr="00A73A1E">
              <w:rPr>
                <w:sz w:val="16"/>
                <w:szCs w:val="16"/>
                <w:lang w:eastAsia="ja-JP"/>
              </w:rPr>
              <w:t>)</w:t>
            </w:r>
          </w:p>
        </w:tc>
      </w:tr>
      <w:tr w:rsidR="003244CE" w:rsidRPr="00A73A1E" w14:paraId="6B206581" w14:textId="77777777" w:rsidTr="00227D04">
        <w:trPr>
          <w:jc w:val="center"/>
        </w:trPr>
        <w:tc>
          <w:tcPr>
            <w:tcW w:w="693" w:type="pct"/>
            <w:tcBorders>
              <w:top w:val="single" w:sz="4" w:space="0" w:color="auto"/>
              <w:left w:val="single" w:sz="4" w:space="0" w:color="auto"/>
              <w:bottom w:val="single" w:sz="4" w:space="0" w:color="auto"/>
              <w:right w:val="single" w:sz="4" w:space="0" w:color="auto"/>
            </w:tcBorders>
          </w:tcPr>
          <w:p w14:paraId="7C6E177A" w14:textId="77777777" w:rsidR="003244CE" w:rsidRPr="00A73A1E" w:rsidRDefault="003244CE" w:rsidP="00227D04">
            <w:pPr>
              <w:pStyle w:val="Tabletext"/>
              <w:jc w:val="left"/>
              <w:rPr>
                <w:sz w:val="16"/>
                <w:szCs w:val="16"/>
              </w:rPr>
            </w:pPr>
            <w:r w:rsidRPr="00A73A1E">
              <w:rPr>
                <w:rFonts w:eastAsia="MS PGothic"/>
                <w:sz w:val="16"/>
                <w:szCs w:val="16"/>
              </w:rPr>
              <w:t xml:space="preserve">Acquisition mode threshold power density level of aggregate wideband interference at the passive antenna output (dB(W/MHz)) </w:t>
            </w:r>
          </w:p>
        </w:tc>
        <w:tc>
          <w:tcPr>
            <w:tcW w:w="417" w:type="pct"/>
            <w:tcBorders>
              <w:top w:val="single" w:sz="4" w:space="0" w:color="auto"/>
              <w:left w:val="single" w:sz="4" w:space="0" w:color="auto"/>
              <w:bottom w:val="single" w:sz="4" w:space="0" w:color="auto"/>
              <w:right w:val="single" w:sz="4" w:space="0" w:color="auto"/>
            </w:tcBorders>
            <w:vAlign w:val="center"/>
          </w:tcPr>
          <w:p w14:paraId="2687A579"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See Note </w:t>
            </w:r>
            <w:r w:rsidRPr="00A73A1E">
              <w:rPr>
                <w:sz w:val="16"/>
                <w:szCs w:val="16"/>
              </w:rPr>
              <w:t>4</w:t>
            </w:r>
          </w:p>
        </w:tc>
        <w:tc>
          <w:tcPr>
            <w:tcW w:w="462" w:type="pct"/>
            <w:tcBorders>
              <w:top w:val="single" w:sz="4" w:space="0" w:color="auto"/>
              <w:left w:val="single" w:sz="4" w:space="0" w:color="auto"/>
              <w:bottom w:val="single" w:sz="4" w:space="0" w:color="auto"/>
              <w:right w:val="single" w:sz="4" w:space="0" w:color="auto"/>
            </w:tcBorders>
            <w:vAlign w:val="center"/>
          </w:tcPr>
          <w:p w14:paraId="3CE3DA11"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See Note </w:t>
            </w:r>
            <w:r w:rsidRPr="00A73A1E">
              <w:rPr>
                <w:sz w:val="16"/>
                <w:szCs w:val="16"/>
              </w:rPr>
              <w:t>5</w:t>
            </w:r>
          </w:p>
        </w:tc>
        <w:tc>
          <w:tcPr>
            <w:tcW w:w="451" w:type="pct"/>
            <w:tcBorders>
              <w:top w:val="single" w:sz="4" w:space="0" w:color="auto"/>
              <w:left w:val="single" w:sz="4" w:space="0" w:color="auto"/>
              <w:bottom w:val="single" w:sz="4" w:space="0" w:color="auto"/>
              <w:right w:val="single" w:sz="4" w:space="0" w:color="auto"/>
            </w:tcBorders>
            <w:vAlign w:val="center"/>
          </w:tcPr>
          <w:p w14:paraId="0C31801E"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–147.4</w:t>
            </w:r>
            <w:r w:rsidRPr="00A73A1E">
              <w:rPr>
                <w:rFonts w:eastAsia="MS PGothic"/>
                <w:sz w:val="16"/>
                <w:szCs w:val="16"/>
              </w:rPr>
              <w:br/>
              <w:t>(Note 1)</w:t>
            </w:r>
          </w:p>
        </w:tc>
        <w:tc>
          <w:tcPr>
            <w:tcW w:w="476" w:type="pct"/>
            <w:tcBorders>
              <w:top w:val="single" w:sz="4" w:space="0" w:color="auto"/>
              <w:left w:val="single" w:sz="4" w:space="0" w:color="auto"/>
              <w:bottom w:val="single" w:sz="4" w:space="0" w:color="auto"/>
              <w:right w:val="single" w:sz="4" w:space="0" w:color="auto"/>
            </w:tcBorders>
            <w:vAlign w:val="center"/>
          </w:tcPr>
          <w:p w14:paraId="620CAC61"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–1</w:t>
            </w:r>
            <w:r w:rsidRPr="00A73A1E">
              <w:rPr>
                <w:sz w:val="16"/>
                <w:szCs w:val="16"/>
                <w:lang w:eastAsia="zh-CN"/>
              </w:rPr>
              <w:t>47</w:t>
            </w:r>
            <w:r w:rsidRPr="00A73A1E">
              <w:rPr>
                <w:rFonts w:eastAsia="MS PGothic"/>
                <w:sz w:val="16"/>
                <w:szCs w:val="16"/>
              </w:rPr>
              <w:t>.4</w:t>
            </w:r>
            <w:r w:rsidRPr="00A73A1E">
              <w:rPr>
                <w:rFonts w:eastAsia="MS PGothic"/>
                <w:sz w:val="16"/>
                <w:szCs w:val="16"/>
              </w:rPr>
              <w:br/>
            </w:r>
            <w:r w:rsidRPr="00A73A1E">
              <w:rPr>
                <w:sz w:val="16"/>
                <w:szCs w:val="16"/>
                <w:lang w:eastAsia="ja-JP"/>
              </w:rPr>
              <w:t xml:space="preserve">(Note </w:t>
            </w:r>
            <w:r w:rsidRPr="00A73A1E">
              <w:rPr>
                <w:sz w:val="16"/>
                <w:szCs w:val="16"/>
              </w:rPr>
              <w:t>2</w:t>
            </w:r>
            <w:r w:rsidRPr="00A73A1E">
              <w:rPr>
                <w:sz w:val="16"/>
                <w:szCs w:val="16"/>
                <w:lang w:eastAsia="ja-JP"/>
              </w:rPr>
              <w:t>)</w:t>
            </w:r>
          </w:p>
        </w:tc>
        <w:tc>
          <w:tcPr>
            <w:tcW w:w="555" w:type="pct"/>
            <w:tcBorders>
              <w:top w:val="single" w:sz="4" w:space="0" w:color="auto"/>
              <w:left w:val="single" w:sz="4" w:space="0" w:color="auto"/>
              <w:bottom w:val="single" w:sz="4" w:space="0" w:color="auto"/>
              <w:right w:val="single" w:sz="4" w:space="0" w:color="auto"/>
            </w:tcBorders>
            <w:vAlign w:val="center"/>
          </w:tcPr>
          <w:p w14:paraId="1B3DE8E5"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See Note 17</w:t>
            </w:r>
          </w:p>
        </w:tc>
        <w:tc>
          <w:tcPr>
            <w:tcW w:w="496" w:type="pct"/>
            <w:tcBorders>
              <w:top w:val="single" w:sz="4" w:space="0" w:color="auto"/>
              <w:left w:val="single" w:sz="4" w:space="0" w:color="auto"/>
              <w:bottom w:val="single" w:sz="4" w:space="0" w:color="auto"/>
              <w:right w:val="single" w:sz="4" w:space="0" w:color="auto"/>
            </w:tcBorders>
            <w:vAlign w:val="center"/>
          </w:tcPr>
          <w:p w14:paraId="311C62FF" w14:textId="77777777" w:rsidR="003244CE" w:rsidRPr="00A73A1E" w:rsidRDefault="003244CE" w:rsidP="009C40C0">
            <w:pPr>
              <w:pStyle w:val="Tabletext"/>
              <w:jc w:val="center"/>
              <w:rPr>
                <w:sz w:val="16"/>
                <w:szCs w:val="16"/>
                <w:lang w:eastAsia="ja-JP"/>
              </w:rPr>
            </w:pPr>
            <w:r w:rsidRPr="00A73A1E">
              <w:rPr>
                <w:rFonts w:eastAsia="MS PGothic"/>
                <w:sz w:val="16"/>
                <w:szCs w:val="16"/>
              </w:rPr>
              <w:t>–</w:t>
            </w:r>
            <w:r w:rsidRPr="00A73A1E">
              <w:rPr>
                <w:sz w:val="16"/>
                <w:szCs w:val="16"/>
                <w:lang w:eastAsia="ja-JP"/>
              </w:rPr>
              <w:t xml:space="preserve">146 </w:t>
            </w:r>
            <w:r w:rsidRPr="00A73A1E">
              <w:rPr>
                <w:rFonts w:eastAsia="MS PGothic"/>
                <w:sz w:val="16"/>
                <w:szCs w:val="16"/>
              </w:rPr>
              <w:t>(Note 1)</w:t>
            </w:r>
            <w:r w:rsidRPr="00A73A1E">
              <w:rPr>
                <w:sz w:val="16"/>
                <w:szCs w:val="16"/>
                <w:lang w:eastAsia="ja-JP"/>
              </w:rPr>
              <w:t xml:space="preserve"> (Note </w:t>
            </w:r>
            <w:r w:rsidRPr="00A73A1E">
              <w:rPr>
                <w:sz w:val="16"/>
                <w:szCs w:val="16"/>
              </w:rPr>
              <w:t>9</w:t>
            </w:r>
            <w:r w:rsidRPr="00A73A1E">
              <w:rPr>
                <w:sz w:val="16"/>
                <w:szCs w:val="16"/>
                <w:lang w:eastAsia="ja-JP"/>
              </w:rPr>
              <w:t>)</w:t>
            </w:r>
          </w:p>
        </w:tc>
        <w:tc>
          <w:tcPr>
            <w:tcW w:w="374" w:type="pct"/>
            <w:tcBorders>
              <w:top w:val="single" w:sz="4" w:space="0" w:color="auto"/>
              <w:left w:val="single" w:sz="4" w:space="0" w:color="auto"/>
              <w:bottom w:val="single" w:sz="4" w:space="0" w:color="auto"/>
              <w:right w:val="single" w:sz="4" w:space="0" w:color="auto"/>
            </w:tcBorders>
            <w:vAlign w:val="center"/>
          </w:tcPr>
          <w:p w14:paraId="290EA741" w14:textId="77777777" w:rsidR="003244CE" w:rsidRPr="00A73A1E" w:rsidRDefault="003244CE" w:rsidP="009C40C0">
            <w:pPr>
              <w:pStyle w:val="Tabletext"/>
              <w:jc w:val="center"/>
              <w:rPr>
                <w:sz w:val="16"/>
                <w:szCs w:val="16"/>
                <w:lang w:eastAsia="ja-JP"/>
              </w:rPr>
            </w:pPr>
            <w:r w:rsidRPr="00A73A1E">
              <w:rPr>
                <w:rFonts w:eastAsia="MS PGothic"/>
                <w:sz w:val="16"/>
                <w:szCs w:val="16"/>
              </w:rPr>
              <w:t>–</w:t>
            </w:r>
            <w:r w:rsidRPr="00A73A1E">
              <w:rPr>
                <w:sz w:val="16"/>
                <w:szCs w:val="16"/>
                <w:lang w:eastAsia="ja-JP"/>
              </w:rPr>
              <w:t>156</w:t>
            </w:r>
            <w:r w:rsidRPr="00A73A1E">
              <w:rPr>
                <w:sz w:val="16"/>
                <w:szCs w:val="16"/>
                <w:lang w:eastAsia="ja-JP"/>
              </w:rPr>
              <w:br/>
              <w:t>(Note 1)</w:t>
            </w:r>
          </w:p>
        </w:tc>
        <w:tc>
          <w:tcPr>
            <w:tcW w:w="348" w:type="pct"/>
            <w:tcBorders>
              <w:top w:val="single" w:sz="4" w:space="0" w:color="auto"/>
              <w:left w:val="single" w:sz="4" w:space="0" w:color="auto"/>
              <w:bottom w:val="single" w:sz="4" w:space="0" w:color="auto"/>
              <w:right w:val="single" w:sz="4" w:space="0" w:color="auto"/>
            </w:tcBorders>
            <w:vAlign w:val="center"/>
          </w:tcPr>
          <w:p w14:paraId="3233418E" w14:textId="77777777" w:rsidR="003244CE" w:rsidRPr="00A73A1E" w:rsidDel="007508B4" w:rsidRDefault="003244CE" w:rsidP="009C40C0">
            <w:pPr>
              <w:pStyle w:val="Tabletext"/>
              <w:jc w:val="center"/>
              <w:rPr>
                <w:rFonts w:eastAsia="MS PGothic"/>
                <w:sz w:val="16"/>
                <w:szCs w:val="16"/>
              </w:rPr>
            </w:pPr>
            <w:r w:rsidRPr="00A73A1E">
              <w:rPr>
                <w:rFonts w:eastAsia="MS PGothic"/>
                <w:sz w:val="16"/>
                <w:szCs w:val="16"/>
              </w:rPr>
              <w:t>–</w:t>
            </w:r>
            <w:r w:rsidRPr="00A73A1E">
              <w:rPr>
                <w:sz w:val="16"/>
                <w:szCs w:val="16"/>
                <w:lang w:eastAsia="ja-JP"/>
              </w:rPr>
              <w:t>15</w:t>
            </w:r>
            <w:r w:rsidRPr="00A73A1E">
              <w:rPr>
                <w:sz w:val="16"/>
                <w:szCs w:val="16"/>
                <w:lang w:eastAsia="zh-CN"/>
              </w:rPr>
              <w:t>1</w:t>
            </w:r>
            <w:r w:rsidRPr="00A73A1E">
              <w:rPr>
                <w:rFonts w:eastAsia="MS PGothic"/>
                <w:sz w:val="16"/>
                <w:szCs w:val="16"/>
              </w:rPr>
              <w:br/>
            </w:r>
            <w:r w:rsidRPr="00A73A1E">
              <w:rPr>
                <w:sz w:val="16"/>
                <w:szCs w:val="16"/>
                <w:lang w:eastAsia="zh-CN"/>
              </w:rPr>
              <w:t>(Note 2)</w:t>
            </w:r>
          </w:p>
        </w:tc>
        <w:tc>
          <w:tcPr>
            <w:tcW w:w="370" w:type="pct"/>
            <w:tcBorders>
              <w:top w:val="single" w:sz="4" w:space="0" w:color="auto"/>
              <w:left w:val="single" w:sz="4" w:space="0" w:color="auto"/>
              <w:bottom w:val="single" w:sz="4" w:space="0" w:color="auto"/>
              <w:right w:val="single" w:sz="4" w:space="0" w:color="auto"/>
            </w:tcBorders>
            <w:vAlign w:val="center"/>
          </w:tcPr>
          <w:p w14:paraId="7366AF5D"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w:t>
            </w:r>
            <w:r w:rsidRPr="00A73A1E">
              <w:rPr>
                <w:sz w:val="16"/>
                <w:szCs w:val="16"/>
                <w:lang w:eastAsia="ja-JP"/>
              </w:rPr>
              <w:t>145</w:t>
            </w:r>
            <w:r w:rsidRPr="00A73A1E">
              <w:rPr>
                <w:sz w:val="16"/>
                <w:szCs w:val="16"/>
                <w:lang w:eastAsia="ja-JP"/>
              </w:rPr>
              <w:br/>
              <w:t>(Note 1)</w:t>
            </w:r>
          </w:p>
        </w:tc>
        <w:tc>
          <w:tcPr>
            <w:tcW w:w="358" w:type="pct"/>
            <w:tcBorders>
              <w:top w:val="single" w:sz="4" w:space="0" w:color="auto"/>
              <w:left w:val="single" w:sz="4" w:space="0" w:color="auto"/>
              <w:bottom w:val="single" w:sz="4" w:space="0" w:color="auto"/>
              <w:right w:val="single" w:sz="4" w:space="0" w:color="auto"/>
            </w:tcBorders>
            <w:vAlign w:val="center"/>
          </w:tcPr>
          <w:p w14:paraId="45626744" w14:textId="77777777" w:rsidR="003244CE" w:rsidRPr="00A73A1E" w:rsidRDefault="003244CE" w:rsidP="009C40C0">
            <w:pPr>
              <w:pStyle w:val="Tabletext"/>
              <w:jc w:val="center"/>
              <w:rPr>
                <w:rFonts w:eastAsia="MS PGothic"/>
                <w:sz w:val="16"/>
                <w:szCs w:val="16"/>
              </w:rPr>
            </w:pPr>
            <w:r w:rsidRPr="00A73A1E">
              <w:rPr>
                <w:rFonts w:ascii="SimSun" w:hAnsi="SimSun"/>
                <w:sz w:val="16"/>
                <w:szCs w:val="16"/>
                <w:lang w:eastAsia="zh-CN"/>
              </w:rPr>
              <w:t>-</w:t>
            </w:r>
            <w:r w:rsidRPr="00A73A1E">
              <w:rPr>
                <w:sz w:val="16"/>
                <w:szCs w:val="16"/>
                <w:lang w:eastAsia="zh-CN"/>
              </w:rPr>
              <w:t>146</w:t>
            </w:r>
            <w:r w:rsidRPr="00A73A1E">
              <w:rPr>
                <w:rFonts w:eastAsia="MS PGothic"/>
                <w:sz w:val="16"/>
                <w:szCs w:val="16"/>
              </w:rPr>
              <w:br/>
            </w:r>
            <w:r w:rsidRPr="00A73A1E">
              <w:rPr>
                <w:sz w:val="16"/>
                <w:szCs w:val="16"/>
                <w:lang w:eastAsia="ja-JP"/>
              </w:rPr>
              <w:t xml:space="preserve">(Note </w:t>
            </w:r>
            <w:r w:rsidRPr="00A73A1E">
              <w:rPr>
                <w:sz w:val="16"/>
                <w:szCs w:val="16"/>
              </w:rPr>
              <w:t>2</w:t>
            </w:r>
            <w:r w:rsidRPr="00A73A1E">
              <w:rPr>
                <w:sz w:val="16"/>
                <w:szCs w:val="16"/>
                <w:lang w:eastAsia="ja-JP"/>
              </w:rPr>
              <w:t>)</w:t>
            </w:r>
          </w:p>
        </w:tc>
      </w:tr>
      <w:tr w:rsidR="003244CE" w:rsidRPr="00A73A1E" w14:paraId="23F0F169" w14:textId="77777777" w:rsidTr="00227D04">
        <w:trPr>
          <w:jc w:val="center"/>
        </w:trPr>
        <w:tc>
          <w:tcPr>
            <w:tcW w:w="5000" w:type="pct"/>
            <w:gridSpan w:val="11"/>
            <w:tcBorders>
              <w:top w:val="single" w:sz="4" w:space="0" w:color="auto"/>
              <w:left w:val="single" w:sz="4" w:space="0" w:color="auto"/>
              <w:bottom w:val="single" w:sz="4" w:space="0" w:color="auto"/>
              <w:right w:val="single" w:sz="4" w:space="0" w:color="auto"/>
            </w:tcBorders>
          </w:tcPr>
          <w:p w14:paraId="54E302D8" w14:textId="77777777" w:rsidR="003244CE" w:rsidRPr="00A73A1E" w:rsidRDefault="003244CE" w:rsidP="00227D04">
            <w:pPr>
              <w:pStyle w:val="Tabletext"/>
              <w:jc w:val="left"/>
              <w:rPr>
                <w:rFonts w:eastAsia="MS PGothic"/>
                <w:b/>
                <w:sz w:val="16"/>
                <w:szCs w:val="16"/>
              </w:rPr>
            </w:pPr>
            <w:r w:rsidRPr="00A73A1E">
              <w:rPr>
                <w:rFonts w:eastAsia="MS PGothic"/>
                <w:b/>
                <w:sz w:val="16"/>
                <w:szCs w:val="16"/>
              </w:rPr>
              <w:t xml:space="preserve">Thresholds for pulsed interference </w:t>
            </w:r>
            <w:r w:rsidRPr="00A73A1E">
              <w:rPr>
                <w:b/>
                <w:sz w:val="16"/>
                <w:szCs w:val="16"/>
              </w:rPr>
              <w:t>(see Note 14)</w:t>
            </w:r>
          </w:p>
        </w:tc>
      </w:tr>
      <w:tr w:rsidR="003244CE" w:rsidRPr="00A73A1E" w14:paraId="21F27019" w14:textId="77777777" w:rsidTr="00227D04">
        <w:trPr>
          <w:jc w:val="center"/>
        </w:trPr>
        <w:tc>
          <w:tcPr>
            <w:tcW w:w="693" w:type="pct"/>
            <w:tcBorders>
              <w:top w:val="single" w:sz="4" w:space="0" w:color="auto"/>
              <w:left w:val="single" w:sz="4" w:space="0" w:color="auto"/>
              <w:bottom w:val="single" w:sz="4" w:space="0" w:color="auto"/>
              <w:right w:val="single" w:sz="4" w:space="0" w:color="auto"/>
            </w:tcBorders>
          </w:tcPr>
          <w:p w14:paraId="6D6A13EC" w14:textId="77777777" w:rsidR="003244CE" w:rsidRPr="00A73A1E" w:rsidRDefault="003244CE" w:rsidP="00227D04">
            <w:pPr>
              <w:pStyle w:val="Tabletext"/>
              <w:jc w:val="left"/>
              <w:rPr>
                <w:rFonts w:eastAsia="MS PGothic"/>
                <w:bCs/>
                <w:i/>
                <w:iCs/>
                <w:sz w:val="16"/>
                <w:szCs w:val="16"/>
              </w:rPr>
            </w:pPr>
            <w:r w:rsidRPr="00A73A1E">
              <w:rPr>
                <w:sz w:val="16"/>
                <w:szCs w:val="16"/>
              </w:rPr>
              <w:t>Receiver input saturation level (</w:t>
            </w:r>
            <w:proofErr w:type="spellStart"/>
            <w:r w:rsidRPr="00A73A1E">
              <w:rPr>
                <w:sz w:val="16"/>
                <w:szCs w:val="16"/>
              </w:rPr>
              <w:t>dBW</w:t>
            </w:r>
            <w:proofErr w:type="spellEnd"/>
            <w:r w:rsidRPr="00A73A1E">
              <w:rPr>
                <w:sz w:val="16"/>
                <w:szCs w:val="16"/>
              </w:rPr>
              <w:t xml:space="preserve">) </w:t>
            </w:r>
            <w:r w:rsidRPr="00A73A1E">
              <w:rPr>
                <w:rFonts w:eastAsia="MS PGothic"/>
                <w:sz w:val="16"/>
                <w:szCs w:val="16"/>
              </w:rPr>
              <w:t>(Note </w:t>
            </w:r>
            <w:r w:rsidRPr="00A73A1E">
              <w:rPr>
                <w:sz w:val="16"/>
                <w:szCs w:val="16"/>
              </w:rPr>
              <w:t>14</w:t>
            </w:r>
            <w:r w:rsidRPr="00A73A1E">
              <w:rPr>
                <w:rFonts w:eastAsia="MS PGothic"/>
                <w:sz w:val="16"/>
                <w:szCs w:val="16"/>
              </w:rPr>
              <w:t>)</w:t>
            </w:r>
          </w:p>
        </w:tc>
        <w:tc>
          <w:tcPr>
            <w:tcW w:w="417" w:type="pct"/>
            <w:tcBorders>
              <w:top w:val="single" w:sz="4" w:space="0" w:color="auto"/>
              <w:left w:val="single" w:sz="4" w:space="0" w:color="auto"/>
              <w:bottom w:val="single" w:sz="4" w:space="0" w:color="auto"/>
              <w:right w:val="single" w:sz="4" w:space="0" w:color="auto"/>
            </w:tcBorders>
            <w:vAlign w:val="center"/>
          </w:tcPr>
          <w:p w14:paraId="198B2937"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 xml:space="preserve">–135.0 </w:t>
            </w:r>
            <w:r w:rsidRPr="00A73A1E">
              <w:rPr>
                <w:rFonts w:eastAsia="MS PGothic"/>
                <w:sz w:val="16"/>
                <w:szCs w:val="16"/>
              </w:rPr>
              <w:br/>
              <w:t>(Note </w:t>
            </w:r>
            <w:r w:rsidRPr="00A73A1E">
              <w:rPr>
                <w:sz w:val="16"/>
                <w:szCs w:val="16"/>
              </w:rPr>
              <w:t>6</w:t>
            </w:r>
            <w:r w:rsidRPr="00A73A1E">
              <w:rPr>
                <w:rFonts w:eastAsia="MS PGothic"/>
                <w:sz w:val="16"/>
                <w:szCs w:val="16"/>
              </w:rPr>
              <w:t>)</w:t>
            </w:r>
            <w:r w:rsidRPr="00A73A1E">
              <w:rPr>
                <w:rFonts w:eastAsia="MS PGothic"/>
                <w:sz w:val="16"/>
                <w:szCs w:val="16"/>
              </w:rPr>
              <w:br/>
              <w:t>(Note 13)</w:t>
            </w:r>
          </w:p>
        </w:tc>
        <w:tc>
          <w:tcPr>
            <w:tcW w:w="462" w:type="pct"/>
            <w:tcBorders>
              <w:top w:val="single" w:sz="4" w:space="0" w:color="auto"/>
              <w:left w:val="single" w:sz="4" w:space="0" w:color="auto"/>
              <w:bottom w:val="single" w:sz="4" w:space="0" w:color="auto"/>
              <w:right w:val="single" w:sz="4" w:space="0" w:color="auto"/>
            </w:tcBorders>
            <w:vAlign w:val="center"/>
          </w:tcPr>
          <w:p w14:paraId="0AB8ECCA" w14:textId="77777777" w:rsidR="003244CE" w:rsidRPr="00A73A1E" w:rsidRDefault="003244CE" w:rsidP="009C40C0">
            <w:pPr>
              <w:pStyle w:val="Tabletext"/>
              <w:jc w:val="center"/>
              <w:rPr>
                <w:rFonts w:eastAsia="MS PGothic"/>
                <w:sz w:val="16"/>
                <w:szCs w:val="16"/>
              </w:rPr>
            </w:pPr>
            <w:r w:rsidRPr="00A73A1E">
              <w:rPr>
                <w:rFonts w:eastAsia="MS PGothic"/>
                <w:color w:val="000000"/>
                <w:sz w:val="16"/>
                <w:szCs w:val="16"/>
                <w:lang w:eastAsia="zh-CN"/>
              </w:rPr>
              <w:t>–120</w:t>
            </w:r>
            <w:r w:rsidRPr="00A73A1E">
              <w:rPr>
                <w:rFonts w:eastAsia="MS PGothic"/>
                <w:color w:val="000000"/>
                <w:sz w:val="16"/>
                <w:szCs w:val="16"/>
                <w:lang w:eastAsia="zh-CN"/>
              </w:rPr>
              <w:br/>
            </w:r>
            <w:r w:rsidRPr="00A73A1E">
              <w:rPr>
                <w:rFonts w:eastAsia="MS PGothic"/>
                <w:sz w:val="16"/>
                <w:szCs w:val="16"/>
              </w:rPr>
              <w:t>(Note </w:t>
            </w:r>
            <w:r w:rsidRPr="00A73A1E">
              <w:rPr>
                <w:sz w:val="16"/>
                <w:szCs w:val="16"/>
              </w:rPr>
              <w:t>6</w:t>
            </w:r>
            <w:r w:rsidRPr="00A73A1E">
              <w:rPr>
                <w:rFonts w:eastAsia="MS PGothic"/>
                <w:sz w:val="16"/>
                <w:szCs w:val="16"/>
              </w:rPr>
              <w:t>)</w:t>
            </w:r>
          </w:p>
        </w:tc>
        <w:tc>
          <w:tcPr>
            <w:tcW w:w="451" w:type="pct"/>
            <w:tcBorders>
              <w:top w:val="single" w:sz="4" w:space="0" w:color="auto"/>
              <w:left w:val="single" w:sz="4" w:space="0" w:color="auto"/>
              <w:bottom w:val="single" w:sz="4" w:space="0" w:color="auto"/>
              <w:right w:val="single" w:sz="4" w:space="0" w:color="auto"/>
            </w:tcBorders>
            <w:vAlign w:val="center"/>
          </w:tcPr>
          <w:p w14:paraId="7360B1A2" w14:textId="77777777" w:rsidR="003244CE" w:rsidRPr="00A73A1E" w:rsidRDefault="003244CE" w:rsidP="009C40C0">
            <w:pPr>
              <w:pStyle w:val="Tabletext"/>
              <w:jc w:val="center"/>
              <w:rPr>
                <w:rFonts w:eastAsia="MS PGothic"/>
                <w:sz w:val="16"/>
                <w:szCs w:val="16"/>
              </w:rPr>
            </w:pPr>
            <w:r w:rsidRPr="00A73A1E">
              <w:rPr>
                <w:color w:val="000000"/>
                <w:sz w:val="16"/>
                <w:szCs w:val="16"/>
                <w:lang w:eastAsia="ja-JP"/>
              </w:rPr>
              <w:t>–120</w:t>
            </w:r>
            <w:r w:rsidRPr="00A73A1E">
              <w:rPr>
                <w:color w:val="000000"/>
                <w:sz w:val="16"/>
                <w:szCs w:val="16"/>
                <w:lang w:eastAsia="ja-JP"/>
              </w:rPr>
              <w:br/>
            </w:r>
            <w:r w:rsidRPr="00A73A1E">
              <w:rPr>
                <w:rFonts w:eastAsia="MS PGothic"/>
                <w:sz w:val="16"/>
                <w:szCs w:val="16"/>
              </w:rPr>
              <w:t>(Note </w:t>
            </w:r>
            <w:r w:rsidRPr="00A73A1E">
              <w:rPr>
                <w:sz w:val="16"/>
                <w:szCs w:val="16"/>
              </w:rPr>
              <w:t>6</w:t>
            </w:r>
            <w:r w:rsidRPr="00A73A1E">
              <w:rPr>
                <w:rFonts w:eastAsia="MS PGothic"/>
                <w:sz w:val="16"/>
                <w:szCs w:val="16"/>
              </w:rPr>
              <w:t>)</w:t>
            </w:r>
          </w:p>
        </w:tc>
        <w:tc>
          <w:tcPr>
            <w:tcW w:w="476" w:type="pct"/>
            <w:tcBorders>
              <w:top w:val="single" w:sz="4" w:space="0" w:color="auto"/>
              <w:left w:val="single" w:sz="4" w:space="0" w:color="auto"/>
              <w:bottom w:val="single" w:sz="4" w:space="0" w:color="auto"/>
              <w:right w:val="single" w:sz="4" w:space="0" w:color="auto"/>
            </w:tcBorders>
            <w:vAlign w:val="center"/>
          </w:tcPr>
          <w:p w14:paraId="5F8B9327" w14:textId="77777777" w:rsidR="003244CE" w:rsidRPr="00A73A1E" w:rsidRDefault="003244CE" w:rsidP="009C40C0">
            <w:pPr>
              <w:pStyle w:val="Tabletext"/>
              <w:jc w:val="center"/>
              <w:rPr>
                <w:rFonts w:eastAsia="MS PGothic"/>
                <w:sz w:val="16"/>
                <w:szCs w:val="16"/>
              </w:rPr>
            </w:pPr>
            <w:r w:rsidRPr="00A73A1E">
              <w:rPr>
                <w:color w:val="000000"/>
                <w:sz w:val="16"/>
                <w:szCs w:val="16"/>
                <w:lang w:eastAsia="ja-JP"/>
              </w:rPr>
              <w:t>–120</w:t>
            </w:r>
            <w:r w:rsidRPr="00A73A1E">
              <w:rPr>
                <w:color w:val="000000"/>
                <w:sz w:val="16"/>
                <w:szCs w:val="16"/>
                <w:lang w:eastAsia="ja-JP"/>
              </w:rPr>
              <w:br/>
            </w:r>
            <w:r w:rsidRPr="00A73A1E">
              <w:rPr>
                <w:rFonts w:eastAsia="MS PGothic"/>
                <w:sz w:val="16"/>
                <w:szCs w:val="16"/>
              </w:rPr>
              <w:t>(Note </w:t>
            </w:r>
            <w:r w:rsidRPr="00A73A1E">
              <w:rPr>
                <w:sz w:val="16"/>
                <w:szCs w:val="16"/>
              </w:rPr>
              <w:t>6</w:t>
            </w:r>
            <w:r w:rsidRPr="00A73A1E">
              <w:rPr>
                <w:rFonts w:eastAsia="MS PGothic"/>
                <w:sz w:val="16"/>
                <w:szCs w:val="16"/>
              </w:rPr>
              <w:t>)</w:t>
            </w:r>
          </w:p>
        </w:tc>
        <w:tc>
          <w:tcPr>
            <w:tcW w:w="555" w:type="pct"/>
            <w:tcBorders>
              <w:top w:val="single" w:sz="4" w:space="0" w:color="auto"/>
              <w:left w:val="single" w:sz="4" w:space="0" w:color="auto"/>
              <w:bottom w:val="single" w:sz="4" w:space="0" w:color="auto"/>
              <w:right w:val="single" w:sz="4" w:space="0" w:color="auto"/>
            </w:tcBorders>
            <w:vAlign w:val="center"/>
          </w:tcPr>
          <w:p w14:paraId="08993063" w14:textId="77777777" w:rsidR="003244CE" w:rsidRPr="00A73A1E" w:rsidRDefault="003244CE" w:rsidP="009C40C0">
            <w:pPr>
              <w:pStyle w:val="Tabletext"/>
              <w:jc w:val="center"/>
              <w:rPr>
                <w:color w:val="000000"/>
                <w:sz w:val="16"/>
                <w:szCs w:val="16"/>
                <w:lang w:eastAsia="ja-JP"/>
              </w:rPr>
            </w:pPr>
            <w:r w:rsidRPr="00A73A1E">
              <w:rPr>
                <w:color w:val="000000"/>
                <w:sz w:val="16"/>
                <w:szCs w:val="16"/>
                <w:lang w:eastAsia="ja-JP"/>
              </w:rPr>
              <w:t>–120</w:t>
            </w:r>
          </w:p>
          <w:p w14:paraId="77E20B0C" w14:textId="77777777" w:rsidR="003244CE" w:rsidRPr="00A73A1E" w:rsidRDefault="003244CE" w:rsidP="009C40C0">
            <w:pPr>
              <w:pStyle w:val="Tabletext"/>
              <w:jc w:val="center"/>
              <w:rPr>
                <w:rFonts w:eastAsia="MS PGothic"/>
                <w:sz w:val="16"/>
                <w:szCs w:val="16"/>
                <w:highlight w:val="yellow"/>
              </w:rPr>
            </w:pPr>
            <w:r w:rsidRPr="00A73A1E">
              <w:rPr>
                <w:rFonts w:eastAsia="MS PGothic"/>
                <w:sz w:val="16"/>
                <w:szCs w:val="16"/>
              </w:rPr>
              <w:t>(Note </w:t>
            </w:r>
            <w:r w:rsidRPr="00A73A1E">
              <w:rPr>
                <w:sz w:val="16"/>
                <w:szCs w:val="16"/>
              </w:rPr>
              <w:t>6</w:t>
            </w:r>
            <w:r w:rsidRPr="00A73A1E">
              <w:rPr>
                <w:rFonts w:eastAsia="MS PGothic"/>
                <w:sz w:val="16"/>
                <w:szCs w:val="16"/>
              </w:rPr>
              <w:t>)</w:t>
            </w:r>
          </w:p>
        </w:tc>
        <w:tc>
          <w:tcPr>
            <w:tcW w:w="496" w:type="pct"/>
            <w:tcBorders>
              <w:top w:val="single" w:sz="4" w:space="0" w:color="auto"/>
              <w:left w:val="single" w:sz="4" w:space="0" w:color="auto"/>
              <w:bottom w:val="single" w:sz="4" w:space="0" w:color="auto"/>
              <w:right w:val="single" w:sz="4" w:space="0" w:color="auto"/>
            </w:tcBorders>
            <w:vAlign w:val="center"/>
          </w:tcPr>
          <w:p w14:paraId="35CEB755"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w:t>
            </w:r>
            <w:r w:rsidRPr="00A73A1E">
              <w:rPr>
                <w:sz w:val="16"/>
                <w:szCs w:val="16"/>
                <w:lang w:eastAsia="ja-JP"/>
              </w:rPr>
              <w:t>80</w:t>
            </w:r>
          </w:p>
        </w:tc>
        <w:tc>
          <w:tcPr>
            <w:tcW w:w="374" w:type="pct"/>
            <w:tcBorders>
              <w:top w:val="single" w:sz="4" w:space="0" w:color="auto"/>
              <w:left w:val="single" w:sz="4" w:space="0" w:color="auto"/>
              <w:bottom w:val="single" w:sz="4" w:space="0" w:color="auto"/>
              <w:right w:val="single" w:sz="4" w:space="0" w:color="auto"/>
            </w:tcBorders>
            <w:vAlign w:val="center"/>
          </w:tcPr>
          <w:p w14:paraId="565C07FA"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w:t>
            </w:r>
            <w:r w:rsidRPr="00A73A1E">
              <w:rPr>
                <w:sz w:val="16"/>
                <w:szCs w:val="16"/>
                <w:lang w:eastAsia="ja-JP"/>
              </w:rPr>
              <w:t>70</w:t>
            </w:r>
          </w:p>
        </w:tc>
        <w:tc>
          <w:tcPr>
            <w:tcW w:w="348" w:type="pct"/>
            <w:tcBorders>
              <w:top w:val="single" w:sz="4" w:space="0" w:color="auto"/>
              <w:left w:val="single" w:sz="4" w:space="0" w:color="auto"/>
              <w:bottom w:val="single" w:sz="4" w:space="0" w:color="auto"/>
              <w:right w:val="single" w:sz="4" w:space="0" w:color="auto"/>
            </w:tcBorders>
            <w:vAlign w:val="center"/>
          </w:tcPr>
          <w:p w14:paraId="23AAE254" w14:textId="77777777" w:rsidR="003244CE" w:rsidRPr="00A73A1E" w:rsidDel="007508B4" w:rsidRDefault="003244CE" w:rsidP="009C40C0">
            <w:pPr>
              <w:pStyle w:val="Tabletext"/>
              <w:jc w:val="center"/>
              <w:rPr>
                <w:rFonts w:eastAsia="MS PGothic"/>
                <w:sz w:val="16"/>
                <w:szCs w:val="16"/>
              </w:rPr>
            </w:pPr>
            <w:r w:rsidRPr="00A73A1E">
              <w:rPr>
                <w:rFonts w:eastAsia="MS PGothic"/>
                <w:sz w:val="16"/>
                <w:szCs w:val="16"/>
              </w:rPr>
              <w:t>–</w:t>
            </w:r>
            <w:r w:rsidRPr="00A73A1E">
              <w:rPr>
                <w:sz w:val="16"/>
                <w:szCs w:val="16"/>
                <w:lang w:eastAsia="zh-CN"/>
              </w:rPr>
              <w:t>100</w:t>
            </w:r>
          </w:p>
        </w:tc>
        <w:tc>
          <w:tcPr>
            <w:tcW w:w="370" w:type="pct"/>
            <w:tcBorders>
              <w:top w:val="single" w:sz="4" w:space="0" w:color="auto"/>
              <w:left w:val="single" w:sz="4" w:space="0" w:color="auto"/>
              <w:bottom w:val="single" w:sz="4" w:space="0" w:color="auto"/>
              <w:right w:val="single" w:sz="4" w:space="0" w:color="auto"/>
            </w:tcBorders>
            <w:vAlign w:val="center"/>
          </w:tcPr>
          <w:p w14:paraId="6DB9888E"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w:t>
            </w:r>
            <w:r w:rsidRPr="00A73A1E">
              <w:rPr>
                <w:sz w:val="16"/>
                <w:szCs w:val="16"/>
                <w:lang w:eastAsia="ja-JP"/>
              </w:rPr>
              <w:t>70</w:t>
            </w:r>
          </w:p>
        </w:tc>
        <w:tc>
          <w:tcPr>
            <w:tcW w:w="358" w:type="pct"/>
            <w:tcBorders>
              <w:top w:val="single" w:sz="4" w:space="0" w:color="auto"/>
              <w:left w:val="single" w:sz="4" w:space="0" w:color="auto"/>
              <w:bottom w:val="single" w:sz="4" w:space="0" w:color="auto"/>
              <w:right w:val="single" w:sz="4" w:space="0" w:color="auto"/>
            </w:tcBorders>
            <w:vAlign w:val="center"/>
          </w:tcPr>
          <w:p w14:paraId="01B899D7"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w:t>
            </w:r>
            <w:r w:rsidRPr="00A73A1E">
              <w:rPr>
                <w:sz w:val="16"/>
                <w:szCs w:val="16"/>
                <w:lang w:eastAsia="zh-CN"/>
              </w:rPr>
              <w:t>100</w:t>
            </w:r>
          </w:p>
        </w:tc>
      </w:tr>
      <w:tr w:rsidR="003244CE" w:rsidRPr="00A73A1E" w14:paraId="7DCBF983" w14:textId="77777777" w:rsidTr="00227D04">
        <w:trPr>
          <w:jc w:val="center"/>
        </w:trPr>
        <w:tc>
          <w:tcPr>
            <w:tcW w:w="693" w:type="pct"/>
            <w:tcBorders>
              <w:top w:val="single" w:sz="4" w:space="0" w:color="auto"/>
              <w:left w:val="single" w:sz="4" w:space="0" w:color="auto"/>
              <w:bottom w:val="single" w:sz="4" w:space="0" w:color="auto"/>
              <w:right w:val="single" w:sz="4" w:space="0" w:color="auto"/>
            </w:tcBorders>
          </w:tcPr>
          <w:p w14:paraId="6CC34241" w14:textId="77777777" w:rsidR="003244CE" w:rsidRPr="00A73A1E" w:rsidRDefault="003244CE" w:rsidP="00227D04">
            <w:pPr>
              <w:pStyle w:val="Tabletext"/>
              <w:jc w:val="left"/>
              <w:rPr>
                <w:rFonts w:eastAsia="MS PGothic"/>
                <w:bCs/>
                <w:i/>
                <w:iCs/>
                <w:sz w:val="16"/>
                <w:szCs w:val="16"/>
              </w:rPr>
            </w:pPr>
            <w:r w:rsidRPr="00A73A1E">
              <w:rPr>
                <w:sz w:val="16"/>
                <w:szCs w:val="16"/>
              </w:rPr>
              <w:t>Receiver survival level (</w:t>
            </w:r>
            <w:proofErr w:type="spellStart"/>
            <w:r w:rsidRPr="00A73A1E">
              <w:rPr>
                <w:sz w:val="16"/>
                <w:szCs w:val="16"/>
              </w:rPr>
              <w:t>dBW</w:t>
            </w:r>
            <w:proofErr w:type="spellEnd"/>
            <w:r w:rsidRPr="00A73A1E">
              <w:rPr>
                <w:sz w:val="16"/>
                <w:szCs w:val="16"/>
              </w:rPr>
              <w:t>)</w:t>
            </w:r>
            <w:r w:rsidRPr="00A73A1E">
              <w:rPr>
                <w:rFonts w:eastAsia="MS PGothic"/>
                <w:sz w:val="16"/>
                <w:szCs w:val="16"/>
              </w:rPr>
              <w:t xml:space="preserve"> (Note </w:t>
            </w:r>
            <w:r w:rsidRPr="00A73A1E">
              <w:rPr>
                <w:sz w:val="16"/>
                <w:szCs w:val="16"/>
              </w:rPr>
              <w:t>14</w:t>
            </w:r>
            <w:r w:rsidRPr="00A73A1E">
              <w:rPr>
                <w:rFonts w:eastAsia="MS PGothic"/>
                <w:sz w:val="16"/>
                <w:szCs w:val="16"/>
              </w:rPr>
              <w:t>)</w:t>
            </w:r>
          </w:p>
        </w:tc>
        <w:tc>
          <w:tcPr>
            <w:tcW w:w="417" w:type="pct"/>
            <w:tcBorders>
              <w:top w:val="single" w:sz="4" w:space="0" w:color="auto"/>
              <w:left w:val="single" w:sz="4" w:space="0" w:color="auto"/>
              <w:bottom w:val="single" w:sz="4" w:space="0" w:color="auto"/>
              <w:right w:val="single" w:sz="4" w:space="0" w:color="auto"/>
            </w:tcBorders>
            <w:vAlign w:val="center"/>
          </w:tcPr>
          <w:p w14:paraId="19D199EC"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−10.0 (Note </w:t>
            </w:r>
            <w:r w:rsidRPr="00A73A1E">
              <w:rPr>
                <w:sz w:val="16"/>
                <w:szCs w:val="16"/>
              </w:rPr>
              <w:t>7</w:t>
            </w:r>
            <w:r w:rsidRPr="00A73A1E">
              <w:rPr>
                <w:rFonts w:eastAsia="MS PGothic"/>
                <w:sz w:val="16"/>
                <w:szCs w:val="16"/>
              </w:rPr>
              <w:t>)</w:t>
            </w:r>
          </w:p>
        </w:tc>
        <w:tc>
          <w:tcPr>
            <w:tcW w:w="462" w:type="pct"/>
            <w:tcBorders>
              <w:top w:val="single" w:sz="4" w:space="0" w:color="auto"/>
              <w:left w:val="single" w:sz="4" w:space="0" w:color="auto"/>
              <w:bottom w:val="single" w:sz="4" w:space="0" w:color="auto"/>
              <w:right w:val="single" w:sz="4" w:space="0" w:color="auto"/>
            </w:tcBorders>
            <w:vAlign w:val="center"/>
          </w:tcPr>
          <w:p w14:paraId="190AB234"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w:t>
            </w:r>
            <w:r w:rsidRPr="00A73A1E">
              <w:rPr>
                <w:rFonts w:eastAsia="MS PGothic"/>
                <w:color w:val="000000"/>
                <w:sz w:val="16"/>
                <w:szCs w:val="16"/>
                <w:lang w:eastAsia="zh-CN"/>
              </w:rPr>
              <w:t>20</w:t>
            </w:r>
          </w:p>
        </w:tc>
        <w:tc>
          <w:tcPr>
            <w:tcW w:w="451" w:type="pct"/>
            <w:tcBorders>
              <w:top w:val="single" w:sz="4" w:space="0" w:color="auto"/>
              <w:left w:val="single" w:sz="4" w:space="0" w:color="auto"/>
              <w:bottom w:val="single" w:sz="4" w:space="0" w:color="auto"/>
              <w:right w:val="single" w:sz="4" w:space="0" w:color="auto"/>
            </w:tcBorders>
            <w:vAlign w:val="center"/>
          </w:tcPr>
          <w:p w14:paraId="4A632299"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w:t>
            </w:r>
            <w:r w:rsidRPr="00A73A1E">
              <w:rPr>
                <w:color w:val="000000"/>
                <w:sz w:val="16"/>
                <w:szCs w:val="16"/>
                <w:lang w:eastAsia="ja-JP"/>
              </w:rPr>
              <w:t>20</w:t>
            </w:r>
          </w:p>
        </w:tc>
        <w:tc>
          <w:tcPr>
            <w:tcW w:w="476" w:type="pct"/>
            <w:tcBorders>
              <w:top w:val="single" w:sz="4" w:space="0" w:color="auto"/>
              <w:left w:val="single" w:sz="4" w:space="0" w:color="auto"/>
              <w:bottom w:val="single" w:sz="4" w:space="0" w:color="auto"/>
              <w:right w:val="single" w:sz="4" w:space="0" w:color="auto"/>
            </w:tcBorders>
            <w:vAlign w:val="center"/>
          </w:tcPr>
          <w:p w14:paraId="583319C7"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w:t>
            </w:r>
            <w:r w:rsidRPr="00A73A1E">
              <w:rPr>
                <w:color w:val="000000"/>
                <w:sz w:val="16"/>
                <w:szCs w:val="16"/>
                <w:lang w:eastAsia="ja-JP"/>
              </w:rPr>
              <w:t>20</w:t>
            </w:r>
          </w:p>
        </w:tc>
        <w:tc>
          <w:tcPr>
            <w:tcW w:w="555" w:type="pct"/>
            <w:tcBorders>
              <w:top w:val="single" w:sz="4" w:space="0" w:color="auto"/>
              <w:left w:val="single" w:sz="4" w:space="0" w:color="auto"/>
              <w:bottom w:val="single" w:sz="4" w:space="0" w:color="auto"/>
              <w:right w:val="single" w:sz="4" w:space="0" w:color="auto"/>
            </w:tcBorders>
            <w:vAlign w:val="center"/>
          </w:tcPr>
          <w:p w14:paraId="3B70CB19" w14:textId="77777777" w:rsidR="003244CE" w:rsidRPr="00A73A1E" w:rsidRDefault="003244CE" w:rsidP="009C40C0">
            <w:pPr>
              <w:pStyle w:val="Tabletext"/>
              <w:jc w:val="center"/>
              <w:rPr>
                <w:sz w:val="16"/>
                <w:szCs w:val="16"/>
                <w:highlight w:val="yellow"/>
                <w:lang w:eastAsia="ja-JP"/>
              </w:rPr>
            </w:pPr>
            <w:r w:rsidRPr="00A73A1E">
              <w:rPr>
                <w:rFonts w:eastAsia="MS PGothic"/>
                <w:sz w:val="16"/>
                <w:szCs w:val="16"/>
              </w:rPr>
              <w:t>–</w:t>
            </w:r>
            <w:r w:rsidRPr="00A73A1E">
              <w:rPr>
                <w:color w:val="000000"/>
                <w:sz w:val="16"/>
                <w:szCs w:val="16"/>
                <w:lang w:eastAsia="ja-JP"/>
              </w:rPr>
              <w:t>20</w:t>
            </w:r>
          </w:p>
        </w:tc>
        <w:tc>
          <w:tcPr>
            <w:tcW w:w="496" w:type="pct"/>
            <w:tcBorders>
              <w:top w:val="single" w:sz="4" w:space="0" w:color="auto"/>
              <w:left w:val="single" w:sz="4" w:space="0" w:color="auto"/>
              <w:bottom w:val="single" w:sz="4" w:space="0" w:color="auto"/>
              <w:right w:val="single" w:sz="4" w:space="0" w:color="auto"/>
            </w:tcBorders>
            <w:vAlign w:val="center"/>
          </w:tcPr>
          <w:p w14:paraId="712C55D2" w14:textId="77777777" w:rsidR="003244CE" w:rsidRPr="00A73A1E" w:rsidRDefault="003244CE" w:rsidP="009C40C0">
            <w:pPr>
              <w:pStyle w:val="Tabletext"/>
              <w:jc w:val="center"/>
              <w:rPr>
                <w:rFonts w:eastAsia="MS PGothic"/>
                <w:sz w:val="16"/>
                <w:szCs w:val="16"/>
              </w:rPr>
            </w:pPr>
            <w:r w:rsidRPr="00A73A1E">
              <w:rPr>
                <w:sz w:val="16"/>
                <w:szCs w:val="16"/>
                <w:lang w:eastAsia="ja-JP"/>
              </w:rPr>
              <w:t>−1</w:t>
            </w:r>
          </w:p>
        </w:tc>
        <w:tc>
          <w:tcPr>
            <w:tcW w:w="374" w:type="pct"/>
            <w:tcBorders>
              <w:top w:val="single" w:sz="4" w:space="0" w:color="auto"/>
              <w:left w:val="single" w:sz="4" w:space="0" w:color="auto"/>
              <w:bottom w:val="single" w:sz="4" w:space="0" w:color="auto"/>
              <w:right w:val="single" w:sz="4" w:space="0" w:color="auto"/>
            </w:tcBorders>
            <w:vAlign w:val="center"/>
          </w:tcPr>
          <w:p w14:paraId="4CE54E07" w14:textId="77777777" w:rsidR="003244CE" w:rsidRPr="00A73A1E" w:rsidRDefault="003244CE" w:rsidP="009C40C0">
            <w:pPr>
              <w:pStyle w:val="Tabletext"/>
              <w:jc w:val="center"/>
              <w:rPr>
                <w:rFonts w:eastAsia="MS PGothic"/>
                <w:sz w:val="16"/>
                <w:szCs w:val="16"/>
              </w:rPr>
            </w:pPr>
            <w:r w:rsidRPr="00A73A1E">
              <w:rPr>
                <w:sz w:val="16"/>
                <w:szCs w:val="16"/>
                <w:lang w:eastAsia="ja-JP"/>
              </w:rPr>
              <w:t>−20</w:t>
            </w:r>
          </w:p>
        </w:tc>
        <w:tc>
          <w:tcPr>
            <w:tcW w:w="348" w:type="pct"/>
            <w:tcBorders>
              <w:top w:val="single" w:sz="4" w:space="0" w:color="auto"/>
              <w:left w:val="single" w:sz="4" w:space="0" w:color="auto"/>
              <w:bottom w:val="single" w:sz="4" w:space="0" w:color="auto"/>
              <w:right w:val="single" w:sz="4" w:space="0" w:color="auto"/>
            </w:tcBorders>
            <w:vAlign w:val="center"/>
          </w:tcPr>
          <w:p w14:paraId="13EF3C63" w14:textId="77777777" w:rsidR="003244CE" w:rsidRPr="00A73A1E" w:rsidDel="007508B4" w:rsidRDefault="003244CE" w:rsidP="009C40C0">
            <w:pPr>
              <w:pStyle w:val="Tabletext"/>
              <w:jc w:val="center"/>
              <w:rPr>
                <w:sz w:val="16"/>
                <w:szCs w:val="16"/>
                <w:lang w:eastAsia="ja-JP"/>
              </w:rPr>
            </w:pPr>
            <w:r w:rsidRPr="00A73A1E">
              <w:rPr>
                <w:rFonts w:eastAsia="MS PGothic"/>
                <w:sz w:val="16"/>
                <w:szCs w:val="16"/>
              </w:rPr>
              <w:t>–</w:t>
            </w:r>
            <w:r w:rsidRPr="00A73A1E">
              <w:rPr>
                <w:sz w:val="16"/>
                <w:szCs w:val="16"/>
                <w:lang w:eastAsia="zh-CN"/>
              </w:rPr>
              <w:t>17</w:t>
            </w:r>
          </w:p>
        </w:tc>
        <w:tc>
          <w:tcPr>
            <w:tcW w:w="370" w:type="pct"/>
            <w:tcBorders>
              <w:top w:val="single" w:sz="4" w:space="0" w:color="auto"/>
              <w:left w:val="single" w:sz="4" w:space="0" w:color="auto"/>
              <w:bottom w:val="single" w:sz="4" w:space="0" w:color="auto"/>
              <w:right w:val="single" w:sz="4" w:space="0" w:color="auto"/>
            </w:tcBorders>
            <w:vAlign w:val="center"/>
          </w:tcPr>
          <w:p w14:paraId="5BEC4D46" w14:textId="77777777" w:rsidR="003244CE" w:rsidRPr="00A73A1E" w:rsidRDefault="003244CE" w:rsidP="009C40C0">
            <w:pPr>
              <w:pStyle w:val="Tabletext"/>
              <w:jc w:val="center"/>
              <w:rPr>
                <w:rFonts w:eastAsia="MS PGothic"/>
                <w:sz w:val="16"/>
                <w:szCs w:val="16"/>
              </w:rPr>
            </w:pPr>
            <w:r w:rsidRPr="00A73A1E">
              <w:rPr>
                <w:sz w:val="16"/>
                <w:szCs w:val="16"/>
                <w:lang w:eastAsia="ja-JP"/>
              </w:rPr>
              <w:t>−20</w:t>
            </w:r>
          </w:p>
        </w:tc>
        <w:tc>
          <w:tcPr>
            <w:tcW w:w="358" w:type="pct"/>
            <w:tcBorders>
              <w:top w:val="single" w:sz="4" w:space="0" w:color="auto"/>
              <w:left w:val="single" w:sz="4" w:space="0" w:color="auto"/>
              <w:bottom w:val="single" w:sz="4" w:space="0" w:color="auto"/>
              <w:right w:val="single" w:sz="4" w:space="0" w:color="auto"/>
            </w:tcBorders>
            <w:vAlign w:val="center"/>
          </w:tcPr>
          <w:p w14:paraId="135D4FD2" w14:textId="77777777" w:rsidR="003244CE" w:rsidRPr="00A73A1E" w:rsidRDefault="003244CE" w:rsidP="009C40C0">
            <w:pPr>
              <w:pStyle w:val="Tabletext"/>
              <w:jc w:val="center"/>
              <w:rPr>
                <w:sz w:val="16"/>
                <w:szCs w:val="16"/>
                <w:lang w:eastAsia="ja-JP"/>
              </w:rPr>
            </w:pPr>
            <w:r w:rsidRPr="00A73A1E">
              <w:rPr>
                <w:rFonts w:eastAsia="MS PGothic"/>
                <w:sz w:val="16"/>
                <w:szCs w:val="16"/>
              </w:rPr>
              <w:t>–</w:t>
            </w:r>
            <w:r w:rsidRPr="00A73A1E">
              <w:rPr>
                <w:sz w:val="16"/>
                <w:szCs w:val="16"/>
                <w:lang w:eastAsia="zh-CN"/>
              </w:rPr>
              <w:t>17</w:t>
            </w:r>
          </w:p>
        </w:tc>
      </w:tr>
      <w:tr w:rsidR="003244CE" w:rsidRPr="00A73A1E" w14:paraId="5B9D7D6E" w14:textId="77777777" w:rsidTr="00227D04">
        <w:trPr>
          <w:jc w:val="center"/>
        </w:trPr>
        <w:tc>
          <w:tcPr>
            <w:tcW w:w="693" w:type="pct"/>
            <w:tcBorders>
              <w:top w:val="single" w:sz="4" w:space="0" w:color="auto"/>
              <w:left w:val="single" w:sz="4" w:space="0" w:color="auto"/>
              <w:bottom w:val="single" w:sz="4" w:space="0" w:color="auto"/>
              <w:right w:val="single" w:sz="4" w:space="0" w:color="auto"/>
            </w:tcBorders>
          </w:tcPr>
          <w:p w14:paraId="153008B5" w14:textId="77777777" w:rsidR="003244CE" w:rsidRPr="00A73A1E" w:rsidRDefault="003244CE" w:rsidP="00227D04">
            <w:pPr>
              <w:pStyle w:val="Tabletext"/>
              <w:jc w:val="left"/>
              <w:rPr>
                <w:rFonts w:eastAsia="MS PGothic"/>
                <w:bCs/>
                <w:i/>
                <w:iCs/>
                <w:sz w:val="16"/>
                <w:szCs w:val="16"/>
              </w:rPr>
            </w:pPr>
            <w:r w:rsidRPr="00A73A1E">
              <w:rPr>
                <w:sz w:val="16"/>
                <w:szCs w:val="16"/>
              </w:rPr>
              <w:t>Overload recovery time (s)</w:t>
            </w:r>
            <w:r w:rsidRPr="00A73A1E">
              <w:rPr>
                <w:rFonts w:eastAsia="MS PGothic"/>
                <w:sz w:val="16"/>
                <w:szCs w:val="16"/>
              </w:rPr>
              <w:t xml:space="preserve"> (Note </w:t>
            </w:r>
            <w:r w:rsidRPr="00A73A1E">
              <w:rPr>
                <w:sz w:val="16"/>
                <w:szCs w:val="16"/>
              </w:rPr>
              <w:t>14</w:t>
            </w:r>
            <w:r w:rsidRPr="00A73A1E">
              <w:rPr>
                <w:rFonts w:eastAsia="MS PGothic"/>
                <w:sz w:val="16"/>
                <w:szCs w:val="16"/>
              </w:rPr>
              <w:t>)</w:t>
            </w:r>
          </w:p>
        </w:tc>
        <w:tc>
          <w:tcPr>
            <w:tcW w:w="417" w:type="pct"/>
            <w:tcBorders>
              <w:top w:val="single" w:sz="4" w:space="0" w:color="auto"/>
              <w:left w:val="single" w:sz="4" w:space="0" w:color="auto"/>
              <w:bottom w:val="single" w:sz="4" w:space="0" w:color="auto"/>
              <w:right w:val="single" w:sz="4" w:space="0" w:color="auto"/>
            </w:tcBorders>
            <w:vAlign w:val="center"/>
          </w:tcPr>
          <w:p w14:paraId="6ECAD3CE" w14:textId="77777777" w:rsidR="003244CE" w:rsidRPr="00A73A1E" w:rsidRDefault="003244CE" w:rsidP="009C40C0">
            <w:pPr>
              <w:pStyle w:val="Tabletext"/>
              <w:jc w:val="center"/>
              <w:rPr>
                <w:rFonts w:eastAsia="MS PGothic"/>
                <w:sz w:val="16"/>
                <w:szCs w:val="16"/>
              </w:rPr>
            </w:pPr>
            <w:r w:rsidRPr="00A73A1E">
              <w:rPr>
                <w:rFonts w:eastAsia="MS PGothic"/>
                <w:sz w:val="16"/>
                <w:szCs w:val="16"/>
              </w:rPr>
              <w:t>1.0 × 10</w:t>
            </w:r>
            <w:r w:rsidRPr="00A73A1E">
              <w:rPr>
                <w:rFonts w:eastAsia="MS PGothic"/>
                <w:sz w:val="16"/>
                <w:szCs w:val="16"/>
                <w:vertAlign w:val="superscript"/>
              </w:rPr>
              <w:t>−6</w:t>
            </w:r>
          </w:p>
        </w:tc>
        <w:tc>
          <w:tcPr>
            <w:tcW w:w="462" w:type="pct"/>
            <w:tcBorders>
              <w:top w:val="single" w:sz="4" w:space="0" w:color="auto"/>
              <w:left w:val="single" w:sz="4" w:space="0" w:color="auto"/>
              <w:bottom w:val="single" w:sz="4" w:space="0" w:color="auto"/>
              <w:right w:val="single" w:sz="4" w:space="0" w:color="auto"/>
            </w:tcBorders>
            <w:vAlign w:val="center"/>
          </w:tcPr>
          <w:p w14:paraId="762C6DAF" w14:textId="77777777" w:rsidR="003244CE" w:rsidRPr="00A73A1E" w:rsidRDefault="003244CE" w:rsidP="009C40C0">
            <w:pPr>
              <w:pStyle w:val="Tabletext"/>
              <w:jc w:val="center"/>
              <w:rPr>
                <w:rFonts w:eastAsia="MS PGothic"/>
                <w:sz w:val="16"/>
                <w:szCs w:val="16"/>
              </w:rPr>
            </w:pPr>
            <w:r w:rsidRPr="00A73A1E">
              <w:rPr>
                <w:color w:val="000000"/>
                <w:sz w:val="16"/>
                <w:szCs w:val="16"/>
                <w:lang w:eastAsia="ja-JP"/>
              </w:rPr>
              <w:t xml:space="preserve">1.0 </w:t>
            </w:r>
            <w:r w:rsidRPr="00A73A1E">
              <w:rPr>
                <w:rFonts w:eastAsia="MS PGothic"/>
                <w:sz w:val="16"/>
                <w:szCs w:val="16"/>
              </w:rPr>
              <w:t>×</w:t>
            </w:r>
            <w:r w:rsidRPr="00A73A1E">
              <w:rPr>
                <w:color w:val="000000"/>
                <w:sz w:val="16"/>
                <w:szCs w:val="16"/>
                <w:lang w:eastAsia="ja-JP"/>
              </w:rPr>
              <w:t xml:space="preserve"> 10</w:t>
            </w:r>
            <w:r w:rsidRPr="00A73A1E">
              <w:rPr>
                <w:color w:val="000000"/>
                <w:sz w:val="16"/>
                <w:szCs w:val="16"/>
                <w:vertAlign w:val="superscript"/>
                <w:lang w:eastAsia="ja-JP"/>
              </w:rPr>
              <w:t>−6</w:t>
            </w:r>
          </w:p>
        </w:tc>
        <w:tc>
          <w:tcPr>
            <w:tcW w:w="451" w:type="pct"/>
            <w:tcBorders>
              <w:top w:val="single" w:sz="4" w:space="0" w:color="auto"/>
              <w:left w:val="single" w:sz="4" w:space="0" w:color="auto"/>
              <w:bottom w:val="single" w:sz="4" w:space="0" w:color="auto"/>
              <w:right w:val="single" w:sz="4" w:space="0" w:color="auto"/>
            </w:tcBorders>
            <w:vAlign w:val="center"/>
          </w:tcPr>
          <w:p w14:paraId="2178C97D" w14:textId="77777777" w:rsidR="003244CE" w:rsidRPr="00A73A1E" w:rsidRDefault="003244CE" w:rsidP="009C40C0">
            <w:pPr>
              <w:pStyle w:val="Tabletext"/>
              <w:jc w:val="center"/>
              <w:rPr>
                <w:rFonts w:eastAsia="MS PGothic"/>
                <w:sz w:val="16"/>
                <w:szCs w:val="16"/>
              </w:rPr>
            </w:pPr>
            <w:r w:rsidRPr="00A73A1E">
              <w:rPr>
                <w:color w:val="000000"/>
                <w:sz w:val="16"/>
                <w:szCs w:val="16"/>
                <w:lang w:eastAsia="ja-JP"/>
              </w:rPr>
              <w:t xml:space="preserve">1.0 </w:t>
            </w:r>
            <w:r w:rsidRPr="00A73A1E">
              <w:rPr>
                <w:rFonts w:eastAsia="MS PGothic"/>
                <w:sz w:val="16"/>
                <w:szCs w:val="16"/>
              </w:rPr>
              <w:t>×</w:t>
            </w:r>
            <w:r w:rsidRPr="00A73A1E">
              <w:rPr>
                <w:color w:val="000000"/>
                <w:sz w:val="16"/>
                <w:szCs w:val="16"/>
                <w:lang w:eastAsia="ja-JP"/>
              </w:rPr>
              <w:t xml:space="preserve"> 10</w:t>
            </w:r>
            <w:r w:rsidRPr="00A73A1E">
              <w:rPr>
                <w:color w:val="000000"/>
                <w:sz w:val="16"/>
                <w:szCs w:val="16"/>
                <w:vertAlign w:val="superscript"/>
                <w:lang w:eastAsia="ja-JP"/>
              </w:rPr>
              <w:t>−6</w:t>
            </w:r>
          </w:p>
        </w:tc>
        <w:tc>
          <w:tcPr>
            <w:tcW w:w="476" w:type="pct"/>
            <w:tcBorders>
              <w:top w:val="single" w:sz="4" w:space="0" w:color="auto"/>
              <w:left w:val="single" w:sz="4" w:space="0" w:color="auto"/>
              <w:bottom w:val="single" w:sz="4" w:space="0" w:color="auto"/>
              <w:right w:val="single" w:sz="4" w:space="0" w:color="auto"/>
            </w:tcBorders>
            <w:vAlign w:val="center"/>
          </w:tcPr>
          <w:p w14:paraId="31D67E14" w14:textId="77777777" w:rsidR="003244CE" w:rsidRPr="00A73A1E" w:rsidRDefault="003244CE" w:rsidP="009C40C0">
            <w:pPr>
              <w:pStyle w:val="Tabletext"/>
              <w:jc w:val="center"/>
              <w:rPr>
                <w:rFonts w:eastAsia="MS PGothic"/>
                <w:sz w:val="16"/>
                <w:szCs w:val="16"/>
              </w:rPr>
            </w:pPr>
            <w:r w:rsidRPr="00A73A1E">
              <w:rPr>
                <w:color w:val="000000"/>
                <w:sz w:val="16"/>
                <w:szCs w:val="16"/>
                <w:lang w:eastAsia="ja-JP"/>
              </w:rPr>
              <w:t xml:space="preserve">1.0 </w:t>
            </w:r>
            <w:r w:rsidRPr="00A73A1E">
              <w:rPr>
                <w:rFonts w:eastAsia="MS PGothic"/>
                <w:sz w:val="16"/>
                <w:szCs w:val="16"/>
              </w:rPr>
              <w:t>×</w:t>
            </w:r>
            <w:r w:rsidRPr="00A73A1E">
              <w:rPr>
                <w:color w:val="000000"/>
                <w:sz w:val="16"/>
                <w:szCs w:val="16"/>
                <w:lang w:eastAsia="ja-JP"/>
              </w:rPr>
              <w:t xml:space="preserve"> 10</w:t>
            </w:r>
            <w:r w:rsidRPr="00A73A1E">
              <w:rPr>
                <w:color w:val="000000"/>
                <w:sz w:val="16"/>
                <w:szCs w:val="16"/>
                <w:vertAlign w:val="superscript"/>
                <w:lang w:eastAsia="ja-JP"/>
              </w:rPr>
              <w:t>−6</w:t>
            </w:r>
          </w:p>
        </w:tc>
        <w:tc>
          <w:tcPr>
            <w:tcW w:w="555" w:type="pct"/>
            <w:tcBorders>
              <w:top w:val="single" w:sz="4" w:space="0" w:color="auto"/>
              <w:left w:val="single" w:sz="4" w:space="0" w:color="auto"/>
              <w:bottom w:val="single" w:sz="4" w:space="0" w:color="auto"/>
              <w:right w:val="single" w:sz="4" w:space="0" w:color="auto"/>
            </w:tcBorders>
            <w:vAlign w:val="center"/>
          </w:tcPr>
          <w:p w14:paraId="0CAF8B8D" w14:textId="77777777" w:rsidR="003244CE" w:rsidRPr="00A73A1E" w:rsidRDefault="003244CE" w:rsidP="009C40C0">
            <w:pPr>
              <w:pStyle w:val="Tabletext"/>
              <w:jc w:val="center"/>
              <w:rPr>
                <w:snapToGrid w:val="0"/>
                <w:sz w:val="16"/>
                <w:szCs w:val="16"/>
                <w:highlight w:val="yellow"/>
              </w:rPr>
            </w:pPr>
            <w:r w:rsidRPr="00A73A1E">
              <w:rPr>
                <w:color w:val="000000"/>
                <w:sz w:val="16"/>
                <w:szCs w:val="16"/>
                <w:lang w:eastAsia="ja-JP"/>
              </w:rPr>
              <w:t xml:space="preserve">1.0 </w:t>
            </w:r>
            <w:r w:rsidRPr="00A73A1E">
              <w:rPr>
                <w:rFonts w:eastAsia="MS PGothic"/>
                <w:sz w:val="16"/>
                <w:szCs w:val="16"/>
              </w:rPr>
              <w:t>×</w:t>
            </w:r>
            <w:r w:rsidRPr="00A73A1E">
              <w:rPr>
                <w:color w:val="000000"/>
                <w:sz w:val="16"/>
                <w:szCs w:val="16"/>
                <w:lang w:eastAsia="ja-JP"/>
              </w:rPr>
              <w:t xml:space="preserve"> 10</w:t>
            </w:r>
            <w:r w:rsidRPr="00A73A1E">
              <w:rPr>
                <w:color w:val="000000"/>
                <w:sz w:val="16"/>
                <w:szCs w:val="16"/>
                <w:vertAlign w:val="superscript"/>
                <w:lang w:eastAsia="ja-JP"/>
              </w:rPr>
              <w:t>−6</w:t>
            </w:r>
          </w:p>
        </w:tc>
        <w:tc>
          <w:tcPr>
            <w:tcW w:w="496" w:type="pct"/>
            <w:tcBorders>
              <w:top w:val="single" w:sz="4" w:space="0" w:color="auto"/>
              <w:left w:val="single" w:sz="4" w:space="0" w:color="auto"/>
              <w:bottom w:val="single" w:sz="4" w:space="0" w:color="auto"/>
              <w:right w:val="single" w:sz="4" w:space="0" w:color="auto"/>
            </w:tcBorders>
            <w:vAlign w:val="center"/>
          </w:tcPr>
          <w:p w14:paraId="4589623C" w14:textId="77777777" w:rsidR="003244CE" w:rsidRPr="00A73A1E" w:rsidRDefault="003244CE" w:rsidP="009C40C0">
            <w:pPr>
              <w:pStyle w:val="Tabletext"/>
              <w:jc w:val="center"/>
              <w:rPr>
                <w:rFonts w:eastAsia="MS PGothic"/>
                <w:sz w:val="16"/>
                <w:szCs w:val="16"/>
              </w:rPr>
            </w:pPr>
            <w:r w:rsidRPr="00A73A1E">
              <w:rPr>
                <w:snapToGrid w:val="0"/>
                <w:sz w:val="16"/>
                <w:szCs w:val="16"/>
              </w:rPr>
              <w:t>(1 to 30)</w:t>
            </w:r>
            <w:r w:rsidRPr="00A73A1E">
              <w:rPr>
                <w:sz w:val="16"/>
                <w:szCs w:val="16"/>
                <w:lang w:eastAsia="ja-JP"/>
              </w:rPr>
              <w:t xml:space="preserve"> </w:t>
            </w:r>
            <w:r w:rsidRPr="00A73A1E">
              <w:rPr>
                <w:sz w:val="16"/>
                <w:szCs w:val="16"/>
                <w:lang w:eastAsia="ja-JP"/>
              </w:rPr>
              <w:sym w:font="Symbol" w:char="00B4"/>
            </w:r>
            <w:r w:rsidRPr="00A73A1E">
              <w:rPr>
                <w:sz w:val="16"/>
                <w:szCs w:val="16"/>
                <w:lang w:eastAsia="ja-JP"/>
              </w:rPr>
              <w:t> </w:t>
            </w:r>
            <w:r w:rsidRPr="00A73A1E">
              <w:rPr>
                <w:snapToGrid w:val="0"/>
                <w:sz w:val="16"/>
                <w:szCs w:val="16"/>
              </w:rPr>
              <w:t>10</w:t>
            </w:r>
            <w:r w:rsidRPr="00A73A1E">
              <w:rPr>
                <w:snapToGrid w:val="0"/>
                <w:sz w:val="16"/>
                <w:szCs w:val="16"/>
                <w:vertAlign w:val="superscript"/>
              </w:rPr>
              <w:t>−6</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428A729C" w14:textId="77777777" w:rsidR="003244CE" w:rsidRPr="00A73A1E" w:rsidDel="007508B4" w:rsidRDefault="003244CE" w:rsidP="009C40C0">
            <w:pPr>
              <w:pStyle w:val="Tabletext"/>
              <w:jc w:val="center"/>
              <w:rPr>
                <w:snapToGrid w:val="0"/>
                <w:sz w:val="16"/>
                <w:szCs w:val="16"/>
              </w:rPr>
            </w:pPr>
            <w:r w:rsidRPr="00A73A1E">
              <w:rPr>
                <w:snapToGrid w:val="0"/>
                <w:sz w:val="16"/>
                <w:szCs w:val="16"/>
              </w:rPr>
              <w:t>30 </w:t>
            </w:r>
            <w:r w:rsidRPr="00A73A1E">
              <w:rPr>
                <w:rFonts w:eastAsia="MS PGothic"/>
                <w:sz w:val="16"/>
                <w:szCs w:val="16"/>
              </w:rPr>
              <w:t>× </w:t>
            </w:r>
            <w:r w:rsidRPr="00A73A1E">
              <w:rPr>
                <w:snapToGrid w:val="0"/>
                <w:sz w:val="16"/>
                <w:szCs w:val="16"/>
              </w:rPr>
              <w:t>10</w:t>
            </w:r>
            <w:r w:rsidRPr="00A73A1E">
              <w:rPr>
                <w:snapToGrid w:val="0"/>
                <w:sz w:val="16"/>
                <w:szCs w:val="16"/>
                <w:vertAlign w:val="superscript"/>
              </w:rPr>
              <w:t>−6</w:t>
            </w:r>
          </w:p>
        </w:tc>
        <w:tc>
          <w:tcPr>
            <w:tcW w:w="728" w:type="pct"/>
            <w:gridSpan w:val="2"/>
            <w:tcBorders>
              <w:top w:val="single" w:sz="4" w:space="0" w:color="auto"/>
              <w:left w:val="single" w:sz="4" w:space="0" w:color="auto"/>
              <w:bottom w:val="single" w:sz="4" w:space="0" w:color="auto"/>
              <w:right w:val="single" w:sz="4" w:space="0" w:color="auto"/>
            </w:tcBorders>
            <w:vAlign w:val="center"/>
          </w:tcPr>
          <w:p w14:paraId="545BAA34" w14:textId="77777777" w:rsidR="003244CE" w:rsidRPr="00A73A1E" w:rsidRDefault="003244CE" w:rsidP="009C40C0">
            <w:pPr>
              <w:pStyle w:val="Tabletext"/>
              <w:jc w:val="center"/>
              <w:rPr>
                <w:snapToGrid w:val="0"/>
                <w:sz w:val="16"/>
                <w:szCs w:val="16"/>
              </w:rPr>
            </w:pPr>
            <w:r w:rsidRPr="00A73A1E">
              <w:rPr>
                <w:snapToGrid w:val="0"/>
                <w:sz w:val="16"/>
                <w:szCs w:val="16"/>
              </w:rPr>
              <w:t>30 </w:t>
            </w:r>
            <w:r w:rsidRPr="00A73A1E">
              <w:rPr>
                <w:rFonts w:eastAsia="MS PGothic"/>
                <w:sz w:val="16"/>
                <w:szCs w:val="16"/>
              </w:rPr>
              <w:t>× </w:t>
            </w:r>
            <w:r w:rsidRPr="00A73A1E">
              <w:rPr>
                <w:snapToGrid w:val="0"/>
                <w:sz w:val="16"/>
                <w:szCs w:val="16"/>
              </w:rPr>
              <w:t>10</w:t>
            </w:r>
            <w:r w:rsidRPr="00A73A1E">
              <w:rPr>
                <w:snapToGrid w:val="0"/>
                <w:sz w:val="16"/>
                <w:szCs w:val="16"/>
                <w:vertAlign w:val="superscript"/>
              </w:rPr>
              <w:t>−6</w:t>
            </w:r>
          </w:p>
        </w:tc>
      </w:tr>
      <w:tr w:rsidR="00227D04" w:rsidRPr="00A73A1E" w14:paraId="4DEE5532" w14:textId="77777777" w:rsidTr="00227D04">
        <w:trPr>
          <w:trHeight w:val="57"/>
          <w:jc w:val="center"/>
        </w:trPr>
        <w:tc>
          <w:tcPr>
            <w:tcW w:w="5000" w:type="pct"/>
            <w:gridSpan w:val="11"/>
            <w:tcBorders>
              <w:top w:val="single" w:sz="4" w:space="0" w:color="auto"/>
            </w:tcBorders>
          </w:tcPr>
          <w:p w14:paraId="4B1E9992" w14:textId="77777777" w:rsidR="00227D04" w:rsidRPr="00A73A1E" w:rsidRDefault="00227D04" w:rsidP="00227D04">
            <w:pPr>
              <w:pStyle w:val="Tabletext"/>
              <w:ind w:left="284" w:hanging="284"/>
              <w:rPr>
                <w:sz w:val="16"/>
                <w:szCs w:val="16"/>
              </w:rPr>
            </w:pPr>
            <w:r w:rsidRPr="00A73A1E">
              <w:rPr>
                <w:sz w:val="16"/>
                <w:szCs w:val="16"/>
              </w:rPr>
              <w:t>*</w:t>
            </w:r>
            <w:r w:rsidRPr="00A73A1E">
              <w:rPr>
                <w:sz w:val="16"/>
                <w:szCs w:val="16"/>
              </w:rPr>
              <w:tab/>
              <w:t>These columns cover characteristics and thresholds for RNSS receivers that operate in the 1 215-1 300 MHz band. (Receivers of this type operate with the signals described in Annex 2 to Recommendation ITU</w:t>
            </w:r>
            <w:r w:rsidRPr="00A73A1E">
              <w:rPr>
                <w:sz w:val="16"/>
                <w:szCs w:val="16"/>
              </w:rPr>
              <w:noBreakHyphen/>
              <w:t>R М.1787.) For characteristics and protection criteria for the receiver operation in the bands 1 559</w:t>
            </w:r>
            <w:r w:rsidRPr="00A73A1E">
              <w:rPr>
                <w:sz w:val="16"/>
                <w:szCs w:val="16"/>
              </w:rPr>
              <w:noBreakHyphen/>
              <w:t>1 610 MHz and/or 1 164</w:t>
            </w:r>
            <w:r w:rsidRPr="00A73A1E">
              <w:rPr>
                <w:sz w:val="16"/>
                <w:szCs w:val="16"/>
              </w:rPr>
              <w:noBreakHyphen/>
              <w:t>1 215 MHz, refer also to the associated table columns in Recommendations ITU</w:t>
            </w:r>
            <w:r w:rsidRPr="00A73A1E">
              <w:rPr>
                <w:sz w:val="16"/>
                <w:szCs w:val="16"/>
              </w:rPr>
              <w:noBreakHyphen/>
              <w:t>R M.1903 and/or ITU</w:t>
            </w:r>
            <w:r w:rsidRPr="00A73A1E">
              <w:rPr>
                <w:sz w:val="16"/>
                <w:szCs w:val="16"/>
              </w:rPr>
              <w:noBreakHyphen/>
              <w:t>R M.1905, respectively.</w:t>
            </w:r>
          </w:p>
          <w:p w14:paraId="6FF642B0" w14:textId="77777777" w:rsidR="00227D04" w:rsidRPr="00A73A1E" w:rsidRDefault="00227D04" w:rsidP="009C40C0">
            <w:pPr>
              <w:pStyle w:val="Tabletext"/>
              <w:rPr>
                <w:rFonts w:eastAsia="Calibri"/>
                <w:sz w:val="16"/>
                <w:szCs w:val="16"/>
                <w:lang w:eastAsia="ru-RU"/>
              </w:rPr>
            </w:pPr>
            <w:r w:rsidRPr="00A73A1E">
              <w:rPr>
                <w:sz w:val="16"/>
                <w:szCs w:val="16"/>
                <w:lang w:eastAsia="ru-RU"/>
              </w:rPr>
              <w:t>Note 1: For P(Y) signal processing, including that using semi-codeless techniques, narrow-band interference is considered to have less than a 100 kHz bandwidth and wideband interference has greater than a 1 MHz bandwidth. For L2C signal processing, narrow-band interference is considered to have less than a 1 kHz bandwidth and wideband interference has greater than a 1 MHz bandwidth.</w:t>
            </w:r>
            <w:r w:rsidRPr="00A73A1E">
              <w:rPr>
                <w:rFonts w:eastAsia="Calibri"/>
                <w:sz w:val="16"/>
                <w:szCs w:val="16"/>
                <w:lang w:eastAsia="ru-RU"/>
              </w:rPr>
              <w:t xml:space="preserve"> For FDMA and CDMA (carrier frequency 1 248.06 MHz) signals processing, narrow-band continuous interference is considered to have less than a 1 kHz bandwidth, and wideband continuous interference is considered to have greater than a 500 kHz bandwidth. Thresholds for interference bandwidths between 100 kHz (for P(Y)) or 1 kHz (for L2C and FDMA/CDMA (carrier frequency 1 248.06 MHz)) to 1 MHz (or for FDMA to 500 kHz) are undefined and may require further study.</w:t>
            </w:r>
          </w:p>
          <w:p w14:paraId="5569532C" w14:textId="77777777" w:rsidR="00227D04" w:rsidRPr="00A73A1E" w:rsidRDefault="00227D04" w:rsidP="009C40C0">
            <w:pPr>
              <w:pStyle w:val="Tabletext"/>
              <w:rPr>
                <w:sz w:val="16"/>
                <w:szCs w:val="16"/>
                <w:lang w:eastAsia="ru-RU"/>
              </w:rPr>
            </w:pPr>
            <w:r w:rsidRPr="00A73A1E">
              <w:rPr>
                <w:sz w:val="16"/>
                <w:szCs w:val="16"/>
                <w:lang w:eastAsia="ru-RU"/>
              </w:rPr>
              <w:t>Note 2: Narrow-band continuous interference is considered to have a bandwidth less than 700 Hz. Wideband continuous interference is considered to have a bandwidth greater than 1 </w:t>
            </w:r>
            <w:proofErr w:type="spellStart"/>
            <w:r w:rsidRPr="00A73A1E">
              <w:rPr>
                <w:sz w:val="16"/>
                <w:szCs w:val="16"/>
                <w:lang w:eastAsia="ru-RU"/>
              </w:rPr>
              <w:t>MHz.</w:t>
            </w:r>
            <w:proofErr w:type="spellEnd"/>
            <w:r w:rsidRPr="00A73A1E">
              <w:rPr>
                <w:sz w:val="16"/>
                <w:szCs w:val="16"/>
                <w:lang w:eastAsia="ru-RU"/>
              </w:rPr>
              <w:t xml:space="preserve"> Thresholds for interference bandwidths between 700 Hz and 1 MHz </w:t>
            </w:r>
            <w:r w:rsidRPr="00A73A1E">
              <w:rPr>
                <w:rFonts w:eastAsia="Calibri"/>
                <w:sz w:val="16"/>
                <w:szCs w:val="16"/>
                <w:lang w:eastAsia="ru-RU"/>
              </w:rPr>
              <w:t xml:space="preserve">may require further </w:t>
            </w:r>
            <w:r w:rsidRPr="00A73A1E">
              <w:rPr>
                <w:sz w:val="16"/>
                <w:szCs w:val="16"/>
                <w:lang w:eastAsia="ru-RU"/>
              </w:rPr>
              <w:t>study.</w:t>
            </w:r>
          </w:p>
          <w:p w14:paraId="44A894ED" w14:textId="77777777" w:rsidR="00227D04" w:rsidRPr="00A73A1E" w:rsidRDefault="00227D04" w:rsidP="009C40C0">
            <w:pPr>
              <w:pStyle w:val="Tabletext"/>
              <w:rPr>
                <w:sz w:val="16"/>
                <w:szCs w:val="16"/>
                <w:lang w:eastAsia="ru-RU"/>
              </w:rPr>
            </w:pPr>
            <w:r w:rsidRPr="00A73A1E">
              <w:rPr>
                <w:sz w:val="16"/>
                <w:szCs w:val="16"/>
                <w:lang w:eastAsia="ru-RU"/>
              </w:rPr>
              <w:t>Note 3: The listed maximum upper hemisphere gain value applies for 30° elevation (i.e. maximum expected RFI arrival angle). The listed maximum lower hemisphere gain value applies for 5° elevation.</w:t>
            </w:r>
          </w:p>
          <w:p w14:paraId="12662F0D" w14:textId="77777777" w:rsidR="00227D04" w:rsidRPr="00A73A1E" w:rsidRDefault="00227D04" w:rsidP="009C40C0">
            <w:pPr>
              <w:pStyle w:val="Tabletext"/>
              <w:rPr>
                <w:sz w:val="16"/>
                <w:szCs w:val="16"/>
                <w:lang w:eastAsia="ja-JP"/>
              </w:rPr>
            </w:pPr>
            <w:r w:rsidRPr="00A73A1E">
              <w:rPr>
                <w:sz w:val="16"/>
                <w:szCs w:val="16"/>
                <w:lang w:eastAsia="ru-RU"/>
              </w:rPr>
              <w:t>Note 4: Signal acquisition is performed using the L1 C/A signal. See the appropriate acquisition threshold row in Recommendation ITU</w:t>
            </w:r>
            <w:r w:rsidRPr="00A73A1E">
              <w:rPr>
                <w:sz w:val="16"/>
                <w:szCs w:val="16"/>
                <w:lang w:eastAsia="ru-RU"/>
              </w:rPr>
              <w:noBreakHyphen/>
              <w:t>R M.1903 Annex 2, Table 2</w:t>
            </w:r>
            <w:r w:rsidRPr="00A73A1E">
              <w:rPr>
                <w:sz w:val="16"/>
                <w:szCs w:val="16"/>
                <w:lang w:eastAsia="ru-RU"/>
              </w:rPr>
              <w:noBreakHyphen/>
              <w:t>2, “SBAS Ground Reference Receiver” column.</w:t>
            </w:r>
          </w:p>
          <w:p w14:paraId="7527CF39" w14:textId="77777777" w:rsidR="00227D04" w:rsidRPr="00A73A1E" w:rsidRDefault="00227D04" w:rsidP="009C40C0">
            <w:pPr>
              <w:pStyle w:val="Tabletext"/>
              <w:rPr>
                <w:sz w:val="16"/>
                <w:szCs w:val="16"/>
                <w:lang w:eastAsia="ru-RU"/>
              </w:rPr>
            </w:pPr>
            <w:r w:rsidRPr="00A73A1E">
              <w:rPr>
                <w:sz w:val="16"/>
                <w:szCs w:val="16"/>
                <w:lang w:eastAsia="ru-RU"/>
              </w:rPr>
              <w:t>Note 5: Signal acquisition is performed using the L1 C/A signal. See the appropriate acquisition threshold row in Recommendation ITU</w:t>
            </w:r>
            <w:r w:rsidRPr="00A73A1E">
              <w:rPr>
                <w:sz w:val="16"/>
                <w:szCs w:val="16"/>
                <w:lang w:eastAsia="ru-RU"/>
              </w:rPr>
              <w:noBreakHyphen/>
              <w:t>R M.1903 Annex 2, Table 2</w:t>
            </w:r>
            <w:r w:rsidRPr="00A73A1E">
              <w:rPr>
                <w:sz w:val="16"/>
                <w:szCs w:val="16"/>
                <w:lang w:eastAsia="ru-RU"/>
              </w:rPr>
              <w:noBreakHyphen/>
              <w:t>2, “High-precision” column.</w:t>
            </w:r>
          </w:p>
          <w:p w14:paraId="1345C52E" w14:textId="77777777" w:rsidR="00227D04" w:rsidRPr="00A73A1E" w:rsidRDefault="00227D04" w:rsidP="009C40C0">
            <w:pPr>
              <w:pStyle w:val="Tabletext"/>
              <w:rPr>
                <w:sz w:val="16"/>
                <w:szCs w:val="16"/>
                <w:lang w:eastAsia="ru-RU"/>
              </w:rPr>
            </w:pPr>
            <w:r w:rsidRPr="00A73A1E">
              <w:rPr>
                <w:sz w:val="16"/>
                <w:szCs w:val="16"/>
                <w:lang w:eastAsia="ru-RU"/>
              </w:rPr>
              <w:t xml:space="preserve">Note 6: These receiver input </w:t>
            </w:r>
            <w:r w:rsidRPr="00A73A1E">
              <w:rPr>
                <w:sz w:val="16"/>
                <w:szCs w:val="16"/>
              </w:rPr>
              <w:t>saturation</w:t>
            </w:r>
            <w:r w:rsidRPr="00A73A1E">
              <w:rPr>
                <w:sz w:val="16"/>
                <w:szCs w:val="16"/>
                <w:lang w:eastAsia="ru-RU"/>
              </w:rPr>
              <w:t xml:space="preserve"> levels </w:t>
            </w:r>
            <w:r w:rsidRPr="00A73A1E">
              <w:rPr>
                <w:sz w:val="16"/>
                <w:szCs w:val="16"/>
                <w:lang w:eastAsia="ja-JP"/>
              </w:rPr>
              <w:t>apply over the corresponding RF filter 3-dB</w:t>
            </w:r>
            <w:r w:rsidRPr="00A73A1E">
              <w:rPr>
                <w:sz w:val="16"/>
                <w:szCs w:val="16"/>
                <w:lang w:eastAsia="ru-RU"/>
              </w:rPr>
              <w:t xml:space="preserve"> bandwidth.</w:t>
            </w:r>
          </w:p>
          <w:p w14:paraId="76AA38C5" w14:textId="77777777" w:rsidR="00227D04" w:rsidRPr="00A73A1E" w:rsidRDefault="00227D04" w:rsidP="009C40C0">
            <w:pPr>
              <w:pStyle w:val="Tabletext"/>
              <w:rPr>
                <w:sz w:val="16"/>
                <w:szCs w:val="16"/>
                <w:lang w:eastAsia="ru-RU"/>
              </w:rPr>
            </w:pPr>
            <w:r w:rsidRPr="00A73A1E">
              <w:rPr>
                <w:sz w:val="16"/>
                <w:szCs w:val="16"/>
                <w:lang w:eastAsia="ru-RU"/>
              </w:rPr>
              <w:t>Note 7: This survival level is the peak power level for a pulsed signal with a 10% maximum duty factor.</w:t>
            </w:r>
          </w:p>
          <w:p w14:paraId="7B50CD35" w14:textId="77777777" w:rsidR="00227D04" w:rsidRPr="00A73A1E" w:rsidRDefault="00227D04" w:rsidP="009C40C0">
            <w:pPr>
              <w:pStyle w:val="Tabletext"/>
              <w:rPr>
                <w:rFonts w:eastAsia="MS PGothic"/>
                <w:sz w:val="16"/>
                <w:szCs w:val="16"/>
                <w:lang w:eastAsia="ru-RU"/>
              </w:rPr>
            </w:pPr>
            <w:r w:rsidRPr="00A73A1E">
              <w:rPr>
                <w:sz w:val="16"/>
                <w:szCs w:val="16"/>
                <w:lang w:eastAsia="ru-RU"/>
              </w:rPr>
              <w:t>Note 8: </w:t>
            </w:r>
            <w:r w:rsidRPr="00A73A1E">
              <w:rPr>
                <w:rFonts w:eastAsia="MS PGothic"/>
                <w:sz w:val="16"/>
                <w:szCs w:val="16"/>
                <w:lang w:eastAsia="ru-RU"/>
              </w:rPr>
              <w:t xml:space="preserve">This receiver type operates on several RNSS signal carrier frequencies simultaneously. The carrier frequencies are defined by </w:t>
            </w:r>
            <w:r w:rsidRPr="00A73A1E">
              <w:rPr>
                <w:rFonts w:eastAsia="MS PGothic"/>
                <w:i/>
                <w:sz w:val="16"/>
                <w:szCs w:val="16"/>
                <w:lang w:eastAsia="ru-RU"/>
              </w:rPr>
              <w:t>f</w:t>
            </w:r>
            <w:r w:rsidRPr="00A73A1E">
              <w:rPr>
                <w:rFonts w:eastAsia="MS PGothic"/>
                <w:i/>
                <w:sz w:val="16"/>
                <w:szCs w:val="16"/>
                <w:vertAlign w:val="subscript"/>
                <w:lang w:eastAsia="ru-RU"/>
              </w:rPr>
              <w:t>c</w:t>
            </w:r>
            <w:r w:rsidRPr="00A73A1E">
              <w:rPr>
                <w:rFonts w:eastAsia="MS PGothic"/>
                <w:sz w:val="16"/>
                <w:szCs w:val="16"/>
                <w:lang w:eastAsia="ru-RU"/>
              </w:rPr>
              <w:t xml:space="preserve"> (MHz) = 1 246.0 + 0.4375 </w:t>
            </w:r>
            <w:r w:rsidRPr="00A73A1E">
              <w:rPr>
                <w:rFonts w:eastAsia="MS PGothic"/>
                <w:i/>
                <w:iCs/>
                <w:sz w:val="16"/>
                <w:szCs w:val="16"/>
                <w:lang w:eastAsia="ru-RU"/>
              </w:rPr>
              <w:t>K</w:t>
            </w:r>
            <w:r w:rsidRPr="00A73A1E">
              <w:rPr>
                <w:rFonts w:eastAsia="MS PGothic"/>
                <w:sz w:val="16"/>
                <w:szCs w:val="16"/>
                <w:lang w:eastAsia="ru-RU"/>
              </w:rPr>
              <w:t xml:space="preserve">, where </w:t>
            </w:r>
            <w:r w:rsidRPr="00A73A1E">
              <w:rPr>
                <w:rFonts w:eastAsia="MS PGothic"/>
                <w:i/>
                <w:iCs/>
                <w:sz w:val="16"/>
                <w:szCs w:val="16"/>
                <w:lang w:eastAsia="ru-RU"/>
              </w:rPr>
              <w:t>K</w:t>
            </w:r>
            <w:r w:rsidRPr="00A73A1E">
              <w:rPr>
                <w:rFonts w:eastAsia="MS PGothic"/>
                <w:sz w:val="16"/>
                <w:szCs w:val="16"/>
                <w:lang w:eastAsia="ru-RU"/>
              </w:rPr>
              <w:t> = −</w:t>
            </w:r>
            <w:r w:rsidRPr="00A73A1E">
              <w:rPr>
                <w:rFonts w:eastAsia="MS PGothic"/>
                <w:sz w:val="16"/>
                <w:szCs w:val="16"/>
              </w:rPr>
              <w:t> </w:t>
            </w:r>
            <w:r w:rsidRPr="00A73A1E">
              <w:rPr>
                <w:rFonts w:eastAsia="MS PGothic"/>
                <w:sz w:val="16"/>
                <w:szCs w:val="16"/>
                <w:lang w:eastAsia="ru-RU"/>
              </w:rPr>
              <w:t>7 to + 6.</w:t>
            </w:r>
          </w:p>
          <w:p w14:paraId="7A98AB3E" w14:textId="1AF14633" w:rsidR="00227D04" w:rsidRPr="00227D04" w:rsidRDefault="00227D04" w:rsidP="00227D04">
            <w:pPr>
              <w:pStyle w:val="Tabletext"/>
              <w:rPr>
                <w:sz w:val="16"/>
                <w:szCs w:val="16"/>
                <w:lang w:eastAsia="ru-RU"/>
              </w:rPr>
            </w:pPr>
            <w:r w:rsidRPr="00A73A1E">
              <w:rPr>
                <w:sz w:val="16"/>
                <w:szCs w:val="16"/>
                <w:lang w:eastAsia="ru-RU"/>
              </w:rPr>
              <w:t>Note 9: This threshold should account for the aggregate power of all interference. The threshold value does not include any safety margin.</w:t>
            </w:r>
          </w:p>
        </w:tc>
      </w:tr>
    </w:tbl>
    <w:p w14:paraId="5A7FE9AC" w14:textId="77777777" w:rsidR="00227D04" w:rsidRDefault="00227D04">
      <w:r>
        <w:br w:type="page"/>
      </w:r>
    </w:p>
    <w:tbl>
      <w:tblPr>
        <w:tblW w:w="14459" w:type="dxa"/>
        <w:jc w:val="center"/>
        <w:tblLook w:val="0000" w:firstRow="0" w:lastRow="0" w:firstColumn="0" w:lastColumn="0" w:noHBand="0" w:noVBand="0"/>
      </w:tblPr>
      <w:tblGrid>
        <w:gridCol w:w="14459"/>
      </w:tblGrid>
      <w:tr w:rsidR="00227D04" w:rsidRPr="00A73A1E" w14:paraId="6CBACD3F" w14:textId="77777777" w:rsidTr="00227D04">
        <w:trPr>
          <w:trHeight w:val="1574"/>
          <w:jc w:val="center"/>
        </w:trPr>
        <w:tc>
          <w:tcPr>
            <w:tcW w:w="5000" w:type="pct"/>
          </w:tcPr>
          <w:p w14:paraId="5FC9BAD5" w14:textId="1CAE4EF5" w:rsidR="00227D04" w:rsidRDefault="00227D04" w:rsidP="00227D04">
            <w:pPr>
              <w:pStyle w:val="Tabletext"/>
              <w:rPr>
                <w:sz w:val="16"/>
                <w:szCs w:val="16"/>
                <w:lang w:eastAsia="ru-RU"/>
              </w:rPr>
            </w:pPr>
            <w:r w:rsidRPr="00227D04">
              <w:rPr>
                <w:i/>
                <w:iCs/>
                <w:sz w:val="16"/>
                <w:szCs w:val="16"/>
                <w:lang w:eastAsia="ru-RU"/>
              </w:rPr>
              <w:lastRenderedPageBreak/>
              <w:t>Notes relative to Table 7</w:t>
            </w:r>
            <w:r>
              <w:rPr>
                <w:sz w:val="16"/>
                <w:szCs w:val="16"/>
                <w:lang w:eastAsia="ru-RU"/>
              </w:rPr>
              <w:t>:</w:t>
            </w:r>
          </w:p>
          <w:p w14:paraId="7C778060" w14:textId="28304B69" w:rsidR="00227D04" w:rsidRPr="00A73A1E" w:rsidRDefault="00227D04" w:rsidP="00227D04">
            <w:pPr>
              <w:pStyle w:val="Tabletext"/>
              <w:rPr>
                <w:rFonts w:eastAsia="MS PGothic"/>
                <w:sz w:val="16"/>
                <w:szCs w:val="16"/>
                <w:lang w:eastAsia="ru-RU"/>
              </w:rPr>
            </w:pPr>
            <w:r w:rsidRPr="00A73A1E">
              <w:rPr>
                <w:sz w:val="16"/>
                <w:szCs w:val="16"/>
                <w:lang w:eastAsia="ru-RU"/>
              </w:rPr>
              <w:t xml:space="preserve">Note 10: Given </w:t>
            </w:r>
            <w:r w:rsidRPr="00A73A1E">
              <w:rPr>
                <w:rFonts w:eastAsia="MS PGothic"/>
                <w:sz w:val="16"/>
                <w:szCs w:val="16"/>
                <w:lang w:eastAsia="ru-RU"/>
              </w:rPr>
              <w:t>values represent typical characteristics of receivers. Under certain conditions more rigid values for some parameters could be required (e.g. recovery time after overload, threshold values of aggregate interference, etc.).</w:t>
            </w:r>
          </w:p>
          <w:p w14:paraId="206AA8CC" w14:textId="6D689BFE" w:rsidR="00227D04" w:rsidRPr="00A73A1E" w:rsidRDefault="00227D04" w:rsidP="00227D04">
            <w:pPr>
              <w:pStyle w:val="Tabletext"/>
              <w:rPr>
                <w:rFonts w:eastAsia="MS PGothic"/>
                <w:sz w:val="16"/>
                <w:szCs w:val="16"/>
                <w:lang w:eastAsia="ru-RU"/>
              </w:rPr>
            </w:pPr>
            <w:r w:rsidRPr="00A73A1E">
              <w:rPr>
                <w:rFonts w:eastAsia="MS PGothic"/>
                <w:sz w:val="16"/>
                <w:szCs w:val="16"/>
                <w:lang w:eastAsia="ru-RU"/>
              </w:rPr>
              <w:t>Note 11: Minimum receiver antenna gain at 5 degrees elevation angle is −5.5 </w:t>
            </w:r>
            <w:proofErr w:type="spellStart"/>
            <w:r w:rsidRPr="00A73A1E">
              <w:rPr>
                <w:rFonts w:eastAsia="MS PGothic"/>
                <w:sz w:val="16"/>
                <w:szCs w:val="16"/>
                <w:lang w:eastAsia="ru-RU"/>
              </w:rPr>
              <w:t>dBiс</w:t>
            </w:r>
            <w:proofErr w:type="spellEnd"/>
            <w:r w:rsidRPr="00A73A1E">
              <w:rPr>
                <w:rFonts w:eastAsia="MS PGothic"/>
                <w:sz w:val="16"/>
                <w:szCs w:val="16"/>
                <w:lang w:eastAsia="ru-RU"/>
              </w:rPr>
              <w:t>.</w:t>
            </w:r>
          </w:p>
          <w:p w14:paraId="36DA6EDB" w14:textId="77777777" w:rsidR="00227D04" w:rsidRPr="00A73A1E" w:rsidRDefault="00227D04" w:rsidP="00227D04">
            <w:pPr>
              <w:pStyle w:val="Tabletext"/>
              <w:rPr>
                <w:rFonts w:eastAsia="MS PGothic"/>
                <w:sz w:val="16"/>
                <w:szCs w:val="16"/>
                <w:lang w:eastAsia="ru-RU"/>
              </w:rPr>
            </w:pPr>
            <w:r w:rsidRPr="00A73A1E">
              <w:rPr>
                <w:rFonts w:eastAsia="MS PGothic"/>
                <w:sz w:val="16"/>
                <w:szCs w:val="16"/>
                <w:lang w:eastAsia="ru-RU"/>
              </w:rPr>
              <w:t>Note 12: Because the antenna in some RNSS receiver applications could potentially be pointed in almost any direction, the maximum antenna gain in the lower hemisphere could (under worst-case conditions) be equal to that for the upper hemisphere.</w:t>
            </w:r>
          </w:p>
          <w:p w14:paraId="74DB8BBE" w14:textId="77777777" w:rsidR="00227D04" w:rsidRPr="00A73A1E" w:rsidRDefault="00227D04" w:rsidP="00227D04">
            <w:pPr>
              <w:pStyle w:val="Tabletext"/>
              <w:rPr>
                <w:rFonts w:eastAsia="MS PGothic"/>
                <w:sz w:val="16"/>
                <w:szCs w:val="16"/>
                <w:lang w:eastAsia="ru-RU"/>
              </w:rPr>
            </w:pPr>
            <w:r w:rsidRPr="00A73A1E">
              <w:rPr>
                <w:rFonts w:eastAsia="MS PGothic"/>
                <w:sz w:val="16"/>
                <w:szCs w:val="16"/>
                <w:lang w:eastAsia="ru-RU"/>
              </w:rPr>
              <w:t xml:space="preserve">Note 13: This receiver input saturation level is for power in a 1 MHz bandwidth. </w:t>
            </w:r>
          </w:p>
          <w:p w14:paraId="258CDD1B" w14:textId="77777777" w:rsidR="00227D04" w:rsidRPr="00A73A1E" w:rsidRDefault="00227D04" w:rsidP="00227D04">
            <w:pPr>
              <w:pStyle w:val="Tabletext"/>
              <w:rPr>
                <w:sz w:val="16"/>
                <w:szCs w:val="16"/>
                <w:lang w:eastAsia="ru-RU"/>
              </w:rPr>
            </w:pPr>
            <w:r w:rsidRPr="00A73A1E">
              <w:rPr>
                <w:sz w:val="16"/>
                <w:szCs w:val="16"/>
                <w:lang w:eastAsia="ru-RU"/>
              </w:rPr>
              <w:t xml:space="preserve">Note 14: The values in these rows are to be used for assessment of interference from pulsed sources in conjunction with the methodology </w:t>
            </w:r>
          </w:p>
          <w:p w14:paraId="280B09A3" w14:textId="77777777" w:rsidR="00227D04" w:rsidRPr="00A73A1E" w:rsidRDefault="00227D04" w:rsidP="00227D04">
            <w:pPr>
              <w:pStyle w:val="Tabletext"/>
              <w:rPr>
                <w:sz w:val="16"/>
                <w:szCs w:val="16"/>
                <w:lang w:eastAsia="ru-RU"/>
              </w:rPr>
            </w:pPr>
            <w:r w:rsidRPr="00A73A1E">
              <w:rPr>
                <w:sz w:val="16"/>
                <w:szCs w:val="16"/>
                <w:lang w:eastAsia="ru-RU"/>
              </w:rPr>
              <w:t>Note 15: The maximum lower hemisphere gain value applies for 5° elevation angle.</w:t>
            </w:r>
          </w:p>
          <w:p w14:paraId="4A7D67DD" w14:textId="77777777" w:rsidR="00227D04" w:rsidRPr="00A73A1E" w:rsidRDefault="00227D04" w:rsidP="00227D04">
            <w:pPr>
              <w:pStyle w:val="Tabletext"/>
              <w:rPr>
                <w:sz w:val="16"/>
                <w:szCs w:val="16"/>
                <w:lang w:eastAsia="ru-RU"/>
              </w:rPr>
            </w:pPr>
            <w:r w:rsidRPr="00A73A1E">
              <w:rPr>
                <w:sz w:val="16"/>
                <w:szCs w:val="16"/>
                <w:lang w:eastAsia="ru-RU"/>
              </w:rPr>
              <w:t>Note 16: Narrow-band continuous interference is considered to have a bandwidth less than 128 kHz. Wideband continuous interference is considered to have a bandwidth greater than 1 </w:t>
            </w:r>
            <w:proofErr w:type="spellStart"/>
            <w:r w:rsidRPr="00A73A1E">
              <w:rPr>
                <w:sz w:val="16"/>
                <w:szCs w:val="16"/>
                <w:lang w:eastAsia="ru-RU"/>
              </w:rPr>
              <w:t>MHz.</w:t>
            </w:r>
            <w:proofErr w:type="spellEnd"/>
            <w:r w:rsidRPr="00A73A1E">
              <w:rPr>
                <w:sz w:val="16"/>
                <w:szCs w:val="16"/>
                <w:lang w:eastAsia="ru-RU"/>
              </w:rPr>
              <w:t xml:space="preserve"> Thresholds for interference with a bandwidth between 128 kHz and 1 MHz may require further study. </w:t>
            </w:r>
          </w:p>
          <w:p w14:paraId="48066539" w14:textId="77777777" w:rsidR="00227D04" w:rsidRPr="00A73A1E" w:rsidRDefault="00227D04" w:rsidP="00227D04">
            <w:pPr>
              <w:pStyle w:val="Tabletext"/>
              <w:rPr>
                <w:sz w:val="16"/>
                <w:szCs w:val="16"/>
                <w:lang w:eastAsia="ru-RU"/>
              </w:rPr>
            </w:pPr>
            <w:r w:rsidRPr="00A73A1E">
              <w:rPr>
                <w:sz w:val="16"/>
                <w:szCs w:val="16"/>
                <w:lang w:eastAsia="ru-RU"/>
              </w:rPr>
              <w:t>Note 17: For E6-BC, signal acquisition is performed using the E1-BC signal. See the appropriate acquisition threshold row in Recommendation ITU</w:t>
            </w:r>
            <w:r w:rsidRPr="00A73A1E">
              <w:rPr>
                <w:sz w:val="16"/>
                <w:szCs w:val="16"/>
                <w:lang w:eastAsia="ru-RU"/>
              </w:rPr>
              <w:noBreakHyphen/>
              <w:t>R M.1903 Annex 2, Table 2</w:t>
            </w:r>
            <w:r w:rsidRPr="00A73A1E">
              <w:rPr>
                <w:sz w:val="16"/>
                <w:szCs w:val="16"/>
                <w:lang w:eastAsia="ru-RU"/>
              </w:rPr>
              <w:noBreakHyphen/>
              <w:t xml:space="preserve">2, “High-precision” column. For L6 signal, some receivers perform signal acquisition using the signals in L1 band and other receivers are expected to have 6 dB smaller threshold for the acquisition mode than for the tracking mode. </w:t>
            </w:r>
          </w:p>
          <w:p w14:paraId="1BA6E563" w14:textId="386610AD" w:rsidR="00227D04" w:rsidRPr="00A73A1E" w:rsidRDefault="00227D04" w:rsidP="00227D04">
            <w:pPr>
              <w:pStyle w:val="Tabletext"/>
              <w:rPr>
                <w:sz w:val="16"/>
                <w:szCs w:val="16"/>
              </w:rPr>
            </w:pPr>
            <w:r w:rsidRPr="00A73A1E">
              <w:rPr>
                <w:sz w:val="16"/>
                <w:szCs w:val="16"/>
                <w:lang w:eastAsia="ru-RU"/>
              </w:rPr>
              <w:t>Note 18: Bandwidth of 40.92 MHz is for E6-BC receiver and that of 42.0 MHz is for L6 receiver. Noise temperature of 722 K is for E6-BC receiver and that of 645 K is for L6 receiver</w:t>
            </w:r>
            <w:r w:rsidRPr="00A73A1E">
              <w:rPr>
                <w:rFonts w:ascii="Calibri" w:eastAsia="Calibri" w:hAnsi="Calibri"/>
                <w:sz w:val="16"/>
                <w:szCs w:val="16"/>
                <w:lang w:eastAsia="ja-JP"/>
              </w:rPr>
              <w:t>.</w:t>
            </w:r>
          </w:p>
        </w:tc>
      </w:tr>
    </w:tbl>
    <w:p w14:paraId="4B4739C1" w14:textId="77777777" w:rsidR="003244CE" w:rsidRPr="00A73A1E" w:rsidRDefault="003244CE" w:rsidP="003244CE">
      <w:pPr>
        <w:pStyle w:val="Tablefin"/>
      </w:pPr>
    </w:p>
    <w:p w14:paraId="067F6BBF" w14:textId="77777777" w:rsidR="003244CE" w:rsidRPr="00A73A1E" w:rsidRDefault="003244CE" w:rsidP="003244CE">
      <w:pPr>
        <w:pStyle w:val="Tablefin"/>
        <w:sectPr w:rsidR="003244CE" w:rsidRPr="00A73A1E" w:rsidSect="00684163">
          <w:headerReference w:type="even" r:id="rId47"/>
          <w:headerReference w:type="default" r:id="rId48"/>
          <w:footerReference w:type="even" r:id="rId49"/>
          <w:footerReference w:type="default" r:id="rId50"/>
          <w:footerReference w:type="first" r:id="rId51"/>
          <w:pgSz w:w="16834" w:h="11907" w:orient="landscape" w:code="9"/>
          <w:pgMar w:top="1134" w:right="1418" w:bottom="1134" w:left="1134" w:header="720" w:footer="482" w:gutter="0"/>
          <w:cols w:space="720"/>
          <w:docGrid w:linePitch="326"/>
        </w:sectPr>
      </w:pPr>
    </w:p>
    <w:p w14:paraId="61552E90" w14:textId="77777777" w:rsidR="003244CE" w:rsidRPr="00A73A1E" w:rsidRDefault="003244CE" w:rsidP="003244CE">
      <w:pPr>
        <w:pStyle w:val="Heading1"/>
      </w:pPr>
      <w:bookmarkStart w:id="17" w:name="_Toc102659320"/>
      <w:bookmarkStart w:id="18" w:name="_Toc102659448"/>
      <w:bookmarkStart w:id="19" w:name="_Toc102659469"/>
      <w:r w:rsidRPr="00A73A1E">
        <w:lastRenderedPageBreak/>
        <w:t>4</w:t>
      </w:r>
      <w:r w:rsidRPr="00A73A1E">
        <w:tab/>
        <w:t>Analytic evaluation method for pulsed RFI from spaceborne SARs to RNSS receivers</w:t>
      </w:r>
      <w:bookmarkEnd w:id="17"/>
      <w:bookmarkEnd w:id="18"/>
      <w:bookmarkEnd w:id="19"/>
    </w:p>
    <w:p w14:paraId="1BE842A6" w14:textId="77777777" w:rsidR="003244CE" w:rsidRPr="00A73A1E" w:rsidRDefault="003244CE" w:rsidP="003244CE">
      <w:pPr>
        <w:pStyle w:val="Heading2"/>
      </w:pPr>
      <w:bookmarkStart w:id="20" w:name="_Toc102659321"/>
      <w:bookmarkStart w:id="21" w:name="_Toc102659449"/>
      <w:bookmarkStart w:id="22" w:name="_Toc102659470"/>
      <w:r w:rsidRPr="00A73A1E">
        <w:t>4.1</w:t>
      </w:r>
      <w:r w:rsidRPr="00A73A1E">
        <w:tab/>
        <w:t>Assessment of potential for RNSS receiver damage or saturation</w:t>
      </w:r>
      <w:bookmarkEnd w:id="20"/>
      <w:bookmarkEnd w:id="21"/>
      <w:bookmarkEnd w:id="22"/>
    </w:p>
    <w:p w14:paraId="3851A934" w14:textId="77777777" w:rsidR="003244CE" w:rsidRPr="00A73A1E" w:rsidRDefault="003244CE" w:rsidP="003244CE">
      <w:r w:rsidRPr="00A73A1E">
        <w:t xml:space="preserve">The first step in analysing the interference potential from a spaceborne SAR to a RNSS receiver is to determine if the peak signal power from the spaceborne active sensor is great enough to cause front-end component damage within the RNSS receiver. The maximum interfering signal power levels received from a spaceborne active sensor occur when an RNSS receiver is located in the main beam of the spaceborne active sensor antenna (no RNSS receiver filtering assumed). The peak interfering signal power levels from active sensors into an RNSS receiver may be calculated using a template shown in Table 8. The calculations assume co-frequency operation. The template is applied to each of the RNSS receiver types, and the results are first compared with the particular receiver input survival levels listed in Table 7 </w:t>
      </w:r>
      <w:r w:rsidRPr="00A73A1E">
        <w:rPr>
          <w:color w:val="000000"/>
          <w:szCs w:val="24"/>
          <w:lang w:eastAsia="ja-JP"/>
        </w:rPr>
        <w:t>to assure none exceed the limits</w:t>
      </w:r>
      <w:r w:rsidRPr="00A73A1E">
        <w:t>.</w:t>
      </w:r>
    </w:p>
    <w:p w14:paraId="2FD513FF" w14:textId="77777777" w:rsidR="003244CE" w:rsidRPr="00A73A1E" w:rsidRDefault="003244CE" w:rsidP="003244CE">
      <w:pPr>
        <w:pStyle w:val="TableNo"/>
        <w:rPr>
          <w:lang w:eastAsia="ru-RU"/>
        </w:rPr>
      </w:pPr>
      <w:r w:rsidRPr="00A73A1E">
        <w:t>TABLE</w:t>
      </w:r>
      <w:r w:rsidRPr="00A73A1E">
        <w:rPr>
          <w:lang w:eastAsia="ru-RU"/>
        </w:rPr>
        <w:t xml:space="preserve"> 8</w:t>
      </w:r>
    </w:p>
    <w:p w14:paraId="1C6CEAE4" w14:textId="77777777" w:rsidR="003244CE" w:rsidRPr="00A73A1E" w:rsidRDefault="003244CE" w:rsidP="003244CE">
      <w:pPr>
        <w:pStyle w:val="Tabletitle"/>
      </w:pPr>
      <w:r w:rsidRPr="00A73A1E">
        <w:t>Maximum RNSS received RFI power calculation template</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986"/>
        <w:gridCol w:w="987"/>
        <w:gridCol w:w="1156"/>
        <w:gridCol w:w="1156"/>
        <w:gridCol w:w="1156"/>
        <w:gridCol w:w="1222"/>
      </w:tblGrid>
      <w:tr w:rsidR="003244CE" w:rsidRPr="00A73A1E" w14:paraId="6E615DE5" w14:textId="77777777" w:rsidTr="0037156B">
        <w:trPr>
          <w:jc w:val="center"/>
        </w:trPr>
        <w:tc>
          <w:tcPr>
            <w:tcW w:w="2893" w:type="dxa"/>
          </w:tcPr>
          <w:p w14:paraId="197BEAB9" w14:textId="77777777" w:rsidR="003244CE" w:rsidRPr="00A73A1E" w:rsidRDefault="003244CE" w:rsidP="009C40C0">
            <w:pPr>
              <w:pStyle w:val="Tablehead"/>
            </w:pPr>
            <w:r w:rsidRPr="00A73A1E">
              <w:t>Parameters (units)</w:t>
            </w:r>
          </w:p>
        </w:tc>
        <w:tc>
          <w:tcPr>
            <w:tcW w:w="958" w:type="dxa"/>
            <w:vAlign w:val="center"/>
          </w:tcPr>
          <w:p w14:paraId="41E87008" w14:textId="77777777" w:rsidR="003244CE" w:rsidRPr="00A73A1E" w:rsidRDefault="003244CE" w:rsidP="009C40C0">
            <w:pPr>
              <w:pStyle w:val="Tablehead"/>
            </w:pPr>
            <w:r w:rsidRPr="00A73A1E">
              <w:t>SAR1</w:t>
            </w:r>
          </w:p>
        </w:tc>
        <w:tc>
          <w:tcPr>
            <w:tcW w:w="959" w:type="dxa"/>
            <w:vAlign w:val="center"/>
          </w:tcPr>
          <w:p w14:paraId="0D1EBEEC" w14:textId="77777777" w:rsidR="003244CE" w:rsidRPr="00A73A1E" w:rsidRDefault="003244CE" w:rsidP="009C40C0">
            <w:pPr>
              <w:pStyle w:val="Tablehead"/>
            </w:pPr>
            <w:r w:rsidRPr="00A73A1E">
              <w:t>SAR2</w:t>
            </w:r>
          </w:p>
        </w:tc>
        <w:tc>
          <w:tcPr>
            <w:tcW w:w="1123" w:type="dxa"/>
            <w:vAlign w:val="center"/>
          </w:tcPr>
          <w:p w14:paraId="6F8F194E" w14:textId="77777777" w:rsidR="003244CE" w:rsidRPr="00A73A1E" w:rsidRDefault="003244CE" w:rsidP="009C40C0">
            <w:pPr>
              <w:pStyle w:val="Tablehead"/>
            </w:pPr>
            <w:r w:rsidRPr="00A73A1E">
              <w:rPr>
                <w:lang w:eastAsia="ja-JP"/>
              </w:rPr>
              <w:t>SAR3</w:t>
            </w:r>
          </w:p>
        </w:tc>
        <w:tc>
          <w:tcPr>
            <w:tcW w:w="1123" w:type="dxa"/>
            <w:vAlign w:val="center"/>
          </w:tcPr>
          <w:p w14:paraId="5FCAC0AB" w14:textId="77777777" w:rsidR="003244CE" w:rsidRPr="00A73A1E" w:rsidRDefault="003244CE" w:rsidP="009C40C0">
            <w:pPr>
              <w:pStyle w:val="Tablehead"/>
            </w:pPr>
            <w:r w:rsidRPr="00A73A1E">
              <w:rPr>
                <w:lang w:eastAsia="ja-JP"/>
              </w:rPr>
              <w:t>SAR4</w:t>
            </w:r>
          </w:p>
        </w:tc>
        <w:tc>
          <w:tcPr>
            <w:tcW w:w="1123" w:type="dxa"/>
            <w:vAlign w:val="center"/>
          </w:tcPr>
          <w:p w14:paraId="004E395D" w14:textId="77777777" w:rsidR="003244CE" w:rsidRPr="00A73A1E" w:rsidRDefault="003244CE" w:rsidP="009C40C0">
            <w:pPr>
              <w:pStyle w:val="Tablehead"/>
            </w:pPr>
            <w:r w:rsidRPr="00A73A1E">
              <w:rPr>
                <w:lang w:eastAsia="ja-JP"/>
              </w:rPr>
              <w:t>SAR5</w:t>
            </w:r>
          </w:p>
        </w:tc>
        <w:tc>
          <w:tcPr>
            <w:tcW w:w="1187" w:type="dxa"/>
            <w:vAlign w:val="center"/>
          </w:tcPr>
          <w:p w14:paraId="53FB6513" w14:textId="77777777" w:rsidR="003244CE" w:rsidRPr="00A73A1E" w:rsidRDefault="003244CE" w:rsidP="009C40C0">
            <w:pPr>
              <w:pStyle w:val="Tablehead"/>
            </w:pPr>
            <w:r w:rsidRPr="00A73A1E">
              <w:rPr>
                <w:lang w:eastAsia="ja-JP"/>
              </w:rPr>
              <w:t>SAR6</w:t>
            </w:r>
          </w:p>
        </w:tc>
      </w:tr>
      <w:tr w:rsidR="003244CE" w:rsidRPr="00A73A1E" w14:paraId="21362AA9" w14:textId="77777777" w:rsidTr="0037156B">
        <w:trPr>
          <w:jc w:val="center"/>
        </w:trPr>
        <w:tc>
          <w:tcPr>
            <w:tcW w:w="2893" w:type="dxa"/>
          </w:tcPr>
          <w:p w14:paraId="285C1A2C" w14:textId="77777777" w:rsidR="003244CE" w:rsidRPr="00A73A1E" w:rsidRDefault="003244CE" w:rsidP="0037156B">
            <w:pPr>
              <w:pStyle w:val="Tabletext"/>
              <w:jc w:val="left"/>
            </w:pPr>
            <w:r w:rsidRPr="00A73A1E">
              <w:t>Centre frequency (MHz)</w:t>
            </w:r>
            <w:r w:rsidRPr="00A73A1E">
              <w:rPr>
                <w:position w:val="6"/>
                <w:sz w:val="16"/>
                <w:szCs w:val="16"/>
              </w:rPr>
              <w:footnoteReference w:id="7"/>
            </w:r>
          </w:p>
        </w:tc>
        <w:tc>
          <w:tcPr>
            <w:tcW w:w="958" w:type="dxa"/>
            <w:vAlign w:val="center"/>
          </w:tcPr>
          <w:p w14:paraId="7064C6C0"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rPr>
              <w:t>1 257.5</w:t>
            </w:r>
          </w:p>
        </w:tc>
        <w:tc>
          <w:tcPr>
            <w:tcW w:w="959" w:type="dxa"/>
            <w:vAlign w:val="center"/>
          </w:tcPr>
          <w:p w14:paraId="65299980"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rPr>
              <w:t>1 257.5</w:t>
            </w:r>
          </w:p>
        </w:tc>
        <w:tc>
          <w:tcPr>
            <w:tcW w:w="1123" w:type="dxa"/>
            <w:vAlign w:val="center"/>
          </w:tcPr>
          <w:p w14:paraId="07F2B71E"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rPr>
              <w:t>1 215.0-1 300.0</w:t>
            </w:r>
          </w:p>
        </w:tc>
        <w:tc>
          <w:tcPr>
            <w:tcW w:w="1123" w:type="dxa"/>
            <w:vAlign w:val="center"/>
          </w:tcPr>
          <w:p w14:paraId="0567B7CB"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rPr>
              <w:t>1 257.5</w:t>
            </w:r>
          </w:p>
        </w:tc>
        <w:tc>
          <w:tcPr>
            <w:tcW w:w="1123" w:type="dxa"/>
            <w:vAlign w:val="center"/>
          </w:tcPr>
          <w:p w14:paraId="77029B91"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rPr>
              <w:t>1 215.0-1 300.0</w:t>
            </w:r>
          </w:p>
        </w:tc>
        <w:tc>
          <w:tcPr>
            <w:tcW w:w="1187" w:type="dxa"/>
            <w:vAlign w:val="center"/>
          </w:tcPr>
          <w:p w14:paraId="3A170C0D"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rPr>
              <w:t>1 215.0-1 300.0</w:t>
            </w:r>
          </w:p>
        </w:tc>
      </w:tr>
      <w:tr w:rsidR="003244CE" w:rsidRPr="00A73A1E" w14:paraId="378FC933" w14:textId="77777777" w:rsidTr="0037156B">
        <w:trPr>
          <w:jc w:val="center"/>
        </w:trPr>
        <w:tc>
          <w:tcPr>
            <w:tcW w:w="2893" w:type="dxa"/>
          </w:tcPr>
          <w:p w14:paraId="360F6A5D" w14:textId="77777777" w:rsidR="003244CE" w:rsidRPr="00A73A1E" w:rsidRDefault="003244CE" w:rsidP="0037156B">
            <w:pPr>
              <w:pStyle w:val="Tabletext"/>
              <w:jc w:val="left"/>
            </w:pPr>
            <w:r w:rsidRPr="00A73A1E">
              <w:t xml:space="preserve">Peak </w:t>
            </w:r>
            <w:r w:rsidRPr="00A73A1E">
              <w:rPr>
                <w:lang w:eastAsia="ja-JP"/>
              </w:rPr>
              <w:t>transmitter</w:t>
            </w:r>
            <w:r w:rsidRPr="00A73A1E">
              <w:t xml:space="preserve"> power (</w:t>
            </w:r>
            <w:proofErr w:type="spellStart"/>
            <w:r w:rsidRPr="00A73A1E">
              <w:t>dBW</w:t>
            </w:r>
            <w:proofErr w:type="spellEnd"/>
            <w:r w:rsidRPr="00A73A1E">
              <w:t>)</w:t>
            </w:r>
          </w:p>
        </w:tc>
        <w:tc>
          <w:tcPr>
            <w:tcW w:w="958" w:type="dxa"/>
            <w:vAlign w:val="center"/>
          </w:tcPr>
          <w:p w14:paraId="08704AE1"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rPr>
              <w:t>35.1</w:t>
            </w:r>
          </w:p>
        </w:tc>
        <w:tc>
          <w:tcPr>
            <w:tcW w:w="959" w:type="dxa"/>
            <w:vAlign w:val="center"/>
          </w:tcPr>
          <w:p w14:paraId="56F54C17"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rPr>
              <w:t>30.8</w:t>
            </w:r>
          </w:p>
        </w:tc>
        <w:tc>
          <w:tcPr>
            <w:tcW w:w="1123" w:type="dxa"/>
            <w:vAlign w:val="center"/>
          </w:tcPr>
          <w:p w14:paraId="1B74EA98"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rPr>
              <w:t>35.1</w:t>
            </w:r>
          </w:p>
        </w:tc>
        <w:tc>
          <w:tcPr>
            <w:tcW w:w="1123" w:type="dxa"/>
            <w:vAlign w:val="center"/>
          </w:tcPr>
          <w:p w14:paraId="6F5893B2"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rPr>
              <w:t>36.0</w:t>
            </w:r>
          </w:p>
        </w:tc>
        <w:tc>
          <w:tcPr>
            <w:tcW w:w="1123" w:type="dxa"/>
            <w:vAlign w:val="center"/>
          </w:tcPr>
          <w:p w14:paraId="342702A2"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rPr>
              <w:t>37.9</w:t>
            </w:r>
          </w:p>
        </w:tc>
        <w:tc>
          <w:tcPr>
            <w:tcW w:w="1187" w:type="dxa"/>
            <w:vAlign w:val="center"/>
          </w:tcPr>
          <w:p w14:paraId="579CDB24"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lang w:eastAsia="ja-JP"/>
              </w:rPr>
              <w:t>37.9</w:t>
            </w:r>
          </w:p>
        </w:tc>
      </w:tr>
      <w:tr w:rsidR="003244CE" w:rsidRPr="00A73A1E" w14:paraId="305669D9" w14:textId="77777777" w:rsidTr="0037156B">
        <w:trPr>
          <w:jc w:val="center"/>
        </w:trPr>
        <w:tc>
          <w:tcPr>
            <w:tcW w:w="2893" w:type="dxa"/>
          </w:tcPr>
          <w:p w14:paraId="22266A31" w14:textId="77777777" w:rsidR="003244CE" w:rsidRPr="00A73A1E" w:rsidRDefault="003244CE" w:rsidP="0037156B">
            <w:pPr>
              <w:pStyle w:val="Tabletext"/>
              <w:jc w:val="left"/>
            </w:pPr>
            <w:r w:rsidRPr="00A73A1E">
              <w:t>Transmitter antenna gain (dB)</w:t>
            </w:r>
          </w:p>
        </w:tc>
        <w:tc>
          <w:tcPr>
            <w:tcW w:w="958" w:type="dxa"/>
            <w:vAlign w:val="center"/>
          </w:tcPr>
          <w:p w14:paraId="36C4AA46"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rPr>
              <w:t>36.4</w:t>
            </w:r>
          </w:p>
        </w:tc>
        <w:tc>
          <w:tcPr>
            <w:tcW w:w="959" w:type="dxa"/>
            <w:vAlign w:val="center"/>
          </w:tcPr>
          <w:p w14:paraId="31C51C6B"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rPr>
              <w:t>33.0</w:t>
            </w:r>
          </w:p>
        </w:tc>
        <w:tc>
          <w:tcPr>
            <w:tcW w:w="1123" w:type="dxa"/>
            <w:vAlign w:val="center"/>
          </w:tcPr>
          <w:p w14:paraId="71DFF84E"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rPr>
              <w:t>33.4</w:t>
            </w:r>
          </w:p>
        </w:tc>
        <w:tc>
          <w:tcPr>
            <w:tcW w:w="1123" w:type="dxa"/>
            <w:vAlign w:val="center"/>
          </w:tcPr>
          <w:p w14:paraId="3845B475"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rPr>
              <w:t>34.7</w:t>
            </w:r>
          </w:p>
        </w:tc>
        <w:tc>
          <w:tcPr>
            <w:tcW w:w="1123" w:type="dxa"/>
            <w:vAlign w:val="center"/>
          </w:tcPr>
          <w:p w14:paraId="6528CA89"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rPr>
              <w:t>36.6</w:t>
            </w:r>
          </w:p>
        </w:tc>
        <w:tc>
          <w:tcPr>
            <w:tcW w:w="1187" w:type="dxa"/>
            <w:vAlign w:val="center"/>
          </w:tcPr>
          <w:p w14:paraId="68EEE865"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lang w:eastAsia="ja-JP"/>
              </w:rPr>
              <w:t>36.6</w:t>
            </w:r>
          </w:p>
        </w:tc>
      </w:tr>
      <w:tr w:rsidR="003244CE" w:rsidRPr="00A73A1E" w14:paraId="1D1C8897" w14:textId="77777777" w:rsidTr="0037156B">
        <w:trPr>
          <w:jc w:val="center"/>
        </w:trPr>
        <w:tc>
          <w:tcPr>
            <w:tcW w:w="2893" w:type="dxa"/>
          </w:tcPr>
          <w:p w14:paraId="7E2766AC" w14:textId="77777777" w:rsidR="003244CE" w:rsidRPr="00A73A1E" w:rsidRDefault="003244CE" w:rsidP="0037156B">
            <w:pPr>
              <w:pStyle w:val="Tabletext"/>
              <w:jc w:val="left"/>
            </w:pPr>
            <w:r w:rsidRPr="00A73A1E">
              <w:t>Distance (km)</w:t>
            </w:r>
          </w:p>
        </w:tc>
        <w:tc>
          <w:tcPr>
            <w:tcW w:w="958" w:type="dxa"/>
            <w:vAlign w:val="center"/>
          </w:tcPr>
          <w:p w14:paraId="489AC135"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rPr>
              <w:t>427.5</w:t>
            </w:r>
          </w:p>
        </w:tc>
        <w:tc>
          <w:tcPr>
            <w:tcW w:w="959" w:type="dxa"/>
            <w:vAlign w:val="center"/>
          </w:tcPr>
          <w:p w14:paraId="73F2D74E"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rPr>
              <w:t>710.8</w:t>
            </w:r>
          </w:p>
        </w:tc>
        <w:tc>
          <w:tcPr>
            <w:tcW w:w="1123" w:type="dxa"/>
            <w:vAlign w:val="center"/>
          </w:tcPr>
          <w:p w14:paraId="463ACF5C"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rPr>
              <w:t>898.5</w:t>
            </w:r>
          </w:p>
        </w:tc>
        <w:tc>
          <w:tcPr>
            <w:tcW w:w="1123" w:type="dxa"/>
            <w:vAlign w:val="center"/>
          </w:tcPr>
          <w:p w14:paraId="5931D85C" w14:textId="77777777" w:rsidR="003244CE" w:rsidRPr="00A73A1E" w:rsidRDefault="003244CE" w:rsidP="009C40C0">
            <w:pPr>
              <w:pStyle w:val="Tabletext"/>
              <w:jc w:val="center"/>
              <w:rPr>
                <w:rFonts w:asciiTheme="majorBidi" w:hAnsiTheme="majorBidi" w:cstheme="majorBidi"/>
                <w:lang w:eastAsia="ja-JP"/>
              </w:rPr>
            </w:pPr>
            <w:r w:rsidRPr="00A73A1E">
              <w:rPr>
                <w:rFonts w:asciiTheme="majorBidi" w:hAnsiTheme="majorBidi" w:cstheme="majorBidi"/>
                <w:color w:val="000000"/>
              </w:rPr>
              <w:t>63</w:t>
            </w:r>
            <w:r w:rsidRPr="00A73A1E">
              <w:rPr>
                <w:rFonts w:asciiTheme="majorBidi" w:hAnsiTheme="majorBidi" w:cstheme="majorBidi"/>
                <w:color w:val="000000"/>
                <w:lang w:eastAsia="ja-JP"/>
              </w:rPr>
              <w:t>7.8</w:t>
            </w:r>
          </w:p>
        </w:tc>
        <w:tc>
          <w:tcPr>
            <w:tcW w:w="1123" w:type="dxa"/>
            <w:vAlign w:val="center"/>
          </w:tcPr>
          <w:p w14:paraId="68461663"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lang w:eastAsia="ja-JP"/>
              </w:rPr>
              <w:t>636.65</w:t>
            </w:r>
          </w:p>
        </w:tc>
        <w:tc>
          <w:tcPr>
            <w:tcW w:w="1187" w:type="dxa"/>
            <w:vAlign w:val="center"/>
          </w:tcPr>
          <w:p w14:paraId="63D5D36A"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lang w:eastAsia="ja-JP"/>
              </w:rPr>
              <w:t>639.53</w:t>
            </w:r>
          </w:p>
        </w:tc>
      </w:tr>
      <w:tr w:rsidR="003244CE" w:rsidRPr="00A73A1E" w14:paraId="4E0378EB" w14:textId="77777777" w:rsidTr="0037156B">
        <w:trPr>
          <w:jc w:val="center"/>
        </w:trPr>
        <w:tc>
          <w:tcPr>
            <w:tcW w:w="2893" w:type="dxa"/>
          </w:tcPr>
          <w:p w14:paraId="6AB0BEBA" w14:textId="77777777" w:rsidR="003244CE" w:rsidRPr="00A73A1E" w:rsidRDefault="003244CE" w:rsidP="0037156B">
            <w:pPr>
              <w:pStyle w:val="Tabletext"/>
              <w:jc w:val="left"/>
            </w:pPr>
            <w:r w:rsidRPr="00A73A1E">
              <w:rPr>
                <w:lang w:eastAsia="ja-JP"/>
              </w:rPr>
              <w:t xml:space="preserve">Free </w:t>
            </w:r>
            <w:r w:rsidRPr="00A73A1E">
              <w:t>space loss (dB)</w:t>
            </w:r>
          </w:p>
        </w:tc>
        <w:tc>
          <w:tcPr>
            <w:tcW w:w="958" w:type="dxa"/>
            <w:vAlign w:val="center"/>
          </w:tcPr>
          <w:p w14:paraId="1991D66A"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rPr>
              <w:t>147.0</w:t>
            </w:r>
          </w:p>
        </w:tc>
        <w:tc>
          <w:tcPr>
            <w:tcW w:w="959" w:type="dxa"/>
            <w:vAlign w:val="center"/>
          </w:tcPr>
          <w:p w14:paraId="0ADB691E"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rPr>
              <w:t>151.5</w:t>
            </w:r>
          </w:p>
        </w:tc>
        <w:tc>
          <w:tcPr>
            <w:tcW w:w="1123" w:type="dxa"/>
            <w:vAlign w:val="center"/>
          </w:tcPr>
          <w:p w14:paraId="1E5C57C0"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rPr>
              <w:t>153.4</w:t>
            </w:r>
          </w:p>
        </w:tc>
        <w:tc>
          <w:tcPr>
            <w:tcW w:w="1123" w:type="dxa"/>
            <w:vAlign w:val="center"/>
          </w:tcPr>
          <w:p w14:paraId="579F2EE6" w14:textId="77777777" w:rsidR="003244CE" w:rsidRPr="00A73A1E" w:rsidRDefault="003244CE" w:rsidP="009C40C0">
            <w:pPr>
              <w:pStyle w:val="Tabletext"/>
              <w:jc w:val="center"/>
              <w:rPr>
                <w:rFonts w:asciiTheme="majorBidi" w:hAnsiTheme="majorBidi" w:cstheme="majorBidi"/>
                <w:lang w:eastAsia="ja-JP"/>
              </w:rPr>
            </w:pPr>
            <w:r w:rsidRPr="00A73A1E">
              <w:rPr>
                <w:rFonts w:asciiTheme="majorBidi" w:hAnsiTheme="majorBidi" w:cstheme="majorBidi"/>
                <w:color w:val="000000"/>
              </w:rPr>
              <w:t>150.</w:t>
            </w:r>
            <w:r w:rsidRPr="00A73A1E">
              <w:rPr>
                <w:rFonts w:asciiTheme="majorBidi" w:hAnsiTheme="majorBidi" w:cstheme="majorBidi"/>
                <w:color w:val="000000"/>
                <w:lang w:eastAsia="ja-JP"/>
              </w:rPr>
              <w:t>5</w:t>
            </w:r>
          </w:p>
        </w:tc>
        <w:tc>
          <w:tcPr>
            <w:tcW w:w="1123" w:type="dxa"/>
            <w:vAlign w:val="center"/>
          </w:tcPr>
          <w:p w14:paraId="10D718B5"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rPr>
              <w:t>150.</w:t>
            </w:r>
            <w:r w:rsidRPr="00A73A1E">
              <w:rPr>
                <w:rFonts w:asciiTheme="majorBidi" w:hAnsiTheme="majorBidi" w:cstheme="majorBidi"/>
                <w:color w:val="000000"/>
                <w:lang w:eastAsia="ja-JP"/>
              </w:rPr>
              <w:t>5</w:t>
            </w:r>
          </w:p>
        </w:tc>
        <w:tc>
          <w:tcPr>
            <w:tcW w:w="1187" w:type="dxa"/>
            <w:vAlign w:val="center"/>
          </w:tcPr>
          <w:p w14:paraId="26DB817E"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rPr>
              <w:t>150.</w:t>
            </w:r>
            <w:r w:rsidRPr="00A73A1E">
              <w:rPr>
                <w:rFonts w:asciiTheme="majorBidi" w:hAnsiTheme="majorBidi" w:cstheme="majorBidi"/>
                <w:color w:val="000000"/>
                <w:lang w:eastAsia="ja-JP"/>
              </w:rPr>
              <w:t>6</w:t>
            </w:r>
          </w:p>
        </w:tc>
      </w:tr>
      <w:tr w:rsidR="003244CE" w:rsidRPr="00A73A1E" w14:paraId="6E94DFDC" w14:textId="77777777" w:rsidTr="0037156B">
        <w:trPr>
          <w:jc w:val="center"/>
        </w:trPr>
        <w:tc>
          <w:tcPr>
            <w:tcW w:w="2893" w:type="dxa"/>
          </w:tcPr>
          <w:p w14:paraId="7642A769" w14:textId="77777777" w:rsidR="003244CE" w:rsidRPr="00A73A1E" w:rsidRDefault="003244CE" w:rsidP="0037156B">
            <w:pPr>
              <w:pStyle w:val="Tabletext"/>
              <w:jc w:val="left"/>
            </w:pPr>
            <w:r w:rsidRPr="00A73A1E">
              <w:t>Receive antenna gain (dB)</w:t>
            </w:r>
          </w:p>
        </w:tc>
        <w:tc>
          <w:tcPr>
            <w:tcW w:w="958" w:type="dxa"/>
            <w:vAlign w:val="center"/>
          </w:tcPr>
          <w:p w14:paraId="761D5164" w14:textId="77777777" w:rsidR="003244CE" w:rsidRPr="00A73A1E" w:rsidRDefault="003244CE" w:rsidP="009C40C0">
            <w:pPr>
              <w:pStyle w:val="Tabletext"/>
              <w:jc w:val="center"/>
              <w:rPr>
                <w:rFonts w:asciiTheme="majorBidi" w:eastAsia="Helvetica" w:hAnsiTheme="majorBidi" w:cstheme="majorBidi"/>
                <w:lang w:eastAsia="ja-JP"/>
              </w:rPr>
            </w:pPr>
            <w:r w:rsidRPr="00A73A1E">
              <w:rPr>
                <w:rFonts w:asciiTheme="majorBidi" w:eastAsia="Helvetica" w:hAnsiTheme="majorBidi" w:cstheme="majorBidi"/>
                <w:lang w:eastAsia="ja-JP"/>
              </w:rPr>
              <w:t>–</w:t>
            </w:r>
          </w:p>
        </w:tc>
        <w:tc>
          <w:tcPr>
            <w:tcW w:w="959" w:type="dxa"/>
            <w:vAlign w:val="center"/>
          </w:tcPr>
          <w:p w14:paraId="5DC8590B" w14:textId="77777777" w:rsidR="003244CE" w:rsidRPr="00A73A1E" w:rsidRDefault="003244CE" w:rsidP="009C40C0">
            <w:pPr>
              <w:pStyle w:val="Tabletext"/>
              <w:jc w:val="center"/>
              <w:rPr>
                <w:rFonts w:asciiTheme="majorBidi" w:hAnsiTheme="majorBidi" w:cstheme="majorBidi"/>
              </w:rPr>
            </w:pPr>
            <w:r w:rsidRPr="00A73A1E">
              <w:rPr>
                <w:rFonts w:asciiTheme="majorBidi" w:eastAsia="Helvetica" w:hAnsiTheme="majorBidi" w:cstheme="majorBidi"/>
                <w:lang w:eastAsia="ja-JP"/>
              </w:rPr>
              <w:t>–</w:t>
            </w:r>
          </w:p>
        </w:tc>
        <w:tc>
          <w:tcPr>
            <w:tcW w:w="1123" w:type="dxa"/>
            <w:vAlign w:val="center"/>
          </w:tcPr>
          <w:p w14:paraId="6A0CF49A" w14:textId="77777777" w:rsidR="003244CE" w:rsidRPr="00A73A1E" w:rsidRDefault="003244CE" w:rsidP="009C40C0">
            <w:pPr>
              <w:pStyle w:val="Tabletext"/>
              <w:jc w:val="center"/>
              <w:rPr>
                <w:rFonts w:asciiTheme="majorBidi" w:hAnsiTheme="majorBidi" w:cstheme="majorBidi"/>
              </w:rPr>
            </w:pPr>
            <w:r w:rsidRPr="00A73A1E">
              <w:rPr>
                <w:rFonts w:asciiTheme="majorBidi" w:eastAsia="Helvetica" w:hAnsiTheme="majorBidi" w:cstheme="majorBidi"/>
                <w:lang w:eastAsia="ja-JP"/>
              </w:rPr>
              <w:t>–</w:t>
            </w:r>
          </w:p>
        </w:tc>
        <w:tc>
          <w:tcPr>
            <w:tcW w:w="1123" w:type="dxa"/>
            <w:vAlign w:val="center"/>
          </w:tcPr>
          <w:p w14:paraId="0E10B095" w14:textId="77777777" w:rsidR="003244CE" w:rsidRPr="00A73A1E" w:rsidRDefault="003244CE" w:rsidP="009C40C0">
            <w:pPr>
              <w:pStyle w:val="Tabletext"/>
              <w:jc w:val="center"/>
              <w:rPr>
                <w:rFonts w:asciiTheme="majorBidi" w:hAnsiTheme="majorBidi" w:cstheme="majorBidi"/>
              </w:rPr>
            </w:pPr>
            <w:r w:rsidRPr="00A73A1E">
              <w:rPr>
                <w:rFonts w:asciiTheme="majorBidi" w:eastAsia="Helvetica" w:hAnsiTheme="majorBidi" w:cstheme="majorBidi"/>
                <w:lang w:eastAsia="ja-JP"/>
              </w:rPr>
              <w:t>–</w:t>
            </w:r>
          </w:p>
        </w:tc>
        <w:tc>
          <w:tcPr>
            <w:tcW w:w="1123" w:type="dxa"/>
            <w:vAlign w:val="center"/>
          </w:tcPr>
          <w:p w14:paraId="3153088A" w14:textId="77777777" w:rsidR="003244CE" w:rsidRPr="00A73A1E" w:rsidRDefault="003244CE" w:rsidP="009C40C0">
            <w:pPr>
              <w:pStyle w:val="Tabletext"/>
              <w:jc w:val="center"/>
              <w:rPr>
                <w:rFonts w:asciiTheme="majorBidi" w:hAnsiTheme="majorBidi" w:cstheme="majorBidi"/>
              </w:rPr>
            </w:pPr>
            <w:r w:rsidRPr="00A73A1E">
              <w:rPr>
                <w:rFonts w:asciiTheme="majorBidi" w:eastAsia="Helvetica" w:hAnsiTheme="majorBidi" w:cstheme="majorBidi"/>
                <w:lang w:eastAsia="ja-JP"/>
              </w:rPr>
              <w:t>–</w:t>
            </w:r>
          </w:p>
        </w:tc>
        <w:tc>
          <w:tcPr>
            <w:tcW w:w="1187" w:type="dxa"/>
            <w:vAlign w:val="center"/>
          </w:tcPr>
          <w:p w14:paraId="597B69C0" w14:textId="77777777" w:rsidR="003244CE" w:rsidRPr="00A73A1E" w:rsidRDefault="003244CE" w:rsidP="009C40C0">
            <w:pPr>
              <w:pStyle w:val="Tabletext"/>
              <w:jc w:val="center"/>
              <w:rPr>
                <w:rFonts w:asciiTheme="majorBidi" w:hAnsiTheme="majorBidi" w:cstheme="majorBidi"/>
              </w:rPr>
            </w:pPr>
            <w:r w:rsidRPr="00A73A1E">
              <w:rPr>
                <w:rFonts w:asciiTheme="majorBidi" w:eastAsia="Helvetica" w:hAnsiTheme="majorBidi" w:cstheme="majorBidi"/>
                <w:lang w:eastAsia="ja-JP"/>
              </w:rPr>
              <w:t>–</w:t>
            </w:r>
          </w:p>
        </w:tc>
      </w:tr>
      <w:tr w:rsidR="003244CE" w:rsidRPr="00A73A1E" w14:paraId="3B3BEDFB" w14:textId="77777777" w:rsidTr="0037156B">
        <w:trPr>
          <w:jc w:val="center"/>
        </w:trPr>
        <w:tc>
          <w:tcPr>
            <w:tcW w:w="2893" w:type="dxa"/>
          </w:tcPr>
          <w:p w14:paraId="605CF773" w14:textId="4D2F3851" w:rsidR="003244CE" w:rsidRPr="00A73A1E" w:rsidRDefault="003244CE" w:rsidP="0037156B">
            <w:pPr>
              <w:pStyle w:val="Tabletext"/>
              <w:jc w:val="left"/>
            </w:pPr>
            <w:r w:rsidRPr="00A73A1E">
              <w:t>Polarization mismatch loss (dB</w:t>
            </w:r>
            <w:proofErr w:type="gramStart"/>
            <w:r w:rsidRPr="00A73A1E">
              <w:t>)</w:t>
            </w:r>
            <w:r w:rsidRPr="000D5837">
              <w:rPr>
                <w:vertAlign w:val="superscript"/>
              </w:rPr>
              <w:t>(</w:t>
            </w:r>
            <w:proofErr w:type="gramEnd"/>
            <w:r w:rsidRPr="000D5837">
              <w:rPr>
                <w:vertAlign w:val="superscript"/>
              </w:rPr>
              <w:t>1)</w:t>
            </w:r>
            <w:r w:rsidRPr="00A73A1E">
              <w:t xml:space="preserve"> </w:t>
            </w:r>
          </w:p>
        </w:tc>
        <w:tc>
          <w:tcPr>
            <w:tcW w:w="958" w:type="dxa"/>
            <w:vAlign w:val="center"/>
          </w:tcPr>
          <w:p w14:paraId="698DF2C8"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lang w:eastAsia="ja-JP"/>
              </w:rPr>
              <w:t>1.46</w:t>
            </w:r>
          </w:p>
        </w:tc>
        <w:tc>
          <w:tcPr>
            <w:tcW w:w="959" w:type="dxa"/>
            <w:vAlign w:val="center"/>
          </w:tcPr>
          <w:p w14:paraId="05A7D41A"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lang w:eastAsia="ja-JP"/>
              </w:rPr>
              <w:t>1.46</w:t>
            </w:r>
          </w:p>
        </w:tc>
        <w:tc>
          <w:tcPr>
            <w:tcW w:w="1123" w:type="dxa"/>
            <w:vAlign w:val="center"/>
          </w:tcPr>
          <w:p w14:paraId="12809D13"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lang w:eastAsia="ja-JP"/>
              </w:rPr>
              <w:t>1.46</w:t>
            </w:r>
          </w:p>
        </w:tc>
        <w:tc>
          <w:tcPr>
            <w:tcW w:w="1123" w:type="dxa"/>
            <w:vAlign w:val="center"/>
          </w:tcPr>
          <w:p w14:paraId="6B169B25"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lang w:eastAsia="ja-JP"/>
              </w:rPr>
              <w:t>1.46</w:t>
            </w:r>
          </w:p>
        </w:tc>
        <w:tc>
          <w:tcPr>
            <w:tcW w:w="1123" w:type="dxa"/>
            <w:vAlign w:val="center"/>
          </w:tcPr>
          <w:p w14:paraId="5D4AD1F3"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lang w:eastAsia="ja-JP"/>
              </w:rPr>
              <w:t>1.46</w:t>
            </w:r>
          </w:p>
        </w:tc>
        <w:tc>
          <w:tcPr>
            <w:tcW w:w="1187" w:type="dxa"/>
            <w:vAlign w:val="center"/>
          </w:tcPr>
          <w:p w14:paraId="1A654CB1" w14:textId="77777777" w:rsidR="003244CE" w:rsidRPr="00A73A1E" w:rsidRDefault="003244CE" w:rsidP="009C40C0">
            <w:pPr>
              <w:pStyle w:val="Tabletext"/>
              <w:jc w:val="center"/>
              <w:rPr>
                <w:rFonts w:asciiTheme="majorBidi" w:hAnsiTheme="majorBidi" w:cstheme="majorBidi"/>
              </w:rPr>
            </w:pPr>
            <w:r w:rsidRPr="00A73A1E">
              <w:rPr>
                <w:rFonts w:asciiTheme="majorBidi" w:hAnsiTheme="majorBidi" w:cstheme="majorBidi"/>
                <w:color w:val="000000"/>
              </w:rPr>
              <w:t>0.0</w:t>
            </w:r>
            <w:r w:rsidRPr="000D5837">
              <w:rPr>
                <w:vertAlign w:val="superscript"/>
              </w:rPr>
              <w:t>(</w:t>
            </w:r>
            <w:r>
              <w:rPr>
                <w:vertAlign w:val="superscript"/>
              </w:rPr>
              <w:t>2</w:t>
            </w:r>
            <w:r w:rsidRPr="000D5837">
              <w:rPr>
                <w:vertAlign w:val="superscript"/>
              </w:rPr>
              <w:t>)</w:t>
            </w:r>
          </w:p>
        </w:tc>
      </w:tr>
      <w:tr w:rsidR="003244CE" w:rsidRPr="00A73A1E" w14:paraId="5A09AFAF" w14:textId="77777777" w:rsidTr="0037156B">
        <w:trPr>
          <w:jc w:val="center"/>
        </w:trPr>
        <w:tc>
          <w:tcPr>
            <w:tcW w:w="2893" w:type="dxa"/>
          </w:tcPr>
          <w:p w14:paraId="05257B32" w14:textId="77777777" w:rsidR="003244CE" w:rsidRPr="00A73A1E" w:rsidRDefault="003244CE" w:rsidP="0037156B">
            <w:pPr>
              <w:pStyle w:val="Tabletext"/>
              <w:jc w:val="left"/>
            </w:pPr>
            <w:r w:rsidRPr="00A73A1E">
              <w:t>Max. received RFI power (peak) (</w:t>
            </w:r>
            <w:proofErr w:type="spellStart"/>
            <w:r w:rsidRPr="00A73A1E">
              <w:t>dBW</w:t>
            </w:r>
            <w:proofErr w:type="spellEnd"/>
            <w:r w:rsidRPr="00A73A1E">
              <w:t>)</w:t>
            </w:r>
          </w:p>
        </w:tc>
        <w:tc>
          <w:tcPr>
            <w:tcW w:w="958" w:type="dxa"/>
            <w:vAlign w:val="center"/>
          </w:tcPr>
          <w:p w14:paraId="09F3EBCF" w14:textId="77777777" w:rsidR="003244CE" w:rsidRPr="00A73A1E" w:rsidRDefault="003244CE" w:rsidP="009C40C0">
            <w:pPr>
              <w:pStyle w:val="Tabletext"/>
              <w:jc w:val="center"/>
              <w:rPr>
                <w:rFonts w:asciiTheme="majorBidi" w:hAnsiTheme="majorBidi" w:cstheme="majorBidi"/>
              </w:rPr>
            </w:pPr>
            <w:r w:rsidRPr="00A73A1E">
              <w:rPr>
                <w:rFonts w:asciiTheme="majorBidi" w:eastAsia="Helvetica" w:hAnsiTheme="majorBidi" w:cstheme="majorBidi"/>
                <w:lang w:eastAsia="ja-JP"/>
              </w:rPr>
              <w:t>–</w:t>
            </w:r>
          </w:p>
        </w:tc>
        <w:tc>
          <w:tcPr>
            <w:tcW w:w="959" w:type="dxa"/>
            <w:vAlign w:val="center"/>
          </w:tcPr>
          <w:p w14:paraId="6DAA11FA" w14:textId="77777777" w:rsidR="003244CE" w:rsidRPr="00A73A1E" w:rsidRDefault="003244CE" w:rsidP="009C40C0">
            <w:pPr>
              <w:pStyle w:val="Tabletext"/>
              <w:jc w:val="center"/>
              <w:rPr>
                <w:rFonts w:asciiTheme="majorBidi" w:hAnsiTheme="majorBidi" w:cstheme="majorBidi"/>
              </w:rPr>
            </w:pPr>
            <w:r w:rsidRPr="00A73A1E">
              <w:rPr>
                <w:rFonts w:asciiTheme="majorBidi" w:eastAsia="Helvetica" w:hAnsiTheme="majorBidi" w:cstheme="majorBidi"/>
                <w:lang w:eastAsia="ja-JP"/>
              </w:rPr>
              <w:t>–</w:t>
            </w:r>
          </w:p>
        </w:tc>
        <w:tc>
          <w:tcPr>
            <w:tcW w:w="1123" w:type="dxa"/>
            <w:vAlign w:val="center"/>
          </w:tcPr>
          <w:p w14:paraId="3080A359" w14:textId="77777777" w:rsidR="003244CE" w:rsidRPr="00A73A1E" w:rsidRDefault="003244CE" w:rsidP="009C40C0">
            <w:pPr>
              <w:pStyle w:val="Tabletext"/>
              <w:jc w:val="center"/>
              <w:rPr>
                <w:rFonts w:asciiTheme="majorBidi" w:hAnsiTheme="majorBidi" w:cstheme="majorBidi"/>
              </w:rPr>
            </w:pPr>
            <w:r w:rsidRPr="00A73A1E">
              <w:rPr>
                <w:rFonts w:asciiTheme="majorBidi" w:eastAsia="Helvetica" w:hAnsiTheme="majorBidi" w:cstheme="majorBidi"/>
                <w:lang w:eastAsia="ja-JP"/>
              </w:rPr>
              <w:t>–</w:t>
            </w:r>
          </w:p>
        </w:tc>
        <w:tc>
          <w:tcPr>
            <w:tcW w:w="1123" w:type="dxa"/>
            <w:vAlign w:val="center"/>
          </w:tcPr>
          <w:p w14:paraId="52076D2A" w14:textId="77777777" w:rsidR="003244CE" w:rsidRPr="00A73A1E" w:rsidRDefault="003244CE" w:rsidP="009C40C0">
            <w:pPr>
              <w:pStyle w:val="Tabletext"/>
              <w:jc w:val="center"/>
              <w:rPr>
                <w:rFonts w:asciiTheme="majorBidi" w:hAnsiTheme="majorBidi" w:cstheme="majorBidi"/>
              </w:rPr>
            </w:pPr>
            <w:r w:rsidRPr="00A73A1E">
              <w:rPr>
                <w:rFonts w:asciiTheme="majorBidi" w:eastAsia="Helvetica" w:hAnsiTheme="majorBidi" w:cstheme="majorBidi"/>
                <w:lang w:eastAsia="ja-JP"/>
              </w:rPr>
              <w:t>–</w:t>
            </w:r>
          </w:p>
        </w:tc>
        <w:tc>
          <w:tcPr>
            <w:tcW w:w="1123" w:type="dxa"/>
            <w:vAlign w:val="center"/>
          </w:tcPr>
          <w:p w14:paraId="01F3CA50" w14:textId="77777777" w:rsidR="003244CE" w:rsidRPr="00A73A1E" w:rsidRDefault="003244CE" w:rsidP="009C40C0">
            <w:pPr>
              <w:pStyle w:val="Tabletext"/>
              <w:jc w:val="center"/>
              <w:rPr>
                <w:rFonts w:asciiTheme="majorBidi" w:hAnsiTheme="majorBidi" w:cstheme="majorBidi"/>
              </w:rPr>
            </w:pPr>
            <w:r w:rsidRPr="00A73A1E">
              <w:rPr>
                <w:rFonts w:asciiTheme="majorBidi" w:eastAsia="Helvetica" w:hAnsiTheme="majorBidi" w:cstheme="majorBidi"/>
                <w:lang w:eastAsia="ja-JP"/>
              </w:rPr>
              <w:t>–</w:t>
            </w:r>
          </w:p>
        </w:tc>
        <w:tc>
          <w:tcPr>
            <w:tcW w:w="1187" w:type="dxa"/>
            <w:vAlign w:val="center"/>
          </w:tcPr>
          <w:p w14:paraId="00A521AE" w14:textId="77777777" w:rsidR="003244CE" w:rsidRPr="00A73A1E" w:rsidRDefault="003244CE" w:rsidP="009C40C0">
            <w:pPr>
              <w:pStyle w:val="Tabletext"/>
              <w:jc w:val="center"/>
              <w:rPr>
                <w:rFonts w:asciiTheme="majorBidi" w:hAnsiTheme="majorBidi" w:cstheme="majorBidi"/>
              </w:rPr>
            </w:pPr>
            <w:r w:rsidRPr="00A73A1E">
              <w:rPr>
                <w:rFonts w:asciiTheme="majorBidi" w:eastAsia="Helvetica" w:hAnsiTheme="majorBidi" w:cstheme="majorBidi"/>
                <w:lang w:eastAsia="ja-JP"/>
              </w:rPr>
              <w:t>–</w:t>
            </w:r>
          </w:p>
        </w:tc>
      </w:tr>
      <w:tr w:rsidR="003244CE" w:rsidRPr="00A73A1E" w14:paraId="7B385303" w14:textId="77777777" w:rsidTr="0037156B">
        <w:trPr>
          <w:jc w:val="center"/>
        </w:trPr>
        <w:tc>
          <w:tcPr>
            <w:tcW w:w="2893" w:type="dxa"/>
          </w:tcPr>
          <w:p w14:paraId="40A5A223" w14:textId="77777777" w:rsidR="003244CE" w:rsidRPr="00A73A1E" w:rsidRDefault="003244CE" w:rsidP="0037156B">
            <w:pPr>
              <w:pStyle w:val="Tabletext"/>
              <w:jc w:val="left"/>
            </w:pPr>
            <w:r w:rsidRPr="00A73A1E">
              <w:t xml:space="preserve">Receiver input saturation </w:t>
            </w:r>
            <w:r w:rsidRPr="00A73A1E">
              <w:rPr>
                <w:lang w:eastAsia="ja-JP"/>
              </w:rPr>
              <w:t>point</w:t>
            </w:r>
            <w:r w:rsidRPr="00A73A1E">
              <w:t xml:space="preserve"> (</w:t>
            </w:r>
            <w:proofErr w:type="spellStart"/>
            <w:r w:rsidRPr="00A73A1E">
              <w:t>dBW</w:t>
            </w:r>
            <w:proofErr w:type="spellEnd"/>
            <w:r w:rsidRPr="00A73A1E">
              <w:t>)</w:t>
            </w:r>
          </w:p>
        </w:tc>
        <w:tc>
          <w:tcPr>
            <w:tcW w:w="958" w:type="dxa"/>
            <w:vAlign w:val="center"/>
          </w:tcPr>
          <w:p w14:paraId="2D49F015" w14:textId="77777777" w:rsidR="003244CE" w:rsidRPr="00A73A1E" w:rsidRDefault="003244CE" w:rsidP="009C40C0">
            <w:pPr>
              <w:pStyle w:val="Tabletext"/>
              <w:jc w:val="center"/>
              <w:rPr>
                <w:rFonts w:asciiTheme="majorBidi" w:hAnsiTheme="majorBidi" w:cstheme="majorBidi"/>
              </w:rPr>
            </w:pPr>
            <w:r w:rsidRPr="00A73A1E">
              <w:rPr>
                <w:rFonts w:asciiTheme="majorBidi" w:eastAsia="Helvetica" w:hAnsiTheme="majorBidi" w:cstheme="majorBidi"/>
                <w:lang w:eastAsia="ja-JP"/>
              </w:rPr>
              <w:t>–</w:t>
            </w:r>
          </w:p>
        </w:tc>
        <w:tc>
          <w:tcPr>
            <w:tcW w:w="959" w:type="dxa"/>
            <w:vAlign w:val="center"/>
          </w:tcPr>
          <w:p w14:paraId="088C2787" w14:textId="77777777" w:rsidR="003244CE" w:rsidRPr="00A73A1E" w:rsidRDefault="003244CE" w:rsidP="009C40C0">
            <w:pPr>
              <w:pStyle w:val="Tabletext"/>
              <w:jc w:val="center"/>
              <w:rPr>
                <w:rFonts w:asciiTheme="majorBidi" w:hAnsiTheme="majorBidi" w:cstheme="majorBidi"/>
              </w:rPr>
            </w:pPr>
            <w:r w:rsidRPr="00A73A1E">
              <w:rPr>
                <w:rFonts w:asciiTheme="majorBidi" w:eastAsia="Helvetica" w:hAnsiTheme="majorBidi" w:cstheme="majorBidi"/>
                <w:lang w:eastAsia="ja-JP"/>
              </w:rPr>
              <w:t>–</w:t>
            </w:r>
          </w:p>
        </w:tc>
        <w:tc>
          <w:tcPr>
            <w:tcW w:w="1123" w:type="dxa"/>
            <w:vAlign w:val="center"/>
          </w:tcPr>
          <w:p w14:paraId="03D52DFA" w14:textId="77777777" w:rsidR="003244CE" w:rsidRPr="00A73A1E" w:rsidRDefault="003244CE" w:rsidP="009C40C0">
            <w:pPr>
              <w:pStyle w:val="Tabletext"/>
              <w:jc w:val="center"/>
              <w:rPr>
                <w:rFonts w:asciiTheme="majorBidi" w:hAnsiTheme="majorBidi" w:cstheme="majorBidi"/>
              </w:rPr>
            </w:pPr>
            <w:r w:rsidRPr="00A73A1E">
              <w:rPr>
                <w:rFonts w:asciiTheme="majorBidi" w:eastAsia="Helvetica" w:hAnsiTheme="majorBidi" w:cstheme="majorBidi"/>
                <w:lang w:eastAsia="ja-JP"/>
              </w:rPr>
              <w:t>–</w:t>
            </w:r>
          </w:p>
        </w:tc>
        <w:tc>
          <w:tcPr>
            <w:tcW w:w="1123" w:type="dxa"/>
            <w:vAlign w:val="center"/>
          </w:tcPr>
          <w:p w14:paraId="245191AF" w14:textId="77777777" w:rsidR="003244CE" w:rsidRPr="00A73A1E" w:rsidRDefault="003244CE" w:rsidP="009C40C0">
            <w:pPr>
              <w:pStyle w:val="Tabletext"/>
              <w:jc w:val="center"/>
              <w:rPr>
                <w:rFonts w:asciiTheme="majorBidi" w:hAnsiTheme="majorBidi" w:cstheme="majorBidi"/>
              </w:rPr>
            </w:pPr>
            <w:r w:rsidRPr="00A73A1E">
              <w:rPr>
                <w:rFonts w:asciiTheme="majorBidi" w:eastAsia="Helvetica" w:hAnsiTheme="majorBidi" w:cstheme="majorBidi"/>
                <w:lang w:eastAsia="ja-JP"/>
              </w:rPr>
              <w:t>–</w:t>
            </w:r>
          </w:p>
        </w:tc>
        <w:tc>
          <w:tcPr>
            <w:tcW w:w="1123" w:type="dxa"/>
            <w:vAlign w:val="center"/>
          </w:tcPr>
          <w:p w14:paraId="684EB373" w14:textId="77777777" w:rsidR="003244CE" w:rsidRPr="00A73A1E" w:rsidRDefault="003244CE" w:rsidP="009C40C0">
            <w:pPr>
              <w:pStyle w:val="Tabletext"/>
              <w:jc w:val="center"/>
              <w:rPr>
                <w:rFonts w:asciiTheme="majorBidi" w:hAnsiTheme="majorBidi" w:cstheme="majorBidi"/>
              </w:rPr>
            </w:pPr>
            <w:r w:rsidRPr="00A73A1E">
              <w:rPr>
                <w:rFonts w:asciiTheme="majorBidi" w:eastAsia="Helvetica" w:hAnsiTheme="majorBidi" w:cstheme="majorBidi"/>
                <w:lang w:eastAsia="ja-JP"/>
              </w:rPr>
              <w:t>–</w:t>
            </w:r>
          </w:p>
        </w:tc>
        <w:tc>
          <w:tcPr>
            <w:tcW w:w="1187" w:type="dxa"/>
            <w:vAlign w:val="center"/>
          </w:tcPr>
          <w:p w14:paraId="2E472A8E" w14:textId="77777777" w:rsidR="003244CE" w:rsidRPr="00A73A1E" w:rsidRDefault="003244CE" w:rsidP="009C40C0">
            <w:pPr>
              <w:pStyle w:val="Tabletext"/>
              <w:jc w:val="center"/>
              <w:rPr>
                <w:rFonts w:asciiTheme="majorBidi" w:hAnsiTheme="majorBidi" w:cstheme="majorBidi"/>
              </w:rPr>
            </w:pPr>
            <w:r w:rsidRPr="00A73A1E">
              <w:rPr>
                <w:rFonts w:asciiTheme="majorBidi" w:eastAsia="Helvetica" w:hAnsiTheme="majorBidi" w:cstheme="majorBidi"/>
                <w:lang w:eastAsia="ja-JP"/>
              </w:rPr>
              <w:t>–</w:t>
            </w:r>
          </w:p>
        </w:tc>
      </w:tr>
      <w:tr w:rsidR="003244CE" w:rsidRPr="00A73A1E" w14:paraId="67E66E67" w14:textId="77777777" w:rsidTr="0037156B">
        <w:trPr>
          <w:jc w:val="center"/>
        </w:trPr>
        <w:tc>
          <w:tcPr>
            <w:tcW w:w="2893" w:type="dxa"/>
            <w:tcBorders>
              <w:bottom w:val="single" w:sz="4" w:space="0" w:color="auto"/>
            </w:tcBorders>
          </w:tcPr>
          <w:p w14:paraId="3AD59A98" w14:textId="77777777" w:rsidR="003244CE" w:rsidRPr="00A73A1E" w:rsidRDefault="003244CE" w:rsidP="0037156B">
            <w:pPr>
              <w:pStyle w:val="Tabletext"/>
              <w:jc w:val="left"/>
              <w:rPr>
                <w:lang w:eastAsia="ja-JP"/>
              </w:rPr>
            </w:pPr>
            <w:r w:rsidRPr="00A73A1E">
              <w:rPr>
                <w:lang w:eastAsia="ja-JP"/>
              </w:rPr>
              <w:t>Receiver input survival level (</w:t>
            </w:r>
            <w:proofErr w:type="spellStart"/>
            <w:r w:rsidRPr="00A73A1E">
              <w:rPr>
                <w:lang w:eastAsia="ja-JP"/>
              </w:rPr>
              <w:t>dBW</w:t>
            </w:r>
            <w:proofErr w:type="spellEnd"/>
            <w:r w:rsidRPr="00A73A1E">
              <w:rPr>
                <w:lang w:eastAsia="ja-JP"/>
              </w:rPr>
              <w:t>)</w:t>
            </w:r>
          </w:p>
        </w:tc>
        <w:tc>
          <w:tcPr>
            <w:tcW w:w="958" w:type="dxa"/>
            <w:tcBorders>
              <w:bottom w:val="single" w:sz="4" w:space="0" w:color="auto"/>
            </w:tcBorders>
            <w:vAlign w:val="center"/>
          </w:tcPr>
          <w:p w14:paraId="2F98807A" w14:textId="77777777" w:rsidR="003244CE" w:rsidRPr="00A73A1E" w:rsidRDefault="003244CE" w:rsidP="009C40C0">
            <w:pPr>
              <w:pStyle w:val="Tabletext"/>
              <w:jc w:val="center"/>
              <w:rPr>
                <w:rFonts w:asciiTheme="majorBidi" w:hAnsiTheme="majorBidi" w:cstheme="majorBidi"/>
                <w:lang w:eastAsia="ja-JP"/>
              </w:rPr>
            </w:pPr>
          </w:p>
        </w:tc>
        <w:tc>
          <w:tcPr>
            <w:tcW w:w="959" w:type="dxa"/>
            <w:tcBorders>
              <w:bottom w:val="single" w:sz="4" w:space="0" w:color="auto"/>
            </w:tcBorders>
            <w:vAlign w:val="center"/>
          </w:tcPr>
          <w:p w14:paraId="08859833" w14:textId="77777777" w:rsidR="003244CE" w:rsidRPr="00A73A1E" w:rsidRDefault="003244CE" w:rsidP="009C40C0">
            <w:pPr>
              <w:pStyle w:val="Tabletext"/>
              <w:jc w:val="center"/>
              <w:rPr>
                <w:rFonts w:asciiTheme="majorBidi" w:hAnsiTheme="majorBidi" w:cstheme="majorBidi"/>
                <w:lang w:eastAsia="ja-JP"/>
              </w:rPr>
            </w:pPr>
          </w:p>
        </w:tc>
        <w:tc>
          <w:tcPr>
            <w:tcW w:w="1123" w:type="dxa"/>
            <w:tcBorders>
              <w:bottom w:val="single" w:sz="4" w:space="0" w:color="auto"/>
            </w:tcBorders>
            <w:vAlign w:val="center"/>
          </w:tcPr>
          <w:p w14:paraId="082C81C5" w14:textId="77777777" w:rsidR="003244CE" w:rsidRPr="00A73A1E" w:rsidRDefault="003244CE" w:rsidP="009C40C0">
            <w:pPr>
              <w:pStyle w:val="Tabletext"/>
              <w:jc w:val="center"/>
              <w:rPr>
                <w:rFonts w:asciiTheme="majorBidi" w:hAnsiTheme="majorBidi" w:cstheme="majorBidi"/>
                <w:lang w:eastAsia="ja-JP"/>
              </w:rPr>
            </w:pPr>
          </w:p>
        </w:tc>
        <w:tc>
          <w:tcPr>
            <w:tcW w:w="1123" w:type="dxa"/>
            <w:tcBorders>
              <w:bottom w:val="single" w:sz="4" w:space="0" w:color="auto"/>
            </w:tcBorders>
            <w:vAlign w:val="center"/>
          </w:tcPr>
          <w:p w14:paraId="2E7B209C" w14:textId="77777777" w:rsidR="003244CE" w:rsidRPr="00A73A1E" w:rsidRDefault="003244CE" w:rsidP="009C40C0">
            <w:pPr>
              <w:pStyle w:val="Tabletext"/>
              <w:jc w:val="center"/>
              <w:rPr>
                <w:rFonts w:asciiTheme="majorBidi" w:hAnsiTheme="majorBidi" w:cstheme="majorBidi"/>
                <w:lang w:eastAsia="ja-JP"/>
              </w:rPr>
            </w:pPr>
          </w:p>
        </w:tc>
        <w:tc>
          <w:tcPr>
            <w:tcW w:w="1123" w:type="dxa"/>
            <w:tcBorders>
              <w:bottom w:val="single" w:sz="4" w:space="0" w:color="auto"/>
            </w:tcBorders>
            <w:vAlign w:val="center"/>
          </w:tcPr>
          <w:p w14:paraId="449EC36F" w14:textId="77777777" w:rsidR="003244CE" w:rsidRPr="00A73A1E" w:rsidRDefault="003244CE" w:rsidP="009C40C0">
            <w:pPr>
              <w:pStyle w:val="Tabletext"/>
              <w:jc w:val="center"/>
              <w:rPr>
                <w:rFonts w:asciiTheme="majorBidi" w:hAnsiTheme="majorBidi" w:cstheme="majorBidi"/>
                <w:lang w:eastAsia="ja-JP"/>
              </w:rPr>
            </w:pPr>
          </w:p>
        </w:tc>
        <w:tc>
          <w:tcPr>
            <w:tcW w:w="1187" w:type="dxa"/>
            <w:tcBorders>
              <w:bottom w:val="single" w:sz="4" w:space="0" w:color="auto"/>
            </w:tcBorders>
            <w:vAlign w:val="center"/>
          </w:tcPr>
          <w:p w14:paraId="19BC4D19" w14:textId="77777777" w:rsidR="003244CE" w:rsidRPr="00A73A1E" w:rsidRDefault="003244CE" w:rsidP="009C40C0">
            <w:pPr>
              <w:pStyle w:val="Tabletext"/>
              <w:jc w:val="center"/>
              <w:rPr>
                <w:rFonts w:asciiTheme="majorBidi" w:hAnsiTheme="majorBidi" w:cstheme="majorBidi"/>
                <w:lang w:eastAsia="ja-JP"/>
              </w:rPr>
            </w:pPr>
          </w:p>
        </w:tc>
      </w:tr>
      <w:tr w:rsidR="003244CE" w:rsidRPr="00A73A1E" w14:paraId="39E5F519" w14:textId="77777777" w:rsidTr="0037156B">
        <w:trPr>
          <w:jc w:val="center"/>
        </w:trPr>
        <w:tc>
          <w:tcPr>
            <w:tcW w:w="9366" w:type="dxa"/>
            <w:gridSpan w:val="7"/>
            <w:tcBorders>
              <w:top w:val="single" w:sz="4" w:space="0" w:color="auto"/>
              <w:left w:val="nil"/>
              <w:bottom w:val="nil"/>
              <w:right w:val="nil"/>
            </w:tcBorders>
          </w:tcPr>
          <w:p w14:paraId="0E2659B6" w14:textId="05A516E1" w:rsidR="003244CE" w:rsidRPr="00A73A1E" w:rsidRDefault="003244CE" w:rsidP="009C40C0">
            <w:pPr>
              <w:pStyle w:val="Tablelegend"/>
              <w:rPr>
                <w:lang w:eastAsia="ja-JP"/>
              </w:rPr>
            </w:pPr>
            <w:r w:rsidRPr="000D5837">
              <w:rPr>
                <w:vertAlign w:val="superscript"/>
              </w:rPr>
              <w:t>(1)</w:t>
            </w:r>
            <w:r w:rsidRPr="00A73A1E">
              <w:rPr>
                <w:lang w:eastAsia="ja-JP"/>
              </w:rPr>
              <w:tab/>
              <w:t>Polarization mismatch loss is defined in section 2.</w:t>
            </w:r>
            <w:r w:rsidR="007E359E">
              <w:rPr>
                <w:lang w:eastAsia="ja-JP"/>
              </w:rPr>
              <w:t>2</w:t>
            </w:r>
            <w:r w:rsidRPr="00A73A1E">
              <w:rPr>
                <w:lang w:eastAsia="ja-JP"/>
              </w:rPr>
              <w:t xml:space="preserve">.3 of Appendix </w:t>
            </w:r>
            <w:r w:rsidRPr="00A73A1E">
              <w:rPr>
                <w:b/>
                <w:bCs/>
                <w:lang w:eastAsia="ja-JP"/>
              </w:rPr>
              <w:t>8 (Rev.WRC-03)</w:t>
            </w:r>
            <w:r w:rsidRPr="00A73A1E">
              <w:rPr>
                <w:lang w:eastAsia="ja-JP"/>
              </w:rPr>
              <w:t xml:space="preserve"> of the Radio Regulations</w:t>
            </w:r>
            <w:r w:rsidR="007E359E">
              <w:rPr>
                <w:lang w:eastAsia="ja-JP"/>
              </w:rPr>
              <w:t xml:space="preserve"> (Edition 2004)</w:t>
            </w:r>
            <w:r w:rsidRPr="00A73A1E">
              <w:rPr>
                <w:lang w:eastAsia="ja-JP"/>
              </w:rPr>
              <w:t>.</w:t>
            </w:r>
          </w:p>
          <w:p w14:paraId="704C4AFE" w14:textId="77777777" w:rsidR="003244CE" w:rsidRPr="00A73A1E" w:rsidRDefault="003244CE" w:rsidP="002C7DA3">
            <w:pPr>
              <w:pStyle w:val="Tablelegend"/>
              <w:rPr>
                <w:lang w:eastAsia="ja-JP"/>
              </w:rPr>
            </w:pPr>
            <w:r w:rsidRPr="000D5837">
              <w:rPr>
                <w:vertAlign w:val="superscript"/>
              </w:rPr>
              <w:t>(</w:t>
            </w:r>
            <w:r>
              <w:rPr>
                <w:vertAlign w:val="superscript"/>
              </w:rPr>
              <w:t>2</w:t>
            </w:r>
            <w:r w:rsidRPr="000D5837">
              <w:rPr>
                <w:vertAlign w:val="superscript"/>
              </w:rPr>
              <w:t>)</w:t>
            </w:r>
            <w:r w:rsidRPr="00A73A1E">
              <w:rPr>
                <w:lang w:eastAsia="ja-JP"/>
              </w:rPr>
              <w:tab/>
            </w:r>
            <w:r w:rsidRPr="002C7DA3">
              <w:t>SAR6</w:t>
            </w:r>
            <w:r w:rsidRPr="00A73A1E">
              <w:rPr>
                <w:lang w:eastAsia="ja-JP"/>
              </w:rPr>
              <w:t xml:space="preserve"> capable of transmitting the circular polarization (RHCP or LHCP is selectable by command), so the worst-case polarization loss for the RHCP receive antenna is assumed to be 0.0 </w:t>
            </w:r>
            <w:proofErr w:type="spellStart"/>
            <w:r w:rsidRPr="00A73A1E">
              <w:rPr>
                <w:lang w:eastAsia="ja-JP"/>
              </w:rPr>
              <w:t>dB.</w:t>
            </w:r>
            <w:proofErr w:type="spellEnd"/>
          </w:p>
        </w:tc>
      </w:tr>
    </w:tbl>
    <w:p w14:paraId="45F89F9E" w14:textId="77777777" w:rsidR="003244CE" w:rsidRPr="00A73A1E" w:rsidRDefault="003244CE" w:rsidP="003244CE">
      <w:pPr>
        <w:pStyle w:val="Tablefin"/>
      </w:pPr>
    </w:p>
    <w:p w14:paraId="6E103A93" w14:textId="77777777" w:rsidR="003244CE" w:rsidRPr="00A73A1E" w:rsidRDefault="003244CE" w:rsidP="003244CE">
      <w:r w:rsidRPr="00A73A1E">
        <w:t>Then, if the results from the assessment template indicate the peak received pulsed power from the spaceborne active sensor is below the survival level but above a level of 15 dB below the RNSS receiver input saturation point, the RNSS receiver degradation ratio should be computed as described in § 4.2.</w:t>
      </w:r>
    </w:p>
    <w:p w14:paraId="7FA412DC" w14:textId="77777777" w:rsidR="003244CE" w:rsidRPr="00A73A1E" w:rsidRDefault="003244CE" w:rsidP="003244CE">
      <w:pPr>
        <w:pStyle w:val="Heading2"/>
      </w:pPr>
      <w:bookmarkStart w:id="23" w:name="_Toc102659322"/>
      <w:bookmarkStart w:id="24" w:name="_Toc102659450"/>
      <w:bookmarkStart w:id="25" w:name="_Toc102659471"/>
      <w:r w:rsidRPr="00A73A1E">
        <w:lastRenderedPageBreak/>
        <w:t>4.2</w:t>
      </w:r>
      <w:r w:rsidRPr="00A73A1E">
        <w:tab/>
        <w:t>Assessment of potential for RNSS receiver performance degradation</w:t>
      </w:r>
      <w:bookmarkEnd w:id="23"/>
      <w:bookmarkEnd w:id="24"/>
      <w:bookmarkEnd w:id="25"/>
    </w:p>
    <w:p w14:paraId="54746CB2" w14:textId="77777777" w:rsidR="003244CE" w:rsidRPr="00A73A1E" w:rsidRDefault="003244CE" w:rsidP="003244CE">
      <w:r w:rsidRPr="00A73A1E">
        <w:t>It is noted that RNSS receivers operating in the 1 215-1 300 MHz band can be subjected to continuous interference from a variety of sources, including RNSS space stations. In addition, they can be subjected to in-band and adjacent band pulsed RF interference from radiolocation radars and ARNS transmitters as well as spaceborne EESS active sensors. The presence of continuous RFI from other sources reduces the amount of pulsed RFI that the affected RNSS receiver can tolerate. The presence of an existing baseline amount of pulsed RFI reduces the amount of additional pulsed RFI that the affected RNSS receiver can tolerate from a new source. The amount of pulsed RFI to be considered depends on the number of pulsed sources within the radio horizon of the considered RNSS receive antenna.</w:t>
      </w:r>
    </w:p>
    <w:p w14:paraId="117ABC5D" w14:textId="77777777" w:rsidR="003244CE" w:rsidRPr="00A73A1E" w:rsidRDefault="003244CE" w:rsidP="003244CE">
      <w:pPr>
        <w:pStyle w:val="Heading3"/>
      </w:pPr>
      <w:r w:rsidRPr="00A73A1E">
        <w:t>4.2.1</w:t>
      </w:r>
      <w:r w:rsidRPr="00A73A1E">
        <w:tab/>
        <w:t>RNSS receiver effective noise density general formula</w:t>
      </w:r>
    </w:p>
    <w:p w14:paraId="2C98EB24" w14:textId="77777777" w:rsidR="003244CE" w:rsidRPr="00A73A1E" w:rsidRDefault="003244CE" w:rsidP="003244CE">
      <w:r w:rsidRPr="00A73A1E">
        <w:t xml:space="preserve">The effects of both pulsed and continuous RFI for a saturating RNSS receiver can be quantified by defining an effective post-correlator noise power spectral density, </w:t>
      </w:r>
      <w:r w:rsidRPr="00A73A1E">
        <w:rPr>
          <w:i/>
          <w:iCs/>
        </w:rPr>
        <w:t>N</w:t>
      </w:r>
      <w:proofErr w:type="gramStart"/>
      <w:r w:rsidRPr="00A73A1E">
        <w:rPr>
          <w:vertAlign w:val="subscript"/>
        </w:rPr>
        <w:t>0,</w:t>
      </w:r>
      <w:r w:rsidRPr="00A73A1E">
        <w:rPr>
          <w:i/>
          <w:iCs/>
          <w:vertAlign w:val="subscript"/>
        </w:rPr>
        <w:t>EFF</w:t>
      </w:r>
      <w:proofErr w:type="gramEnd"/>
      <w:r w:rsidRPr="00A73A1E">
        <w:t>, which combines all the pulsed RFI effects on thermal noise density, wideband continuous RFI density, and RNSS signal loss. It is given by:</w:t>
      </w:r>
    </w:p>
    <w:p w14:paraId="01819621" w14:textId="77777777" w:rsidR="003244CE" w:rsidRPr="00A73A1E" w:rsidRDefault="003244CE" w:rsidP="003244CE">
      <w:pPr>
        <w:pStyle w:val="Equation"/>
      </w:pPr>
      <w:r w:rsidRPr="00A73A1E">
        <w:tab/>
      </w:r>
      <w:r w:rsidRPr="00A73A1E">
        <w:tab/>
      </w:r>
      <w:r w:rsidRPr="00A73A1E">
        <w:rPr>
          <w:noProof/>
        </w:rPr>
        <w:object w:dxaOrig="3860" w:dyaOrig="1020" w14:anchorId="24F50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8.9pt;height:63.35pt;mso-width-percent:0;mso-height-percent:0;mso-width-percent:0;mso-height-percent:0" o:ole="">
            <v:imagedata r:id="rId52" o:title=""/>
          </v:shape>
          <o:OLEObject Type="Embed" ProgID="Equation.DSMT4" ShapeID="_x0000_i1025" DrawAspect="Content" ObjectID="_1762573977" r:id="rId53"/>
        </w:object>
      </w:r>
      <w:r w:rsidRPr="00A73A1E">
        <w:tab/>
      </w:r>
      <w:r w:rsidRPr="00A73A1E">
        <w:rPr>
          <w:szCs w:val="24"/>
        </w:rPr>
        <w:t>(1)</w:t>
      </w:r>
    </w:p>
    <w:p w14:paraId="63691F7E" w14:textId="77777777" w:rsidR="003244CE" w:rsidRPr="00A73A1E" w:rsidRDefault="003244CE" w:rsidP="003244CE">
      <w:pPr>
        <w:spacing w:before="0"/>
      </w:pPr>
      <w:r w:rsidRPr="00A73A1E">
        <w:t>where:</w:t>
      </w:r>
    </w:p>
    <w:p w14:paraId="52EA04C2" w14:textId="77777777" w:rsidR="003244CE" w:rsidRPr="00A73A1E" w:rsidRDefault="003244CE" w:rsidP="003244CE">
      <w:pPr>
        <w:pStyle w:val="Equation"/>
      </w:pPr>
      <w:r w:rsidRPr="00A73A1E">
        <w:tab/>
      </w:r>
      <w:r w:rsidRPr="00A73A1E">
        <w:tab/>
      </w:r>
      <w:r w:rsidRPr="00A73A1E">
        <w:rPr>
          <w:noProof/>
        </w:rPr>
        <w:object w:dxaOrig="2659" w:dyaOrig="800" w14:anchorId="66A229A6">
          <v:shape id="_x0000_i1026" type="#_x0000_t75" alt="" style="width:110.6pt;height:38.6pt;mso-width-percent:0;mso-height-percent:0;mso-width-percent:0;mso-height-percent:0" o:ole="">
            <v:imagedata r:id="rId54" o:title=""/>
          </v:shape>
          <o:OLEObject Type="Embed" ProgID="Equation.3" ShapeID="_x0000_i1026" DrawAspect="Content" ObjectID="_1762573978" r:id="rId55"/>
        </w:object>
      </w:r>
      <w:r w:rsidRPr="00A73A1E">
        <w:tab/>
        <w:t>(2)</w:t>
      </w:r>
    </w:p>
    <w:p w14:paraId="76C55F90" w14:textId="77777777" w:rsidR="003244CE" w:rsidRPr="00A73A1E" w:rsidRDefault="003244CE" w:rsidP="003244CE">
      <w:pPr>
        <w:spacing w:before="0"/>
      </w:pPr>
      <w:r w:rsidRPr="00A73A1E">
        <w:t xml:space="preserve">In the above equations: </w:t>
      </w:r>
    </w:p>
    <w:p w14:paraId="0CF01665" w14:textId="77777777" w:rsidR="003244CE" w:rsidRPr="00A73A1E" w:rsidRDefault="003244CE" w:rsidP="003244CE">
      <w:pPr>
        <w:pStyle w:val="Equationlegend"/>
      </w:pPr>
      <w:r w:rsidRPr="00A73A1E">
        <w:tab/>
      </w:r>
      <w:r w:rsidRPr="00A73A1E">
        <w:rPr>
          <w:i/>
          <w:iCs/>
        </w:rPr>
        <w:t>N</w:t>
      </w:r>
      <w:r w:rsidRPr="00A73A1E">
        <w:rPr>
          <w:vertAlign w:val="subscript"/>
        </w:rPr>
        <w:t>0</w:t>
      </w:r>
      <w:r w:rsidRPr="00A73A1E">
        <w:t>:</w:t>
      </w:r>
      <w:r w:rsidRPr="00A73A1E">
        <w:tab/>
        <w:t xml:space="preserve">receive system thermal noise power spectral density in Watts/Hz (= </w:t>
      </w:r>
      <w:proofErr w:type="spellStart"/>
      <w:r w:rsidRPr="00A73A1E">
        <w:t>kT</w:t>
      </w:r>
      <w:r w:rsidRPr="00A73A1E">
        <w:rPr>
          <w:vertAlign w:val="subscript"/>
        </w:rPr>
        <w:t>SYS</w:t>
      </w:r>
      <w:proofErr w:type="spellEnd"/>
      <w:r w:rsidRPr="00A73A1E">
        <w:t>)</w:t>
      </w:r>
    </w:p>
    <w:p w14:paraId="7197D690" w14:textId="77777777" w:rsidR="003244CE" w:rsidRPr="00A73A1E" w:rsidRDefault="003244CE" w:rsidP="003244CE">
      <w:pPr>
        <w:pStyle w:val="Equationlegend"/>
      </w:pPr>
      <w:r w:rsidRPr="00A73A1E">
        <w:rPr>
          <w:i/>
          <w:iCs/>
        </w:rPr>
        <w:tab/>
        <w:t>PDC:</w:t>
      </w:r>
      <w:r w:rsidRPr="00A73A1E">
        <w:tab/>
        <w:t>fractional duty cycle (unitless ratio) of all pulses exceeding the specific peak power threshold (blanking or saturation)</w:t>
      </w:r>
    </w:p>
    <w:p w14:paraId="690F4327" w14:textId="77777777" w:rsidR="003244CE" w:rsidRPr="00A73A1E" w:rsidRDefault="003244CE" w:rsidP="003244CE">
      <w:pPr>
        <w:pStyle w:val="Equationlegend"/>
      </w:pPr>
      <w:r w:rsidRPr="00A73A1E">
        <w:tab/>
      </w:r>
      <w:r w:rsidRPr="00A73A1E">
        <w:rPr>
          <w:i/>
          <w:iCs/>
        </w:rPr>
        <w:t>R</w:t>
      </w:r>
      <w:r w:rsidRPr="00A73A1E">
        <w:rPr>
          <w:i/>
          <w:iCs/>
          <w:vertAlign w:val="subscript"/>
        </w:rPr>
        <w:t>I</w:t>
      </w:r>
      <w:r w:rsidRPr="00A73A1E">
        <w:t>:</w:t>
      </w:r>
      <w:r w:rsidRPr="00A73A1E">
        <w:tab/>
        <w:t xml:space="preserve">ratio (unitless) of average power density of below-threshold pulsed RFI to receiver thermal noise spectral density, </w:t>
      </w:r>
      <w:r w:rsidRPr="00A73A1E">
        <w:rPr>
          <w:i/>
          <w:iCs/>
        </w:rPr>
        <w:t>N</w:t>
      </w:r>
      <w:r w:rsidRPr="00A73A1E">
        <w:rPr>
          <w:vertAlign w:val="subscript"/>
        </w:rPr>
        <w:t>0</w:t>
      </w:r>
    </w:p>
    <w:p w14:paraId="09901E4A" w14:textId="77777777" w:rsidR="003244CE" w:rsidRPr="00A73A1E" w:rsidRDefault="003244CE" w:rsidP="003244CE">
      <w:pPr>
        <w:pStyle w:val="Equationlegend"/>
      </w:pPr>
      <w:r w:rsidRPr="00A73A1E">
        <w:tab/>
      </w:r>
      <w:r w:rsidRPr="00A73A1E">
        <w:rPr>
          <w:i/>
          <w:iCs/>
        </w:rPr>
        <w:t>I</w:t>
      </w:r>
      <w:proofErr w:type="gramStart"/>
      <w:r w:rsidRPr="00A73A1E">
        <w:rPr>
          <w:vertAlign w:val="subscript"/>
        </w:rPr>
        <w:t>0,</w:t>
      </w:r>
      <w:r w:rsidRPr="00A73A1E">
        <w:rPr>
          <w:i/>
          <w:iCs/>
          <w:vertAlign w:val="subscript"/>
        </w:rPr>
        <w:t>WB</w:t>
      </w:r>
      <w:proofErr w:type="gramEnd"/>
      <w:r w:rsidRPr="00A73A1E">
        <w:t>:</w:t>
      </w:r>
      <w:r w:rsidRPr="00A73A1E">
        <w:tab/>
        <w:t>total wideband equivalent continuous RFI power spectral density (Watts/Hz)</w:t>
      </w:r>
    </w:p>
    <w:p w14:paraId="78E6BEAB" w14:textId="77777777" w:rsidR="003244CE" w:rsidRPr="00A73A1E" w:rsidRDefault="003244CE" w:rsidP="003244CE">
      <w:pPr>
        <w:pStyle w:val="Equationlegend"/>
      </w:pPr>
      <w:r w:rsidRPr="00A73A1E">
        <w:rPr>
          <w:i/>
          <w:iCs/>
        </w:rPr>
        <w:tab/>
        <w:t>N</w:t>
      </w:r>
      <w:r w:rsidRPr="00A73A1E">
        <w:rPr>
          <w:i/>
          <w:iCs/>
          <w:vertAlign w:val="subscript"/>
        </w:rPr>
        <w:t>LIM</w:t>
      </w:r>
      <w:r w:rsidRPr="00A73A1E">
        <w:rPr>
          <w:i/>
          <w:iCs/>
        </w:rPr>
        <w:t>:</w:t>
      </w:r>
      <w:r w:rsidRPr="00A73A1E">
        <w:tab/>
        <w:t>ratio (unitless) of receiver analogue-to-digital (A/D) saturation level to 1</w:t>
      </w:r>
      <w:r w:rsidRPr="00A73A1E">
        <w:rPr>
          <w:szCs w:val="24"/>
        </w:rPr>
        <w:sym w:font="Symbol" w:char="F073"/>
      </w:r>
      <w:r w:rsidRPr="00A73A1E">
        <w:t xml:space="preserve"> noise voltage established by automatic gain control (AGC)</w:t>
      </w:r>
    </w:p>
    <w:p w14:paraId="472D9264" w14:textId="77777777" w:rsidR="003244CE" w:rsidRPr="00A73A1E" w:rsidRDefault="003244CE" w:rsidP="003244CE">
      <w:pPr>
        <w:pStyle w:val="Equationlegend"/>
      </w:pPr>
      <w:r w:rsidRPr="00A73A1E">
        <w:rPr>
          <w:i/>
          <w:iCs/>
        </w:rPr>
        <w:tab/>
        <w:t>BW</w:t>
      </w:r>
      <w:r w:rsidRPr="00A73A1E">
        <w:t>:</w:t>
      </w:r>
      <w:r w:rsidRPr="00A73A1E">
        <w:tab/>
        <w:t>pre-correlator RF/IF bandwidth (Hz)</w:t>
      </w:r>
    </w:p>
    <w:p w14:paraId="3A55F24D" w14:textId="77777777" w:rsidR="003244CE" w:rsidRPr="00A73A1E" w:rsidRDefault="003244CE" w:rsidP="003244CE">
      <w:pPr>
        <w:pStyle w:val="Equationlegend"/>
      </w:pPr>
      <w:r w:rsidRPr="00A73A1E">
        <w:tab/>
      </w:r>
      <w:r w:rsidRPr="00A73A1E">
        <w:rPr>
          <w:i/>
          <w:iCs/>
        </w:rPr>
        <w:t>P</w:t>
      </w:r>
      <w:r w:rsidRPr="00A73A1E">
        <w:rPr>
          <w:i/>
          <w:iCs/>
          <w:vertAlign w:val="subscript"/>
        </w:rPr>
        <w:t>i</w:t>
      </w:r>
      <w:r w:rsidRPr="00A73A1E">
        <w:t>:</w:t>
      </w:r>
      <w:r w:rsidRPr="00A73A1E">
        <w:tab/>
        <w:t xml:space="preserve">received peak power (Watts) of the </w:t>
      </w:r>
      <w:proofErr w:type="spellStart"/>
      <w:r w:rsidRPr="00A73A1E">
        <w:rPr>
          <w:i/>
          <w:iCs/>
        </w:rPr>
        <w:t>i</w:t>
      </w:r>
      <w:r w:rsidRPr="00A73A1E">
        <w:noBreakHyphen/>
        <w:t>th</w:t>
      </w:r>
      <w:proofErr w:type="spellEnd"/>
      <w:r w:rsidRPr="00A73A1E">
        <w:t xml:space="preserve"> pulsed RFI source (referenced to antenna output) with peak level below the specific threshold</w:t>
      </w:r>
    </w:p>
    <w:p w14:paraId="0E3D4400" w14:textId="77777777" w:rsidR="003244CE" w:rsidRPr="00A73A1E" w:rsidRDefault="003244CE" w:rsidP="003244CE">
      <w:pPr>
        <w:pStyle w:val="Equationlegend"/>
      </w:pPr>
      <w:r w:rsidRPr="00A73A1E">
        <w:tab/>
      </w:r>
      <w:r w:rsidRPr="00A73A1E">
        <w:rPr>
          <w:i/>
          <w:iCs/>
        </w:rPr>
        <w:t>dc</w:t>
      </w:r>
      <w:r w:rsidRPr="00A73A1E">
        <w:rPr>
          <w:i/>
          <w:iCs/>
          <w:vertAlign w:val="subscript"/>
        </w:rPr>
        <w:t>i</w:t>
      </w:r>
      <w:r w:rsidRPr="00A73A1E">
        <w:t>:</w:t>
      </w:r>
      <w:r w:rsidRPr="00A73A1E">
        <w:tab/>
      </w:r>
      <w:proofErr w:type="spellStart"/>
      <w:r w:rsidRPr="00A73A1E">
        <w:rPr>
          <w:i/>
          <w:iCs/>
        </w:rPr>
        <w:t>i</w:t>
      </w:r>
      <w:r w:rsidRPr="00A73A1E">
        <w:noBreakHyphen/>
        <w:t>th</w:t>
      </w:r>
      <w:proofErr w:type="spellEnd"/>
      <w:r w:rsidRPr="00A73A1E">
        <w:t xml:space="preserve"> below-threshold pulse source duty cycle (unitless ratio), and</w:t>
      </w:r>
    </w:p>
    <w:p w14:paraId="5F66672D" w14:textId="77777777" w:rsidR="003244CE" w:rsidRPr="00A73A1E" w:rsidRDefault="003244CE" w:rsidP="003244CE">
      <w:pPr>
        <w:pStyle w:val="Equationlegend"/>
      </w:pPr>
      <w:r w:rsidRPr="00A73A1E">
        <w:tab/>
      </w:r>
      <w:r w:rsidRPr="00A73A1E">
        <w:rPr>
          <w:i/>
          <w:iCs/>
        </w:rPr>
        <w:t>N</w:t>
      </w:r>
      <w:r w:rsidRPr="00A73A1E">
        <w:t>:</w:t>
      </w:r>
      <w:r w:rsidRPr="00A73A1E">
        <w:tab/>
        <w:t>number of pulsed emitters with signals below the specific peak power threshold (blanking or saturation).</w:t>
      </w:r>
    </w:p>
    <w:p w14:paraId="76910582" w14:textId="77777777" w:rsidR="003244CE" w:rsidRPr="00A73A1E" w:rsidRDefault="003244CE" w:rsidP="003244CE">
      <w:r w:rsidRPr="00A73A1E">
        <w:t xml:space="preserve">All the noise and interference terms in equations (1) and (2) are referenced to the receive system passive antenna terminals. The parameter </w:t>
      </w:r>
      <w:r w:rsidRPr="00A73A1E">
        <w:rPr>
          <w:i/>
          <w:iCs/>
        </w:rPr>
        <w:t>N</w:t>
      </w:r>
      <w:r w:rsidRPr="00A73A1E">
        <w:rPr>
          <w:i/>
          <w:iCs/>
          <w:vertAlign w:val="subscript"/>
        </w:rPr>
        <w:t>LIM</w:t>
      </w:r>
      <w:r w:rsidRPr="00A73A1E">
        <w:t xml:space="preserve"> is a non-negative receiver parameter that is determined by the A/D conversion implementation (Note that </w:t>
      </w:r>
      <w:r w:rsidRPr="00A73A1E">
        <w:rPr>
          <w:i/>
          <w:iCs/>
        </w:rPr>
        <w:t>N</w:t>
      </w:r>
      <w:r w:rsidRPr="00A73A1E">
        <w:rPr>
          <w:i/>
          <w:iCs/>
          <w:vertAlign w:val="subscript"/>
        </w:rPr>
        <w:t>LIM</w:t>
      </w:r>
      <w:r w:rsidRPr="00A73A1E">
        <w:rPr>
          <w:iCs/>
        </w:rPr>
        <w:t xml:space="preserve"> = 0 for a pulse blanking receiver)</w:t>
      </w:r>
      <w:r w:rsidRPr="00A73A1E">
        <w:t xml:space="preserve">. For the simplest RNSS receiver with a “1-bit” quantizer (hard-limiting), </w:t>
      </w:r>
      <w:r w:rsidRPr="00A73A1E">
        <w:rPr>
          <w:i/>
          <w:iCs/>
        </w:rPr>
        <w:t>N</w:t>
      </w:r>
      <w:r w:rsidRPr="00A73A1E">
        <w:rPr>
          <w:i/>
          <w:iCs/>
          <w:vertAlign w:val="subscript"/>
        </w:rPr>
        <w:t>LIM</w:t>
      </w:r>
      <w:r w:rsidRPr="00A73A1E">
        <w:t xml:space="preserve"> = unity.</w:t>
      </w:r>
    </w:p>
    <w:p w14:paraId="348D361A" w14:textId="77777777" w:rsidR="003244CE" w:rsidRPr="00A73A1E" w:rsidRDefault="003244CE" w:rsidP="003244CE">
      <w:r w:rsidRPr="00A73A1E">
        <w:t xml:space="preserve">The total pulsed RFI parameter, </w:t>
      </w:r>
      <w:r w:rsidRPr="00A73A1E">
        <w:rPr>
          <w:i/>
          <w:iCs/>
        </w:rPr>
        <w:t>PDC</w:t>
      </w:r>
      <w:r w:rsidRPr="00A73A1E">
        <w:t>, is built out of components from the separate heterogeneous pulsed transmitter systems (or individual sources) “</w:t>
      </w:r>
      <w:r w:rsidRPr="00A73A1E">
        <w:rPr>
          <w:i/>
          <w:iCs/>
        </w:rPr>
        <w:t>a</w:t>
      </w:r>
      <w:r w:rsidRPr="00A73A1E">
        <w:t>”, “</w:t>
      </w:r>
      <w:r w:rsidRPr="00A73A1E">
        <w:rPr>
          <w:i/>
          <w:iCs/>
        </w:rPr>
        <w:t>b</w:t>
      </w:r>
      <w:r w:rsidRPr="00A73A1E">
        <w:t>” and “</w:t>
      </w:r>
      <w:r w:rsidRPr="00A73A1E">
        <w:rPr>
          <w:i/>
          <w:iCs/>
        </w:rPr>
        <w:t>c</w:t>
      </w:r>
      <w:r w:rsidRPr="00A73A1E">
        <w:t>” as follows:</w:t>
      </w:r>
    </w:p>
    <w:p w14:paraId="28615040" w14:textId="77777777" w:rsidR="003244CE" w:rsidRPr="00A73A1E" w:rsidRDefault="003244CE" w:rsidP="003244CE">
      <w:pPr>
        <w:pStyle w:val="Equation"/>
      </w:pPr>
      <w:r w:rsidRPr="00A73A1E">
        <w:lastRenderedPageBreak/>
        <w:tab/>
      </w:r>
      <w:r w:rsidRPr="00A73A1E">
        <w:tab/>
      </w:r>
      <w:r w:rsidRPr="00A73A1E">
        <w:rPr>
          <w:noProof/>
        </w:rPr>
        <w:object w:dxaOrig="3640" w:dyaOrig="340" w14:anchorId="7624A283">
          <v:shape id="_x0000_i1027" type="#_x0000_t75" alt="" style="width:230.4pt;height:20.15pt;mso-width-percent:0;mso-height-percent:0;mso-width-percent:0;mso-height-percent:0" o:ole="">
            <v:imagedata r:id="rId56" o:title=""/>
          </v:shape>
          <o:OLEObject Type="Embed" ProgID="Equation.DSMT4" ShapeID="_x0000_i1027" DrawAspect="Content" ObjectID="_1762573979" r:id="rId57"/>
        </w:object>
      </w:r>
      <w:r w:rsidRPr="00A73A1E">
        <w:tab/>
        <w:t>(3)</w:t>
      </w:r>
    </w:p>
    <w:p w14:paraId="385061B2" w14:textId="77777777" w:rsidR="003244CE" w:rsidRPr="00A73A1E" w:rsidRDefault="003244CE" w:rsidP="003244CE">
      <w:pPr>
        <w:spacing w:before="0"/>
      </w:pPr>
      <w:r w:rsidRPr="00A73A1E">
        <w:t>where:</w:t>
      </w:r>
    </w:p>
    <w:p w14:paraId="7EC0B736" w14:textId="70E6AB37" w:rsidR="003244CE" w:rsidRPr="00A73A1E" w:rsidRDefault="003244CE" w:rsidP="003244CE">
      <w:pPr>
        <w:pStyle w:val="Equationlegend"/>
        <w:rPr>
          <w:szCs w:val="24"/>
        </w:rPr>
      </w:pPr>
      <w:r w:rsidRPr="00A73A1E">
        <w:rPr>
          <w:szCs w:val="24"/>
        </w:rPr>
        <w:tab/>
      </w:r>
      <w:proofErr w:type="spellStart"/>
      <w:proofErr w:type="gramStart"/>
      <w:r w:rsidRPr="00A73A1E">
        <w:rPr>
          <w:i/>
          <w:iCs/>
          <w:szCs w:val="24"/>
        </w:rPr>
        <w:t>PDC</w:t>
      </w:r>
      <w:r w:rsidRPr="00A73A1E">
        <w:rPr>
          <w:i/>
          <w:iCs/>
          <w:szCs w:val="24"/>
          <w:vertAlign w:val="subscript"/>
        </w:rPr>
        <w:t>a</w:t>
      </w:r>
      <w:proofErr w:type="spellEnd"/>
      <w:r w:rsidR="0031214F">
        <w:rPr>
          <w:szCs w:val="24"/>
        </w:rPr>
        <w:t xml:space="preserve"> :</w:t>
      </w:r>
      <w:proofErr w:type="gramEnd"/>
      <w:r w:rsidRPr="00A73A1E">
        <w:rPr>
          <w:szCs w:val="24"/>
        </w:rPr>
        <w:tab/>
      </w:r>
      <w:r w:rsidRPr="00A73A1E">
        <w:t>above-threshold pulse duty cycle for system “</w:t>
      </w:r>
      <w:r w:rsidRPr="00A73A1E">
        <w:rPr>
          <w:i/>
          <w:iCs/>
        </w:rPr>
        <w:t>a</w:t>
      </w:r>
      <w:r w:rsidRPr="00A73A1E">
        <w:t>” pulses (e.g. radiolocation)</w:t>
      </w:r>
    </w:p>
    <w:p w14:paraId="424192BF" w14:textId="5F37D26A" w:rsidR="003244CE" w:rsidRPr="00A73A1E" w:rsidRDefault="003244CE" w:rsidP="003244CE">
      <w:pPr>
        <w:pStyle w:val="Equationlegend"/>
        <w:rPr>
          <w:szCs w:val="24"/>
        </w:rPr>
      </w:pPr>
      <w:r w:rsidRPr="00A73A1E">
        <w:rPr>
          <w:szCs w:val="24"/>
        </w:rPr>
        <w:tab/>
      </w:r>
      <w:proofErr w:type="spellStart"/>
      <w:proofErr w:type="gramStart"/>
      <w:r w:rsidRPr="00A73A1E">
        <w:rPr>
          <w:i/>
          <w:iCs/>
          <w:szCs w:val="24"/>
        </w:rPr>
        <w:t>PDC</w:t>
      </w:r>
      <w:r w:rsidRPr="00A73A1E">
        <w:rPr>
          <w:i/>
          <w:iCs/>
          <w:szCs w:val="24"/>
          <w:vertAlign w:val="subscript"/>
        </w:rPr>
        <w:t>b</w:t>
      </w:r>
      <w:proofErr w:type="spellEnd"/>
      <w:r w:rsidR="0031214F">
        <w:rPr>
          <w:szCs w:val="24"/>
        </w:rPr>
        <w:t xml:space="preserve"> :</w:t>
      </w:r>
      <w:proofErr w:type="gramEnd"/>
      <w:r w:rsidRPr="00A73A1E">
        <w:rPr>
          <w:i/>
          <w:iCs/>
          <w:szCs w:val="24"/>
          <w:vertAlign w:val="subscript"/>
        </w:rPr>
        <w:tab/>
      </w:r>
      <w:r w:rsidRPr="00A73A1E">
        <w:t>above-threshold pulse duty cycle for system “</w:t>
      </w:r>
      <w:r w:rsidRPr="00A73A1E">
        <w:rPr>
          <w:i/>
          <w:iCs/>
        </w:rPr>
        <w:t>b</w:t>
      </w:r>
      <w:r w:rsidRPr="00A73A1E">
        <w:t>” pulses (e.g. ARNS), and</w:t>
      </w:r>
    </w:p>
    <w:p w14:paraId="68A7743D" w14:textId="76497798" w:rsidR="003244CE" w:rsidRPr="00A73A1E" w:rsidRDefault="003244CE" w:rsidP="003244CE">
      <w:pPr>
        <w:pStyle w:val="Equationlegend"/>
        <w:rPr>
          <w:szCs w:val="24"/>
        </w:rPr>
      </w:pPr>
      <w:r w:rsidRPr="00A73A1E">
        <w:rPr>
          <w:szCs w:val="24"/>
        </w:rPr>
        <w:tab/>
      </w:r>
      <w:proofErr w:type="spellStart"/>
      <w:proofErr w:type="gramStart"/>
      <w:r w:rsidRPr="00A73A1E">
        <w:rPr>
          <w:i/>
          <w:iCs/>
          <w:szCs w:val="24"/>
        </w:rPr>
        <w:t>PDC</w:t>
      </w:r>
      <w:r w:rsidRPr="00A73A1E">
        <w:rPr>
          <w:i/>
          <w:iCs/>
          <w:szCs w:val="24"/>
          <w:vertAlign w:val="subscript"/>
        </w:rPr>
        <w:t>c</w:t>
      </w:r>
      <w:proofErr w:type="spellEnd"/>
      <w:r w:rsidR="0031214F">
        <w:rPr>
          <w:szCs w:val="24"/>
        </w:rPr>
        <w:t xml:space="preserve"> :</w:t>
      </w:r>
      <w:proofErr w:type="gramEnd"/>
      <w:r w:rsidRPr="00A73A1E">
        <w:rPr>
          <w:szCs w:val="24"/>
        </w:rPr>
        <w:tab/>
        <w:t xml:space="preserve">above-threshold pulse duty cycle </w:t>
      </w:r>
      <w:r w:rsidRPr="00A73A1E">
        <w:t>for system “</w:t>
      </w:r>
      <w:r w:rsidRPr="00A73A1E">
        <w:rPr>
          <w:i/>
          <w:iCs/>
        </w:rPr>
        <w:t>c</w:t>
      </w:r>
      <w:r w:rsidRPr="00A73A1E">
        <w:t>” pulses</w:t>
      </w:r>
      <w:r w:rsidRPr="00A73A1E">
        <w:rPr>
          <w:szCs w:val="24"/>
        </w:rPr>
        <w:t xml:space="preserve"> (e.g. EESS).</w:t>
      </w:r>
    </w:p>
    <w:p w14:paraId="7B23339B" w14:textId="77777777" w:rsidR="003244CE" w:rsidRPr="00A73A1E" w:rsidRDefault="003244CE" w:rsidP="003244CE">
      <w:r w:rsidRPr="00A73A1E">
        <w:t>The total pulsed RFI parameter,</w:t>
      </w:r>
      <w:r w:rsidRPr="00A73A1E">
        <w:rPr>
          <w:i/>
          <w:iCs/>
        </w:rPr>
        <w:t xml:space="preserve"> </w:t>
      </w:r>
      <w:proofErr w:type="gramStart"/>
      <w:r w:rsidRPr="00A73A1E">
        <w:rPr>
          <w:i/>
          <w:iCs/>
        </w:rPr>
        <w:t>R</w:t>
      </w:r>
      <w:r w:rsidRPr="00A73A1E">
        <w:rPr>
          <w:i/>
          <w:iCs/>
          <w:vertAlign w:val="subscript"/>
        </w:rPr>
        <w:t>I</w:t>
      </w:r>
      <w:r w:rsidRPr="00A73A1E">
        <w:t xml:space="preserve"> ,</w:t>
      </w:r>
      <w:proofErr w:type="gramEnd"/>
      <w:r w:rsidRPr="00A73A1E">
        <w:t xml:space="preserve"> is built out of components from the separate heterogeneous pulsed transmitter systems (or individual sources), for example, “</w:t>
      </w:r>
      <w:r w:rsidRPr="00A73A1E">
        <w:rPr>
          <w:i/>
          <w:iCs/>
        </w:rPr>
        <w:t>a</w:t>
      </w:r>
      <w:r w:rsidRPr="00A73A1E">
        <w:t>”, “</w:t>
      </w:r>
      <w:r w:rsidRPr="00A73A1E">
        <w:rPr>
          <w:i/>
          <w:iCs/>
        </w:rPr>
        <w:t>b</w:t>
      </w:r>
      <w:r w:rsidRPr="00A73A1E">
        <w:t>” and “</w:t>
      </w:r>
      <w:r w:rsidRPr="00A73A1E">
        <w:rPr>
          <w:i/>
          <w:iCs/>
        </w:rPr>
        <w:t>c</w:t>
      </w:r>
      <w:r w:rsidRPr="00A73A1E">
        <w:t>” as follows:</w:t>
      </w:r>
    </w:p>
    <w:p w14:paraId="107FAD49" w14:textId="77777777" w:rsidR="003244CE" w:rsidRPr="00A73A1E" w:rsidRDefault="003244CE" w:rsidP="003244CE">
      <w:pPr>
        <w:pStyle w:val="Equation"/>
      </w:pPr>
      <w:r w:rsidRPr="00A73A1E">
        <w:tab/>
      </w:r>
      <w:r>
        <w:tab/>
      </w:r>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c</m:t>
            </m:r>
          </m:sub>
        </m:sSub>
      </m:oMath>
      <w:r w:rsidRPr="00A73A1E">
        <w:tab/>
        <w:t>(4)</w:t>
      </w:r>
    </w:p>
    <w:p w14:paraId="0D277342" w14:textId="77777777" w:rsidR="003244CE" w:rsidRPr="00A73A1E" w:rsidRDefault="003244CE" w:rsidP="003244CE">
      <w:r w:rsidRPr="00A73A1E">
        <w:t xml:space="preserve">where </w:t>
      </w:r>
      <w:r w:rsidRPr="00A73A1E">
        <w:rPr>
          <w:i/>
          <w:iCs/>
        </w:rPr>
        <w:t>R</w:t>
      </w:r>
      <w:r w:rsidRPr="00A73A1E">
        <w:rPr>
          <w:i/>
          <w:iCs/>
          <w:vertAlign w:val="subscript"/>
        </w:rPr>
        <w:t>a</w:t>
      </w:r>
      <w:r w:rsidRPr="00A73A1E">
        <w:t xml:space="preserve">, </w:t>
      </w:r>
      <w:r w:rsidRPr="00A73A1E">
        <w:rPr>
          <w:i/>
          <w:iCs/>
        </w:rPr>
        <w:t>R</w:t>
      </w:r>
      <w:r w:rsidRPr="00A73A1E">
        <w:rPr>
          <w:i/>
          <w:iCs/>
          <w:vertAlign w:val="subscript"/>
        </w:rPr>
        <w:t>b</w:t>
      </w:r>
      <w:r w:rsidRPr="00A73A1E">
        <w:rPr>
          <w:i/>
          <w:iCs/>
        </w:rPr>
        <w:t>,</w:t>
      </w:r>
      <w:r w:rsidRPr="00A73A1E">
        <w:t xml:space="preserve"> and </w:t>
      </w:r>
      <w:proofErr w:type="spellStart"/>
      <w:r w:rsidRPr="00A73A1E">
        <w:rPr>
          <w:i/>
          <w:iCs/>
        </w:rPr>
        <w:t>R</w:t>
      </w:r>
      <w:r w:rsidRPr="00A73A1E">
        <w:rPr>
          <w:i/>
          <w:iCs/>
          <w:vertAlign w:val="subscript"/>
        </w:rPr>
        <w:t>c</w:t>
      </w:r>
      <w:proofErr w:type="spellEnd"/>
      <w:r w:rsidRPr="00A73A1E">
        <w:t xml:space="preserve"> are the below-threshold average pulse power density ratios for systems “</w:t>
      </w:r>
      <w:r w:rsidRPr="00A73A1E">
        <w:rPr>
          <w:i/>
          <w:iCs/>
        </w:rPr>
        <w:t>a</w:t>
      </w:r>
      <w:r w:rsidRPr="00A73A1E">
        <w:t>”, “</w:t>
      </w:r>
      <w:r w:rsidRPr="00A73A1E">
        <w:rPr>
          <w:i/>
          <w:iCs/>
        </w:rPr>
        <w:t>b</w:t>
      </w:r>
      <w:r w:rsidRPr="00A73A1E">
        <w:t>” and “</w:t>
      </w:r>
      <w:r w:rsidRPr="00A73A1E">
        <w:rPr>
          <w:i/>
          <w:iCs/>
        </w:rPr>
        <w:t>c</w:t>
      </w:r>
      <w:r w:rsidRPr="00A73A1E">
        <w:t>” respectively. These ratios are calculated without regard to the presence of any other pulses that overlap in time from the various individual pulsed RFI sources.</w:t>
      </w:r>
      <w:r w:rsidRPr="00A73A1E">
        <w:rPr>
          <w:highlight w:val="cyan"/>
        </w:rPr>
        <w:t xml:space="preserve"> </w:t>
      </w:r>
    </w:p>
    <w:p w14:paraId="3D7D651F" w14:textId="77777777" w:rsidR="003244CE" w:rsidRPr="00A73A1E" w:rsidRDefault="003244CE" w:rsidP="003244CE">
      <w:pPr>
        <w:tabs>
          <w:tab w:val="center" w:pos="4820"/>
          <w:tab w:val="right" w:pos="9639"/>
        </w:tabs>
      </w:pPr>
      <w:r w:rsidRPr="00A73A1E">
        <w:t xml:space="preserve">The pulsed RFI parameter, </w:t>
      </w:r>
      <w:proofErr w:type="spellStart"/>
      <w:r w:rsidRPr="00A73A1E">
        <w:rPr>
          <w:i/>
        </w:rPr>
        <w:t>PDC</w:t>
      </w:r>
      <w:r w:rsidRPr="00A73A1E">
        <w:rPr>
          <w:i/>
          <w:vertAlign w:val="subscript"/>
        </w:rPr>
        <w:t>j</w:t>
      </w:r>
      <w:proofErr w:type="spellEnd"/>
      <w:r w:rsidRPr="00A73A1E">
        <w:t>, for strong (above-threshold) pulses from a given (j-</w:t>
      </w:r>
      <w:proofErr w:type="spellStart"/>
      <w:r w:rsidRPr="00A73A1E">
        <w:t>th</w:t>
      </w:r>
      <w:proofErr w:type="spellEnd"/>
      <w:r w:rsidRPr="00A73A1E">
        <w:t>) source is:</w:t>
      </w:r>
    </w:p>
    <w:p w14:paraId="0E9D2E4E" w14:textId="77777777" w:rsidR="003244CE" w:rsidRPr="00A73A1E" w:rsidRDefault="003244CE" w:rsidP="003244CE">
      <w:pPr>
        <w:pStyle w:val="Equation"/>
      </w:pPr>
      <w:r w:rsidRPr="00A73A1E">
        <w:tab/>
      </w:r>
      <w:r>
        <w:tab/>
      </w:r>
      <m:oMath>
        <m:sSub>
          <m:sSubPr>
            <m:ctrlPr>
              <w:rPr>
                <w:rFonts w:ascii="Cambria Math" w:hAnsi="Cambria Math"/>
                <w:i/>
              </w:rPr>
            </m:ctrlPr>
          </m:sSubPr>
          <m:e>
            <m:r>
              <w:rPr>
                <w:rFonts w:ascii="Cambria Math" w:hAnsi="Cambria Math"/>
              </w:rPr>
              <m:t>PDC</m:t>
            </m:r>
          </m:e>
          <m:sub>
            <m:r>
              <w:rPr>
                <w:rFonts w:ascii="Cambria Math" w:hAnsi="Cambria Math"/>
              </w:rPr>
              <m:t>j</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PW</m:t>
                </m:r>
              </m:e>
              <m:sub>
                <m:r>
                  <w:rPr>
                    <w:rFonts w:ascii="Cambria Math" w:hAnsi="Cambria Math"/>
                  </w:rPr>
                  <m:t>j,eff</m:t>
                </m:r>
              </m:sub>
            </m:sSub>
            <m:r>
              <w:rPr>
                <w:rFonts w:ascii="Cambria Math" w:hAnsi="Cambria Math"/>
              </w:rPr>
              <m:t>+</m:t>
            </m:r>
            <m:sSub>
              <m:sSubPr>
                <m:ctrlPr>
                  <w:rPr>
                    <w:rFonts w:ascii="Cambria Math" w:hAnsi="Cambria Math"/>
                    <w:i/>
                  </w:rPr>
                </m:ctrlPr>
              </m:sSubPr>
              <m:e>
                <m:r>
                  <m:rPr>
                    <m:sty m:val="p"/>
                  </m:rPr>
                  <w:rPr>
                    <w:rFonts w:ascii="Cambria Math" w:hAnsi="Cambria Math"/>
                  </w:rPr>
                  <m:t>τ</m:t>
                </m:r>
              </m:e>
              <m:sub>
                <m:r>
                  <w:rPr>
                    <w:rFonts w:ascii="Cambria Math" w:hAnsi="Cambria Math"/>
                  </w:rPr>
                  <m:t>r</m:t>
                </m:r>
              </m:sub>
            </m:sSub>
          </m:e>
        </m:d>
        <m:sSub>
          <m:sSubPr>
            <m:ctrlPr>
              <w:rPr>
                <w:rFonts w:ascii="Cambria Math" w:hAnsi="Cambria Math"/>
                <w:i/>
              </w:rPr>
            </m:ctrlPr>
          </m:sSubPr>
          <m:e>
            <m:r>
              <w:rPr>
                <w:rFonts w:ascii="Cambria Math" w:hAnsi="Cambria Math"/>
              </w:rPr>
              <m:t>PRF</m:t>
            </m:r>
          </m:e>
          <m:sub>
            <m:r>
              <w:rPr>
                <w:rFonts w:ascii="Cambria Math" w:hAnsi="Cambria Math"/>
              </w:rPr>
              <m:t>j</m:t>
            </m:r>
          </m:sub>
        </m:sSub>
      </m:oMath>
      <w:r w:rsidRPr="00A73A1E">
        <w:tab/>
        <w:t>(5)</w:t>
      </w:r>
    </w:p>
    <w:p w14:paraId="3F062A39" w14:textId="77777777" w:rsidR="003244CE" w:rsidRPr="00A73A1E" w:rsidRDefault="003244CE" w:rsidP="003244CE">
      <w:pPr>
        <w:tabs>
          <w:tab w:val="center" w:pos="4820"/>
          <w:tab w:val="right" w:pos="9639"/>
        </w:tabs>
      </w:pPr>
      <w:r w:rsidRPr="00A73A1E">
        <w:t xml:space="preserve">where </w:t>
      </w:r>
      <w:proofErr w:type="spellStart"/>
      <w:proofErr w:type="gramStart"/>
      <w:r w:rsidRPr="00A73A1E">
        <w:rPr>
          <w:i/>
        </w:rPr>
        <w:t>PW</w:t>
      </w:r>
      <w:r w:rsidRPr="00A73A1E">
        <w:rPr>
          <w:i/>
          <w:vertAlign w:val="subscript"/>
        </w:rPr>
        <w:t>i,eff</w:t>
      </w:r>
      <w:proofErr w:type="spellEnd"/>
      <w:proofErr w:type="gramEnd"/>
      <w:r w:rsidRPr="00A73A1E">
        <w:t xml:space="preserve"> and </w:t>
      </w:r>
      <w:proofErr w:type="spellStart"/>
      <w:r w:rsidRPr="00A73A1E">
        <w:rPr>
          <w:i/>
        </w:rPr>
        <w:t>PRF</w:t>
      </w:r>
      <w:r w:rsidRPr="00A73A1E">
        <w:rPr>
          <w:i/>
          <w:vertAlign w:val="subscript"/>
        </w:rPr>
        <w:t>j</w:t>
      </w:r>
      <w:proofErr w:type="spellEnd"/>
      <w:r w:rsidRPr="00A73A1E">
        <w:t xml:space="preserve"> are, respectively, the effective pulse width (in seconds) and pulse repetition frequency (Hz) for the j-</w:t>
      </w:r>
      <w:proofErr w:type="spellStart"/>
      <w:r w:rsidRPr="00A73A1E">
        <w:t>th</w:t>
      </w:r>
      <w:proofErr w:type="spellEnd"/>
      <w:r w:rsidRPr="00A73A1E">
        <w:t xml:space="preserve"> RFI source, and </w:t>
      </w:r>
      <w:r w:rsidRPr="00E95AB8">
        <w:rPr>
          <w:iCs/>
        </w:rPr>
        <w:sym w:font="Symbol" w:char="F074"/>
      </w:r>
      <w:r w:rsidRPr="00A73A1E">
        <w:rPr>
          <w:i/>
          <w:vertAlign w:val="subscript"/>
        </w:rPr>
        <w:t>r</w:t>
      </w:r>
      <w:r w:rsidRPr="00A73A1E">
        <w:t xml:space="preserve"> is the RNSS receiver overload recovery time (in seconds). Similarly, the duty cycle, </w:t>
      </w:r>
      <w:proofErr w:type="spellStart"/>
      <w:r w:rsidRPr="00A73A1E">
        <w:rPr>
          <w:i/>
        </w:rPr>
        <w:t>dc</w:t>
      </w:r>
      <w:r w:rsidRPr="00A73A1E">
        <w:rPr>
          <w:i/>
          <w:vertAlign w:val="subscript"/>
        </w:rPr>
        <w:t>k</w:t>
      </w:r>
      <w:proofErr w:type="spellEnd"/>
      <w:r w:rsidRPr="00A73A1E">
        <w:t>, for weak (below-threshold) pulses from the k-</w:t>
      </w:r>
      <w:proofErr w:type="spellStart"/>
      <w:r w:rsidRPr="00A73A1E">
        <w:t>th</w:t>
      </w:r>
      <w:proofErr w:type="spellEnd"/>
      <w:r w:rsidRPr="00A73A1E">
        <w:t xml:space="preserve"> RFI source, used in computing the pulsed RFI parameter </w:t>
      </w:r>
      <w:proofErr w:type="spellStart"/>
      <w:r w:rsidRPr="00A73A1E">
        <w:rPr>
          <w:i/>
          <w:iCs/>
        </w:rPr>
        <w:t>R</w:t>
      </w:r>
      <w:r w:rsidRPr="00A73A1E">
        <w:rPr>
          <w:i/>
          <w:iCs/>
          <w:vertAlign w:val="subscript"/>
        </w:rPr>
        <w:t>k</w:t>
      </w:r>
      <w:proofErr w:type="spellEnd"/>
      <w:r w:rsidRPr="00A73A1E">
        <w:t>, for that source is determined by:</w:t>
      </w:r>
    </w:p>
    <w:p w14:paraId="6A8E95E9" w14:textId="77777777" w:rsidR="003244CE" w:rsidRPr="00A73A1E" w:rsidRDefault="00F7477C" w:rsidP="003244CE">
      <w:pPr>
        <w:pStyle w:val="Equation"/>
      </w:pPr>
      <w:r>
        <w:object w:dxaOrig="1440" w:dyaOrig="1440" w14:anchorId="619825F5">
          <v:shape id="_x0000_s2050" type="#_x0000_t75" alt="" style="position:absolute;left:0;text-align:left;margin-left:172.35pt;margin-top:11.9pt;width:9pt;height:13.95pt;z-index:251659264;mso-wrap-edited:f;mso-width-percent:0;mso-height-percent:0;mso-width-percent:0;mso-height-percent:0">
            <v:imagedata r:id="rId58" o:title=""/>
          </v:shape>
          <o:OLEObject Type="Embed" ProgID="Equation.DSMT4" ShapeID="_x0000_s2050" DrawAspect="Content" ObjectID="_1762573982" r:id="rId59"/>
        </w:object>
      </w:r>
      <w:r w:rsidR="003244CE" w:rsidRPr="00A73A1E">
        <w:tab/>
      </w:r>
      <w:r w:rsidR="003244CE">
        <w:tab/>
      </w:r>
      <m:oMath>
        <m:sSub>
          <m:sSubPr>
            <m:ctrlPr>
              <w:rPr>
                <w:rFonts w:ascii="Cambria Math" w:hAnsi="Cambria Math"/>
                <w:i/>
              </w:rPr>
            </m:ctrlPr>
          </m:sSubPr>
          <m:e>
            <m:r>
              <w:rPr>
                <w:rFonts w:ascii="Cambria Math" w:hAnsi="Cambria Math"/>
              </w:rPr>
              <m:t>dc</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PW</m:t>
            </m:r>
          </m:e>
          <m:sub>
            <m:r>
              <w:rPr>
                <w:rFonts w:ascii="Cambria Math" w:hAnsi="Cambria Math"/>
              </w:rPr>
              <m:t>k,eff</m:t>
            </m:r>
          </m:sub>
        </m:sSub>
        <m:r>
          <w:rPr>
            <w:rFonts w:ascii="Cambria Math" w:hAnsi="Cambria Math"/>
          </w:rPr>
          <m:t xml:space="preserve"> </m:t>
        </m:r>
        <m:sSub>
          <m:sSubPr>
            <m:ctrlPr>
              <w:rPr>
                <w:rFonts w:ascii="Cambria Math" w:hAnsi="Cambria Math"/>
                <w:i/>
              </w:rPr>
            </m:ctrlPr>
          </m:sSubPr>
          <m:e>
            <m:r>
              <w:rPr>
                <w:rFonts w:ascii="Cambria Math" w:hAnsi="Cambria Math"/>
              </w:rPr>
              <m:t>PRF</m:t>
            </m:r>
          </m:e>
          <m:sub>
            <m:r>
              <w:rPr>
                <w:rFonts w:ascii="Cambria Math" w:hAnsi="Cambria Math"/>
              </w:rPr>
              <m:t>k</m:t>
            </m:r>
          </m:sub>
        </m:sSub>
      </m:oMath>
      <w:r w:rsidR="003244CE" w:rsidRPr="00A73A1E">
        <w:tab/>
        <w:t>(6)</w:t>
      </w:r>
    </w:p>
    <w:p w14:paraId="7B19F73D" w14:textId="77777777" w:rsidR="003244CE" w:rsidRPr="00A73A1E" w:rsidRDefault="003244CE" w:rsidP="003244CE">
      <w:pPr>
        <w:tabs>
          <w:tab w:val="center" w:pos="4820"/>
          <w:tab w:val="right" w:pos="9639"/>
        </w:tabs>
      </w:pPr>
      <w:r w:rsidRPr="00A73A1E">
        <w:t xml:space="preserve">Intra-pulse frequency chirp is typically employed by the spaceborne active sensors considered in this Report. In some cases the chirp may be wide enough that a portion of the full transmit pulse width falls outside the RNSS receiver passband and does not impact receiver performance. In equations (5) and (6) the effective pulse width, </w:t>
      </w:r>
      <w:proofErr w:type="spellStart"/>
      <w:r w:rsidRPr="00A73A1E">
        <w:rPr>
          <w:i/>
        </w:rPr>
        <w:t>PW</w:t>
      </w:r>
      <w:r w:rsidRPr="00A73A1E">
        <w:rPr>
          <w:i/>
          <w:vertAlign w:val="subscript"/>
        </w:rPr>
        <w:t>eff</w:t>
      </w:r>
      <w:proofErr w:type="spellEnd"/>
      <w:r w:rsidRPr="00A73A1E">
        <w:t xml:space="preserve">, is related to the full RFI source transmit pulse width, </w:t>
      </w:r>
      <w:r w:rsidRPr="00A73A1E">
        <w:rPr>
          <w:i/>
        </w:rPr>
        <w:t>PW</w:t>
      </w:r>
      <w:r w:rsidRPr="00A73A1E">
        <w:t xml:space="preserve">, by </w:t>
      </w:r>
      <w:proofErr w:type="spellStart"/>
      <w:r w:rsidRPr="00A73A1E">
        <w:rPr>
          <w:i/>
        </w:rPr>
        <w:t>PW</w:t>
      </w:r>
      <w:r w:rsidRPr="00A73A1E">
        <w:rPr>
          <w:i/>
          <w:vertAlign w:val="subscript"/>
        </w:rPr>
        <w:t>eff</w:t>
      </w:r>
      <w:proofErr w:type="spellEnd"/>
      <w:r w:rsidRPr="00A73A1E">
        <w:rPr>
          <w:vertAlign w:val="subscript"/>
        </w:rPr>
        <w:t xml:space="preserve"> </w:t>
      </w:r>
      <w:r w:rsidRPr="00A73A1E">
        <w:t xml:space="preserve">= </w:t>
      </w:r>
      <w:r w:rsidRPr="00A73A1E">
        <w:rPr>
          <w:i/>
        </w:rPr>
        <w:t>PW</w:t>
      </w:r>
      <w:proofErr w:type="gramStart"/>
      <w:r w:rsidRPr="00A73A1E">
        <w:rPr>
          <w:i/>
        </w:rPr>
        <w:t>·</w:t>
      </w:r>
      <w:r w:rsidRPr="00A73A1E">
        <w:t>(</w:t>
      </w:r>
      <w:proofErr w:type="gramEnd"/>
      <w:r w:rsidRPr="00A73A1E">
        <w:rPr>
          <w:iCs/>
        </w:rPr>
        <w:sym w:font="Symbol" w:char="F044"/>
      </w:r>
      <w:r w:rsidRPr="00A73A1E">
        <w:rPr>
          <w:i/>
        </w:rPr>
        <w:t xml:space="preserve">f / </w:t>
      </w:r>
      <w:proofErr w:type="spellStart"/>
      <w:r w:rsidRPr="00A73A1E">
        <w:rPr>
          <w:i/>
        </w:rPr>
        <w:t>Chirpwidth</w:t>
      </w:r>
      <w:proofErr w:type="spellEnd"/>
      <w:r w:rsidRPr="00A73A1E">
        <w:t xml:space="preserve">), where </w:t>
      </w:r>
      <w:r w:rsidRPr="00A73A1E">
        <w:rPr>
          <w:iCs/>
        </w:rPr>
        <w:sym w:font="Symbol" w:char="F044"/>
      </w:r>
      <w:r w:rsidRPr="00A73A1E">
        <w:rPr>
          <w:i/>
        </w:rPr>
        <w:t>f</w:t>
      </w:r>
      <w:r w:rsidRPr="00A73A1E">
        <w:t xml:space="preserve"> is the portion of the full chirp width that falls within the </w:t>
      </w:r>
      <w:bookmarkStart w:id="26" w:name="OLE_LINK1"/>
      <w:bookmarkStart w:id="27" w:name="OLE_LINK2"/>
      <w:r w:rsidRPr="00A73A1E">
        <w:t>receiver pre-correlation passband</w:t>
      </w:r>
      <w:bookmarkEnd w:id="26"/>
      <w:bookmarkEnd w:id="27"/>
      <w:r w:rsidRPr="00A73A1E">
        <w:rPr>
          <w:position w:val="6"/>
          <w:sz w:val="18"/>
        </w:rPr>
        <w:footnoteReference w:id="8"/>
      </w:r>
      <w:r w:rsidRPr="00A73A1E">
        <w:t xml:space="preserve"> (see Table 7)</w:t>
      </w:r>
      <w:r w:rsidRPr="00A73A1E">
        <w:rPr>
          <w:position w:val="6"/>
          <w:sz w:val="18"/>
        </w:rPr>
        <w:footnoteReference w:id="9"/>
      </w:r>
      <w:r w:rsidRPr="00A73A1E">
        <w:t>.</w:t>
      </w:r>
    </w:p>
    <w:p w14:paraId="2E2ED912" w14:textId="50C8291E" w:rsidR="003244CE" w:rsidRPr="00684163" w:rsidRDefault="003244CE" w:rsidP="003244CE">
      <w:pPr>
        <w:rPr>
          <w:lang w:eastAsia="ja-JP"/>
        </w:rPr>
      </w:pPr>
      <w:r w:rsidRPr="00A73A1E">
        <w:rPr>
          <w:lang w:eastAsia="ja-JP"/>
        </w:rPr>
        <w:t xml:space="preserve">It should be noted that a bandwidth greater than the pre-correlator </w:t>
      </w:r>
      <w:r w:rsidR="00AC6B2E">
        <w:rPr>
          <w:lang w:eastAsia="ja-JP"/>
        </w:rPr>
        <w:t>−</w:t>
      </w:r>
      <w:r w:rsidRPr="00A73A1E">
        <w:rPr>
          <w:lang w:eastAsia="ja-JP"/>
        </w:rPr>
        <w:t xml:space="preserve">3 dB filter bandwidth of RNSS receivers has to be taken into consideration. However, this value should not be greater than the RF </w:t>
      </w:r>
      <w:r w:rsidR="00AC6B2E">
        <w:rPr>
          <w:lang w:eastAsia="ja-JP"/>
        </w:rPr>
        <w:t>−</w:t>
      </w:r>
      <w:r w:rsidRPr="00684163">
        <w:rPr>
          <w:lang w:eastAsia="ja-JP"/>
        </w:rPr>
        <w:t xml:space="preserve">3 dB filter bandwidth which is contained in Recommendation </w:t>
      </w:r>
      <w:hyperlink r:id="rId60" w:history="1">
        <w:r w:rsidRPr="00684163">
          <w:rPr>
            <w:rStyle w:val="Hyperlink"/>
            <w:rFonts w:eastAsia="SimSun"/>
            <w:color w:val="auto"/>
            <w:u w:val="none"/>
          </w:rPr>
          <w:t>ITU-R M.1902</w:t>
        </w:r>
      </w:hyperlink>
      <w:r w:rsidRPr="00684163">
        <w:rPr>
          <w:lang w:eastAsia="ja-JP"/>
        </w:rPr>
        <w:t>.</w:t>
      </w:r>
    </w:p>
    <w:p w14:paraId="564A4F65" w14:textId="77777777" w:rsidR="003244CE" w:rsidRPr="00A73A1E" w:rsidRDefault="003244CE" w:rsidP="003244CE">
      <w:pPr>
        <w:pStyle w:val="Heading3"/>
      </w:pPr>
      <w:r w:rsidRPr="00A73A1E">
        <w:t>4.2.2</w:t>
      </w:r>
      <w:r w:rsidRPr="00A73A1E">
        <w:tab/>
        <w:t>RNSS receiver performance degradation computation</w:t>
      </w:r>
    </w:p>
    <w:p w14:paraId="7BD4B6F2" w14:textId="77777777" w:rsidR="003244CE" w:rsidRPr="00A73A1E" w:rsidRDefault="003244CE" w:rsidP="003244CE">
      <w:r w:rsidRPr="00A73A1E">
        <w:t xml:space="preserve">Define the baseline environment to have pulsed RFI present (i.e. baseline </w:t>
      </w:r>
      <w:r w:rsidRPr="00A73A1E">
        <w:rPr>
          <w:i/>
        </w:rPr>
        <w:t>PDC</w:t>
      </w:r>
      <w:r w:rsidRPr="00A73A1E">
        <w:t xml:space="preserve"> and/or </w:t>
      </w:r>
      <w:r w:rsidRPr="00A73A1E">
        <w:rPr>
          <w:i/>
        </w:rPr>
        <w:t>R</w:t>
      </w:r>
      <w:r w:rsidRPr="00A73A1E">
        <w:rPr>
          <w:i/>
          <w:vertAlign w:val="subscript"/>
        </w:rPr>
        <w:t>I</w:t>
      </w:r>
      <w:r w:rsidRPr="00A73A1E">
        <w:t xml:space="preserve"> &gt; 0). If an additional pulse source group Y is introduced, the new composite RNSS pulsed RFI parameters, </w:t>
      </w:r>
      <w:proofErr w:type="spellStart"/>
      <w:r w:rsidRPr="00A73A1E">
        <w:rPr>
          <w:i/>
          <w:iCs/>
        </w:rPr>
        <w:t>PDC</w:t>
      </w:r>
      <w:r w:rsidRPr="00A73A1E">
        <w:rPr>
          <w:i/>
          <w:iCs/>
          <w:vertAlign w:val="subscript"/>
        </w:rPr>
        <w:t>base</w:t>
      </w:r>
      <w:r w:rsidRPr="00A73A1E">
        <w:rPr>
          <w:vertAlign w:val="subscript"/>
        </w:rPr>
        <w:t>+</w:t>
      </w:r>
      <w:r w:rsidRPr="00A73A1E">
        <w:rPr>
          <w:i/>
          <w:iCs/>
          <w:vertAlign w:val="subscript"/>
        </w:rPr>
        <w:t>Y</w:t>
      </w:r>
      <w:proofErr w:type="spellEnd"/>
      <w:r w:rsidRPr="00A73A1E">
        <w:t xml:space="preserve"> and </w:t>
      </w:r>
      <w:r w:rsidRPr="00A73A1E">
        <w:rPr>
          <w:i/>
          <w:iCs/>
        </w:rPr>
        <w:t>R</w:t>
      </w:r>
      <w:r w:rsidRPr="00A73A1E">
        <w:rPr>
          <w:i/>
          <w:iCs/>
          <w:vertAlign w:val="subscript"/>
        </w:rPr>
        <w:t>I</w:t>
      </w:r>
      <w:r w:rsidRPr="00A73A1E">
        <w:rPr>
          <w:vertAlign w:val="subscript"/>
        </w:rPr>
        <w:t>+</w:t>
      </w:r>
      <w:r w:rsidRPr="00A73A1E">
        <w:rPr>
          <w:i/>
          <w:iCs/>
          <w:vertAlign w:val="subscript"/>
        </w:rPr>
        <w:t>Y</w:t>
      </w:r>
      <w:r w:rsidRPr="00A73A1E">
        <w:t xml:space="preserve">, can be defined by extension of </w:t>
      </w:r>
      <w:r>
        <w:t xml:space="preserve">equations </w:t>
      </w:r>
      <w:r w:rsidRPr="00A73A1E">
        <w:t xml:space="preserve">(3) and (4) as: </w:t>
      </w:r>
    </w:p>
    <w:p w14:paraId="2A7B5947" w14:textId="77777777" w:rsidR="003244CE" w:rsidRPr="00A73A1E" w:rsidRDefault="003244CE" w:rsidP="003244CE">
      <w:pPr>
        <w:pStyle w:val="Equation"/>
      </w:pPr>
      <w:r w:rsidRPr="00A73A1E">
        <w:tab/>
      </w:r>
      <w:r w:rsidRPr="00A73A1E">
        <w:tab/>
        <w:t>(1–</w:t>
      </w:r>
      <w:proofErr w:type="spellStart"/>
      <w:r w:rsidRPr="00A73A1E">
        <w:rPr>
          <w:i/>
          <w:iCs/>
        </w:rPr>
        <w:t>PDC</w:t>
      </w:r>
      <w:r w:rsidRPr="00A73A1E">
        <w:rPr>
          <w:i/>
          <w:iCs/>
          <w:vertAlign w:val="subscript"/>
        </w:rPr>
        <w:t>base</w:t>
      </w:r>
      <w:r w:rsidRPr="00A73A1E">
        <w:rPr>
          <w:vertAlign w:val="subscript"/>
        </w:rPr>
        <w:t>+</w:t>
      </w:r>
      <w:r w:rsidRPr="00A73A1E">
        <w:rPr>
          <w:i/>
          <w:iCs/>
          <w:vertAlign w:val="subscript"/>
        </w:rPr>
        <w:t>Y</w:t>
      </w:r>
      <w:proofErr w:type="spellEnd"/>
      <w:r w:rsidRPr="00A73A1E">
        <w:t>) = (1</w:t>
      </w:r>
      <w:r w:rsidRPr="00A73A1E">
        <w:rPr>
          <w:b/>
        </w:rPr>
        <w:t>–</w:t>
      </w:r>
      <w:proofErr w:type="spellStart"/>
      <w:proofErr w:type="gramStart"/>
      <w:r w:rsidRPr="00A73A1E">
        <w:rPr>
          <w:i/>
          <w:iCs/>
        </w:rPr>
        <w:t>PDC</w:t>
      </w:r>
      <w:r w:rsidRPr="00A73A1E">
        <w:rPr>
          <w:i/>
          <w:iCs/>
          <w:vertAlign w:val="subscript"/>
        </w:rPr>
        <w:t>base</w:t>
      </w:r>
      <w:proofErr w:type="spellEnd"/>
      <w:r w:rsidRPr="00A73A1E">
        <w:t>)(</w:t>
      </w:r>
      <w:proofErr w:type="gramEnd"/>
      <w:r w:rsidRPr="00A73A1E">
        <w:t>1</w:t>
      </w:r>
      <w:r w:rsidRPr="00A73A1E">
        <w:rPr>
          <w:b/>
        </w:rPr>
        <w:t>–</w:t>
      </w:r>
      <w:r w:rsidRPr="00A73A1E">
        <w:rPr>
          <w:i/>
          <w:iCs/>
        </w:rPr>
        <w:t>PDC</w:t>
      </w:r>
      <w:r w:rsidRPr="00A73A1E">
        <w:rPr>
          <w:i/>
          <w:iCs/>
          <w:vertAlign w:val="subscript"/>
        </w:rPr>
        <w:t>Y</w:t>
      </w:r>
      <w:r w:rsidRPr="00A73A1E">
        <w:t xml:space="preserve">) and </w:t>
      </w:r>
      <w:r w:rsidRPr="00A73A1E">
        <w:rPr>
          <w:i/>
          <w:iCs/>
        </w:rPr>
        <w:t>R</w:t>
      </w:r>
      <w:r w:rsidRPr="00A73A1E">
        <w:rPr>
          <w:i/>
          <w:iCs/>
          <w:vertAlign w:val="subscript"/>
        </w:rPr>
        <w:t>I</w:t>
      </w:r>
      <w:r w:rsidRPr="00A73A1E">
        <w:rPr>
          <w:vertAlign w:val="subscript"/>
        </w:rPr>
        <w:t>+</w:t>
      </w:r>
      <w:r w:rsidRPr="00A73A1E">
        <w:rPr>
          <w:i/>
          <w:iCs/>
          <w:vertAlign w:val="subscript"/>
        </w:rPr>
        <w:t>Y</w:t>
      </w:r>
      <w:r w:rsidRPr="00A73A1E">
        <w:t xml:space="preserve"> = </w:t>
      </w:r>
      <w:r w:rsidRPr="00A73A1E">
        <w:rPr>
          <w:i/>
          <w:iCs/>
        </w:rPr>
        <w:t>R</w:t>
      </w:r>
      <w:r w:rsidRPr="00A73A1E">
        <w:rPr>
          <w:i/>
          <w:iCs/>
          <w:vertAlign w:val="subscript"/>
        </w:rPr>
        <w:t>I</w:t>
      </w:r>
      <w:r w:rsidRPr="00A73A1E">
        <w:t xml:space="preserve"> + </w:t>
      </w:r>
      <w:r w:rsidRPr="00A73A1E">
        <w:rPr>
          <w:i/>
          <w:iCs/>
        </w:rPr>
        <w:t>R</w:t>
      </w:r>
      <w:r w:rsidRPr="00A73A1E">
        <w:rPr>
          <w:i/>
          <w:iCs/>
          <w:vertAlign w:val="subscript"/>
        </w:rPr>
        <w:t>Y</w:t>
      </w:r>
    </w:p>
    <w:p w14:paraId="591CB9E8" w14:textId="77777777" w:rsidR="003244CE" w:rsidRPr="00A73A1E" w:rsidRDefault="003244CE" w:rsidP="003244CE">
      <w:r w:rsidRPr="00A73A1E">
        <w:lastRenderedPageBreak/>
        <w:t xml:space="preserve">where </w:t>
      </w:r>
      <w:proofErr w:type="spellStart"/>
      <w:r w:rsidRPr="00A73A1E">
        <w:rPr>
          <w:i/>
          <w:iCs/>
        </w:rPr>
        <w:t>PDC</w:t>
      </w:r>
      <w:r w:rsidRPr="00A73A1E">
        <w:rPr>
          <w:i/>
          <w:iCs/>
          <w:vertAlign w:val="subscript"/>
        </w:rPr>
        <w:t>base</w:t>
      </w:r>
      <w:proofErr w:type="spellEnd"/>
      <w:r w:rsidRPr="00A73A1E">
        <w:t xml:space="preserve"> and </w:t>
      </w:r>
      <w:r w:rsidRPr="00A73A1E">
        <w:rPr>
          <w:i/>
          <w:iCs/>
        </w:rPr>
        <w:t>R</w:t>
      </w:r>
      <w:r w:rsidRPr="00A73A1E">
        <w:rPr>
          <w:i/>
          <w:iCs/>
          <w:vertAlign w:val="subscript"/>
        </w:rPr>
        <w:t>I</w:t>
      </w:r>
      <w:r w:rsidRPr="00A73A1E">
        <w:t xml:space="preserve"> represent the baseline environment pulsed RFI parameters and </w:t>
      </w:r>
      <w:r w:rsidRPr="00A73A1E">
        <w:rPr>
          <w:i/>
          <w:iCs/>
        </w:rPr>
        <w:t>PDC</w:t>
      </w:r>
      <w:r w:rsidRPr="00A73A1E">
        <w:rPr>
          <w:i/>
          <w:iCs/>
          <w:vertAlign w:val="subscript"/>
        </w:rPr>
        <w:t>Y</w:t>
      </w:r>
      <w:r w:rsidRPr="00A73A1E">
        <w:t xml:space="preserve"> and </w:t>
      </w:r>
      <w:r w:rsidRPr="00A73A1E">
        <w:rPr>
          <w:i/>
          <w:iCs/>
        </w:rPr>
        <w:t>R</w:t>
      </w:r>
      <w:r w:rsidRPr="00A73A1E">
        <w:rPr>
          <w:i/>
          <w:iCs/>
          <w:vertAlign w:val="subscript"/>
        </w:rPr>
        <w:t>Y</w:t>
      </w:r>
      <w:r w:rsidRPr="00A73A1E">
        <w:t xml:space="preserve"> represent the additional source group pulsed RFI parameters. The degradation ratio is then defined by extension using equation (1) as:</w:t>
      </w:r>
    </w:p>
    <w:p w14:paraId="3E14CD34" w14:textId="77777777" w:rsidR="003244CE" w:rsidRPr="00A73A1E" w:rsidRDefault="003244CE" w:rsidP="003244CE">
      <w:pPr>
        <w:pStyle w:val="Equation"/>
      </w:pPr>
      <w:r w:rsidRPr="00A73A1E">
        <w:tab/>
      </w:r>
      <w:r w:rsidRPr="00A73A1E">
        <w:rPr>
          <w:noProof/>
        </w:rPr>
        <w:object w:dxaOrig="9080" w:dyaOrig="3040" w14:anchorId="767B7A4A">
          <v:shape id="_x0000_i1029" type="#_x0000_t75" alt="" style="width:389.4pt;height:128.45pt;mso-width-percent:0;mso-height-percent:0;mso-width-percent:0;mso-height-percent:0" o:ole="">
            <v:imagedata r:id="rId61" o:title=""/>
          </v:shape>
          <o:OLEObject Type="Embed" ProgID="Equation.DSMT4" ShapeID="_x0000_i1029" DrawAspect="Content" ObjectID="_1762573980" r:id="rId62"/>
        </w:object>
      </w:r>
      <w:r w:rsidRPr="00A73A1E">
        <w:tab/>
        <w:t>(7)</w:t>
      </w:r>
    </w:p>
    <w:p w14:paraId="3F110827" w14:textId="77777777" w:rsidR="003244CE" w:rsidRPr="00A73A1E" w:rsidRDefault="003244CE" w:rsidP="003244CE">
      <w:r w:rsidRPr="00A73A1E">
        <w:t xml:space="preserve">If in addition, the RNSS receiver is a hard-limiting style, </w:t>
      </w:r>
      <w:r w:rsidRPr="00A73A1E">
        <w:rPr>
          <w:i/>
          <w:iCs/>
        </w:rPr>
        <w:t>N</w:t>
      </w:r>
      <w:r w:rsidRPr="00A73A1E">
        <w:rPr>
          <w:i/>
          <w:iCs/>
          <w:vertAlign w:val="subscript"/>
        </w:rPr>
        <w:t>LIM</w:t>
      </w:r>
      <w:r w:rsidRPr="00A73A1E">
        <w:t xml:space="preserve"> = 1 and </w:t>
      </w:r>
      <w:r w:rsidRPr="00A73A1E">
        <w:rPr>
          <w:i/>
          <w:iCs/>
        </w:rPr>
        <w:t>R</w:t>
      </w:r>
      <w:r w:rsidRPr="00A73A1E">
        <w:rPr>
          <w:i/>
          <w:iCs/>
          <w:vertAlign w:val="subscript"/>
        </w:rPr>
        <w:t>I</w:t>
      </w:r>
      <w:r w:rsidRPr="00A73A1E">
        <w:t xml:space="preserve"> = </w:t>
      </w:r>
      <w:r w:rsidRPr="00A73A1E">
        <w:rPr>
          <w:i/>
          <w:iCs/>
        </w:rPr>
        <w:t>R</w:t>
      </w:r>
      <w:r w:rsidRPr="00A73A1E">
        <w:rPr>
          <w:i/>
          <w:iCs/>
          <w:vertAlign w:val="subscript"/>
        </w:rPr>
        <w:t>Y</w:t>
      </w:r>
      <w:r w:rsidRPr="00A73A1E">
        <w:t xml:space="preserve"> </w:t>
      </w:r>
      <w:r w:rsidRPr="00A73A1E">
        <w:rPr>
          <w:szCs w:val="24"/>
        </w:rPr>
        <w:sym w:font="Symbol" w:char="F040"/>
      </w:r>
      <w:r w:rsidRPr="00A73A1E">
        <w:t xml:space="preserve"> 0, then the degradation ratio in </w:t>
      </w:r>
      <w:r>
        <w:t xml:space="preserve">equation </w:t>
      </w:r>
      <w:r w:rsidRPr="00A73A1E">
        <w:t>(</w:t>
      </w:r>
      <w:r w:rsidRPr="00A73A1E">
        <w:rPr>
          <w:lang w:eastAsia="ja-JP"/>
        </w:rPr>
        <w:t>7</w:t>
      </w:r>
      <w:r w:rsidRPr="00A73A1E">
        <w:t>) simplifies to:</w:t>
      </w:r>
    </w:p>
    <w:p w14:paraId="0B7285DB" w14:textId="6784177C" w:rsidR="003244CE" w:rsidRPr="00A73A1E" w:rsidRDefault="003244CE" w:rsidP="003244CE">
      <w:pPr>
        <w:pStyle w:val="Equation"/>
      </w:pPr>
      <w:r w:rsidRPr="00A73A1E">
        <w:tab/>
      </w:r>
      <w:r w:rsidRPr="00A73A1E">
        <w:tab/>
      </w:r>
      <w:r w:rsidRPr="00A73A1E">
        <w:rPr>
          <w:noProof/>
        </w:rPr>
        <w:object w:dxaOrig="2920" w:dyaOrig="740" w14:anchorId="7A0F6F13">
          <v:shape id="_x0000_i1030" type="#_x0000_t75" alt="" style="width:2in;height:37.45pt;mso-width-percent:0;mso-height-percent:0;mso-width-percent:0;mso-height-percent:0" o:ole="">
            <v:imagedata r:id="rId63" o:title=""/>
          </v:shape>
          <o:OLEObject Type="Embed" ProgID="Equation.DSMT4" ShapeID="_x0000_i1030" DrawAspect="Content" ObjectID="_1762573981" r:id="rId64"/>
        </w:object>
      </w:r>
      <w:r w:rsidRPr="00A73A1E">
        <w:tab/>
        <w:t>(</w:t>
      </w:r>
      <w:r w:rsidR="005B0F53">
        <w:t>8</w:t>
      </w:r>
      <w:r w:rsidRPr="00A73A1E">
        <w:t>)</w:t>
      </w:r>
    </w:p>
    <w:p w14:paraId="4385D330" w14:textId="77777777" w:rsidR="003244CE" w:rsidRPr="00A73A1E" w:rsidRDefault="003244CE" w:rsidP="003244CE">
      <w:pPr>
        <w:pStyle w:val="Heading3"/>
      </w:pPr>
      <w:r w:rsidRPr="00A73A1E">
        <w:t>4.2.3</w:t>
      </w:r>
      <w:r w:rsidRPr="00A73A1E">
        <w:tab/>
        <w:t>Allowable RNSS receiver degradation and associated model parameters</w:t>
      </w:r>
    </w:p>
    <w:p w14:paraId="0003ADDC" w14:textId="2CBF4833" w:rsidR="003244CE" w:rsidRPr="00A73A1E" w:rsidRDefault="003244CE" w:rsidP="003244CE">
      <w:pPr>
        <w:rPr>
          <w:spacing w:val="-2"/>
        </w:rPr>
      </w:pPr>
      <w:r w:rsidRPr="00A73A1E">
        <w:rPr>
          <w:spacing w:val="-2"/>
        </w:rPr>
        <w:t xml:space="preserve">Table 9, taken from Recommendation </w:t>
      </w:r>
      <w:hyperlink r:id="rId65" w:history="1">
        <w:r w:rsidRPr="00A73A1E">
          <w:rPr>
            <w:rFonts w:eastAsia="Calibri" w:cs="Arial"/>
            <w:szCs w:val="22"/>
            <w:lang w:eastAsia="zh-CN"/>
          </w:rPr>
          <w:t>ITU-R M.2030</w:t>
        </w:r>
      </w:hyperlink>
      <w:r w:rsidRPr="00A73A1E">
        <w:rPr>
          <w:spacing w:val="-2"/>
        </w:rPr>
        <w:t>, Annex 1, Table 2, lists baseline model parameters and allowable degradation ratios</w:t>
      </w:r>
      <w:r w:rsidRPr="00A73A1E">
        <w:rPr>
          <w:spacing w:val="-2"/>
          <w:position w:val="6"/>
          <w:sz w:val="18"/>
        </w:rPr>
        <w:footnoteReference w:id="10"/>
      </w:r>
      <w:r w:rsidRPr="00A73A1E">
        <w:rPr>
          <w:spacing w:val="-2"/>
        </w:rPr>
        <w:t xml:space="preserve"> to be used for a preliminary evaluation of the potential for pulsed interference from an active spaceborne sensor (EESS or SRS) to an RNSS system or network operating in the 1 215-1 300 MHz band. RNSS receiver types in the table are taken from </w:t>
      </w:r>
      <w:r w:rsidRPr="00C04629">
        <w:rPr>
          <w:spacing w:val="-2"/>
        </w:rPr>
        <w:t xml:space="preserve">Recommendation </w:t>
      </w:r>
      <w:hyperlink r:id="rId66" w:history="1">
        <w:r w:rsidRPr="00C04629">
          <w:rPr>
            <w:rStyle w:val="Hyperlink"/>
            <w:rFonts w:eastAsia="SimSun"/>
            <w:color w:val="auto"/>
            <w:u w:val="none"/>
          </w:rPr>
          <w:t>ITU-R M.1902</w:t>
        </w:r>
      </w:hyperlink>
      <w:r w:rsidRPr="00C04629">
        <w:rPr>
          <w:spacing w:val="-2"/>
        </w:rPr>
        <w:t xml:space="preserve">. The listed baseline model pulse RFI model parameters, </w:t>
      </w:r>
      <w:r w:rsidRPr="00C04629">
        <w:rPr>
          <w:i/>
          <w:spacing w:val="-2"/>
        </w:rPr>
        <w:t>PDC</w:t>
      </w:r>
      <w:r w:rsidRPr="00C04629">
        <w:rPr>
          <w:spacing w:val="-2"/>
        </w:rPr>
        <w:t xml:space="preserve"> and </w:t>
      </w:r>
      <w:r w:rsidRPr="00C04629">
        <w:rPr>
          <w:i/>
          <w:spacing w:val="-2"/>
        </w:rPr>
        <w:t>R</w:t>
      </w:r>
      <w:r w:rsidRPr="00C04629">
        <w:rPr>
          <w:i/>
          <w:spacing w:val="-2"/>
          <w:vertAlign w:val="subscript"/>
        </w:rPr>
        <w:t>I</w:t>
      </w:r>
      <w:r w:rsidRPr="00C04629">
        <w:rPr>
          <w:spacing w:val="-2"/>
        </w:rPr>
        <w:t xml:space="preserve">, </w:t>
      </w:r>
      <w:r w:rsidRPr="00A73A1E">
        <w:rPr>
          <w:spacing w:val="-2"/>
        </w:rPr>
        <w:t xml:space="preserve">and continuous parameter, </w:t>
      </w:r>
      <w:r w:rsidRPr="00A73A1E">
        <w:rPr>
          <w:i/>
          <w:spacing w:val="-2"/>
        </w:rPr>
        <w:t>I</w:t>
      </w:r>
      <w:proofErr w:type="gramStart"/>
      <w:r w:rsidRPr="00C04629">
        <w:rPr>
          <w:iCs/>
          <w:spacing w:val="-2"/>
          <w:vertAlign w:val="subscript"/>
        </w:rPr>
        <w:t>0</w:t>
      </w:r>
      <w:r w:rsidRPr="00A73A1E">
        <w:rPr>
          <w:i/>
          <w:spacing w:val="-2"/>
          <w:vertAlign w:val="subscript"/>
        </w:rPr>
        <w:t>,WB</w:t>
      </w:r>
      <w:proofErr w:type="gramEnd"/>
      <w:r w:rsidRPr="00A73A1E">
        <w:rPr>
          <w:i/>
          <w:spacing w:val="-2"/>
        </w:rPr>
        <w:t>/N</w:t>
      </w:r>
      <w:r w:rsidRPr="00A73A1E">
        <w:rPr>
          <w:iCs/>
          <w:spacing w:val="-2"/>
          <w:vertAlign w:val="subscript"/>
        </w:rPr>
        <w:t>0</w:t>
      </w:r>
      <w:r w:rsidRPr="00A73A1E">
        <w:rPr>
          <w:spacing w:val="-2"/>
        </w:rPr>
        <w:t>, are to be used in the appropriate degradation ratio equation (either (7) or (</w:t>
      </w:r>
      <w:r w:rsidR="00987F2D">
        <w:rPr>
          <w:spacing w:val="-2"/>
        </w:rPr>
        <w:t>8</w:t>
      </w:r>
      <w:r w:rsidRPr="00A73A1E">
        <w:rPr>
          <w:spacing w:val="-2"/>
        </w:rPr>
        <w:t xml:space="preserve">) as determined by the </w:t>
      </w:r>
      <w:r w:rsidRPr="00A73A1E">
        <w:rPr>
          <w:i/>
          <w:iCs/>
          <w:spacing w:val="-2"/>
        </w:rPr>
        <w:t>N</w:t>
      </w:r>
      <w:r w:rsidRPr="00A73A1E">
        <w:rPr>
          <w:i/>
          <w:iCs/>
          <w:spacing w:val="-2"/>
          <w:vertAlign w:val="subscript"/>
        </w:rPr>
        <w:t>LIM</w:t>
      </w:r>
      <w:r w:rsidRPr="00A73A1E">
        <w:rPr>
          <w:spacing w:val="-2"/>
        </w:rPr>
        <w:t xml:space="preserve"> parameter). The equation result for the actual degradation ratio in dB (10</w:t>
      </w:r>
      <w:r w:rsidRPr="00A73A1E">
        <w:rPr>
          <w:spacing w:val="-2"/>
          <w:szCs w:val="24"/>
        </w:rPr>
        <w:sym w:font="Symbol" w:char="F0D7"/>
      </w:r>
      <w:r w:rsidRPr="00A73A1E">
        <w:rPr>
          <w:spacing w:val="-2"/>
        </w:rPr>
        <w:t>log</w:t>
      </w:r>
      <w:r w:rsidRPr="00A73A1E">
        <w:rPr>
          <w:spacing w:val="-2"/>
          <w:vertAlign w:val="subscript"/>
        </w:rPr>
        <w:t>10</w:t>
      </w:r>
      <w:r w:rsidRPr="00A73A1E">
        <w:rPr>
          <w:spacing w:val="-2"/>
        </w:rPr>
        <w:t>(</w:t>
      </w:r>
      <w:r w:rsidRPr="00A73A1E">
        <w:rPr>
          <w:i/>
          <w:spacing w:val="-2"/>
        </w:rPr>
        <w:t>N</w:t>
      </w:r>
      <w:proofErr w:type="gramStart"/>
      <w:r w:rsidRPr="00A73A1E">
        <w:rPr>
          <w:spacing w:val="-2"/>
          <w:vertAlign w:val="subscript"/>
        </w:rPr>
        <w:t>0</w:t>
      </w:r>
      <w:r w:rsidRPr="00A73A1E">
        <w:rPr>
          <w:i/>
          <w:spacing w:val="-2"/>
          <w:vertAlign w:val="subscript"/>
        </w:rPr>
        <w:t>,EFF</w:t>
      </w:r>
      <w:proofErr w:type="gramEnd"/>
      <w:r w:rsidRPr="00A73A1E">
        <w:rPr>
          <w:i/>
          <w:spacing w:val="-2"/>
          <w:vertAlign w:val="subscript"/>
        </w:rPr>
        <w:t>+Y</w:t>
      </w:r>
      <w:r w:rsidRPr="00A73A1E">
        <w:rPr>
          <w:i/>
          <w:spacing w:val="-2"/>
        </w:rPr>
        <w:t>/N</w:t>
      </w:r>
      <w:r w:rsidRPr="00A73A1E">
        <w:rPr>
          <w:spacing w:val="-2"/>
          <w:vertAlign w:val="subscript"/>
        </w:rPr>
        <w:t>0</w:t>
      </w:r>
      <w:r w:rsidRPr="00A73A1E">
        <w:rPr>
          <w:i/>
          <w:spacing w:val="-2"/>
          <w:vertAlign w:val="subscript"/>
        </w:rPr>
        <w:t>,EFF</w:t>
      </w:r>
      <w:r w:rsidRPr="00A73A1E">
        <w:rPr>
          <w:spacing w:val="-2"/>
        </w:rPr>
        <w:t>)) is compared to the allowable degradation ratio value in Table 9.</w:t>
      </w:r>
      <w:r w:rsidRPr="00A73A1E">
        <w:rPr>
          <w:spacing w:val="-2"/>
          <w:lang w:eastAsia="ja-JP"/>
        </w:rPr>
        <w:t xml:space="preserve"> </w:t>
      </w:r>
      <w:r w:rsidRPr="00A73A1E">
        <w:rPr>
          <w:spacing w:val="-2"/>
        </w:rPr>
        <w:t>If the allowable degradation ratio of an RNSS receiver in Table 9</w:t>
      </w:r>
      <w:r w:rsidRPr="00A73A1E">
        <w:rPr>
          <w:spacing w:val="-2"/>
          <w:lang w:eastAsia="ja-JP"/>
        </w:rPr>
        <w:t xml:space="preserve"> is exceeded</w:t>
      </w:r>
      <w:r w:rsidRPr="00A73A1E">
        <w:rPr>
          <w:spacing w:val="-2"/>
        </w:rPr>
        <w:t xml:space="preserve">, then a more detailed analysis of the impact of the pulsed interference </w:t>
      </w:r>
      <w:r w:rsidRPr="00A73A1E">
        <w:rPr>
          <w:spacing w:val="-2"/>
          <w:lang w:eastAsia="ja-JP"/>
        </w:rPr>
        <w:t>should be conducted</w:t>
      </w:r>
      <w:r w:rsidRPr="00A73A1E">
        <w:rPr>
          <w:spacing w:val="-2"/>
        </w:rPr>
        <w:t xml:space="preserve"> to determine whether or not the </w:t>
      </w:r>
      <w:r w:rsidRPr="00A73A1E">
        <w:rPr>
          <w:spacing w:val="-2"/>
          <w:lang w:eastAsia="ja-JP"/>
        </w:rPr>
        <w:t>pulsed</w:t>
      </w:r>
      <w:r w:rsidRPr="00A73A1E">
        <w:rPr>
          <w:spacing w:val="-2"/>
        </w:rPr>
        <w:t xml:space="preserve"> interference is acceptable to the victim RNSS receiver.</w:t>
      </w:r>
    </w:p>
    <w:p w14:paraId="28318719" w14:textId="77777777" w:rsidR="003244CE" w:rsidRPr="00A73A1E" w:rsidRDefault="003244CE" w:rsidP="003244CE">
      <w:r w:rsidRPr="00A73A1E">
        <w:t xml:space="preserve">Report </w:t>
      </w:r>
      <w:hyperlink r:id="rId67" w:history="1">
        <w:r w:rsidRPr="00A73A1E">
          <w:rPr>
            <w:rFonts w:eastAsia="Calibri" w:cs="Arial"/>
            <w:szCs w:val="22"/>
            <w:lang w:eastAsia="zh-CN"/>
          </w:rPr>
          <w:t>ITU-R M.2220</w:t>
        </w:r>
      </w:hyperlink>
      <w:r w:rsidRPr="00A73A1E">
        <w:t xml:space="preserve"> provides a methodology for computing received pulsed RFI model parameters, </w:t>
      </w:r>
      <w:r w:rsidRPr="00A73A1E">
        <w:rPr>
          <w:i/>
        </w:rPr>
        <w:t>PDC</w:t>
      </w:r>
      <w:r w:rsidRPr="00A73A1E">
        <w:t xml:space="preserve"> and </w:t>
      </w:r>
      <w:r w:rsidRPr="00A73A1E">
        <w:rPr>
          <w:i/>
        </w:rPr>
        <w:t>R</w:t>
      </w:r>
      <w:r w:rsidRPr="00A73A1E">
        <w:rPr>
          <w:i/>
          <w:vertAlign w:val="subscript"/>
        </w:rPr>
        <w:t>I</w:t>
      </w:r>
      <w:r w:rsidRPr="00A73A1E">
        <w:t xml:space="preserve"> for both baseline and new pulsed sources and background on the continuous parameter, </w:t>
      </w:r>
      <w:r w:rsidRPr="00A73A1E">
        <w:rPr>
          <w:i/>
        </w:rPr>
        <w:t>I</w:t>
      </w:r>
      <w:proofErr w:type="gramStart"/>
      <w:r w:rsidRPr="00A73A1E">
        <w:rPr>
          <w:iCs/>
          <w:vertAlign w:val="subscript"/>
        </w:rPr>
        <w:t>0</w:t>
      </w:r>
      <w:r w:rsidRPr="00A73A1E">
        <w:rPr>
          <w:i/>
          <w:vertAlign w:val="subscript"/>
        </w:rPr>
        <w:t>,WB</w:t>
      </w:r>
      <w:proofErr w:type="gramEnd"/>
      <w:r w:rsidRPr="00A73A1E">
        <w:rPr>
          <w:i/>
        </w:rPr>
        <w:t>/N</w:t>
      </w:r>
      <w:r w:rsidRPr="00A73A1E">
        <w:rPr>
          <w:iCs/>
          <w:vertAlign w:val="subscript"/>
        </w:rPr>
        <w:t>0</w:t>
      </w:r>
      <w:r w:rsidRPr="00A73A1E">
        <w:t xml:space="preserve">. Computation examples are given in </w:t>
      </w:r>
      <w:r>
        <w:t>§</w:t>
      </w:r>
      <w:r w:rsidRPr="00A73A1E">
        <w:t xml:space="preserve"> 4 of that Report.</w:t>
      </w:r>
    </w:p>
    <w:p w14:paraId="0F188A13" w14:textId="77777777" w:rsidR="003244CE" w:rsidRPr="00C04629" w:rsidRDefault="003244CE" w:rsidP="003244CE">
      <w:pPr>
        <w:pStyle w:val="TableNo"/>
        <w:rPr>
          <w:szCs w:val="24"/>
        </w:rPr>
      </w:pPr>
      <w:r w:rsidRPr="00C04629">
        <w:rPr>
          <w:szCs w:val="24"/>
        </w:rPr>
        <w:lastRenderedPageBreak/>
        <w:t>TABLE 9</w:t>
      </w:r>
    </w:p>
    <w:p w14:paraId="3B75C0D9" w14:textId="77777777" w:rsidR="003244CE" w:rsidRPr="00A73A1E" w:rsidRDefault="003244CE" w:rsidP="003244CE">
      <w:pPr>
        <w:pStyle w:val="Tabletitle"/>
      </w:pPr>
      <w:r w:rsidRPr="00A73A1E">
        <w:t xml:space="preserve">Baseline pulsed RFI model parameters and allowable degradation ratios for </w:t>
      </w:r>
      <w:r w:rsidRPr="00A73A1E">
        <w:br/>
        <w:t>RNSS receivers (space-to-Earth) operating in the band 1 215-1 300 MHz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06"/>
        <w:gridCol w:w="1332"/>
        <w:gridCol w:w="1419"/>
        <w:gridCol w:w="1274"/>
        <w:gridCol w:w="1419"/>
        <w:gridCol w:w="1989"/>
      </w:tblGrid>
      <w:tr w:rsidR="003244CE" w:rsidRPr="00A73A1E" w14:paraId="6FB28D5C" w14:textId="77777777" w:rsidTr="0031214F">
        <w:trPr>
          <w:jc w:val="center"/>
        </w:trPr>
        <w:tc>
          <w:tcPr>
            <w:tcW w:w="1144" w:type="pct"/>
            <w:vAlign w:val="center"/>
          </w:tcPr>
          <w:p w14:paraId="2F742108" w14:textId="77777777" w:rsidR="003244CE" w:rsidRPr="00A73A1E" w:rsidRDefault="003244CE" w:rsidP="009C40C0">
            <w:pPr>
              <w:pStyle w:val="Tablehead"/>
            </w:pPr>
            <w:r w:rsidRPr="00A73A1E">
              <w:t>Receiver type</w:t>
            </w:r>
          </w:p>
        </w:tc>
        <w:tc>
          <w:tcPr>
            <w:tcW w:w="691" w:type="pct"/>
            <w:vAlign w:val="center"/>
          </w:tcPr>
          <w:p w14:paraId="15240A1F" w14:textId="2DC558F5" w:rsidR="003244CE" w:rsidRPr="00A73A1E" w:rsidRDefault="003244CE" w:rsidP="009C40C0">
            <w:pPr>
              <w:pStyle w:val="Tablehead"/>
              <w:rPr>
                <w:lang w:eastAsia="ja-JP"/>
              </w:rPr>
            </w:pPr>
            <w:r w:rsidRPr="00A73A1E">
              <w:rPr>
                <w:i/>
                <w:iCs/>
              </w:rPr>
              <w:t>N</w:t>
            </w:r>
            <w:r w:rsidRPr="00A73A1E">
              <w:rPr>
                <w:i/>
                <w:iCs/>
                <w:vertAlign w:val="subscript"/>
              </w:rPr>
              <w:t>LIM</w:t>
            </w:r>
            <w:r w:rsidRPr="00A73A1E">
              <w:rPr>
                <w:lang w:eastAsia="ja-JP"/>
              </w:rPr>
              <w:br/>
            </w:r>
            <w:r w:rsidRPr="00A73A1E">
              <w:t>(unitless)</w:t>
            </w:r>
            <w:r w:rsidRPr="00A73A1E">
              <w:rPr>
                <w:lang w:eastAsia="ja-JP"/>
              </w:rPr>
              <w:t xml:space="preserve"> </w:t>
            </w:r>
            <w:r w:rsidRPr="0031214F">
              <w:rPr>
                <w:vertAlign w:val="superscript"/>
                <w:lang w:eastAsia="ja-JP"/>
              </w:rPr>
              <w:t>(1)</w:t>
            </w:r>
          </w:p>
        </w:tc>
        <w:tc>
          <w:tcPr>
            <w:tcW w:w="736" w:type="pct"/>
            <w:vAlign w:val="center"/>
          </w:tcPr>
          <w:p w14:paraId="22A5156A" w14:textId="1AA3AF6A" w:rsidR="003244CE" w:rsidRPr="00A73A1E" w:rsidRDefault="003244CE" w:rsidP="009C40C0">
            <w:pPr>
              <w:pStyle w:val="Tablehead"/>
              <w:rPr>
                <w:lang w:eastAsia="ja-JP"/>
              </w:rPr>
            </w:pPr>
            <w:r w:rsidRPr="00A73A1E">
              <w:t>Baseline PDC</w:t>
            </w:r>
            <w:r w:rsidRPr="00A73A1E">
              <w:rPr>
                <w:lang w:eastAsia="ja-JP"/>
              </w:rPr>
              <w:br/>
            </w:r>
            <w:r w:rsidRPr="00A73A1E">
              <w:t>(unitless)</w:t>
            </w:r>
            <w:r w:rsidRPr="00A73A1E">
              <w:rPr>
                <w:lang w:eastAsia="ja-JP"/>
              </w:rPr>
              <w:t xml:space="preserve"> </w:t>
            </w:r>
            <w:r w:rsidRPr="0031214F">
              <w:rPr>
                <w:vertAlign w:val="superscript"/>
                <w:lang w:eastAsia="ja-JP"/>
              </w:rPr>
              <w:t>(2)</w:t>
            </w:r>
          </w:p>
        </w:tc>
        <w:tc>
          <w:tcPr>
            <w:tcW w:w="661" w:type="pct"/>
            <w:vAlign w:val="center"/>
          </w:tcPr>
          <w:p w14:paraId="3233484B" w14:textId="6F890099" w:rsidR="003244CE" w:rsidRPr="00A73A1E" w:rsidRDefault="003244CE" w:rsidP="009C40C0">
            <w:pPr>
              <w:pStyle w:val="Tablehead"/>
              <w:rPr>
                <w:lang w:eastAsia="ja-JP"/>
              </w:rPr>
            </w:pPr>
            <w:r w:rsidRPr="00A73A1E">
              <w:t xml:space="preserve">Baseline </w:t>
            </w:r>
            <w:r w:rsidRPr="00A73A1E">
              <w:rPr>
                <w:i/>
                <w:iCs/>
              </w:rPr>
              <w:t>R</w:t>
            </w:r>
            <w:r w:rsidRPr="00A73A1E">
              <w:rPr>
                <w:i/>
                <w:iCs/>
                <w:vertAlign w:val="subscript"/>
              </w:rPr>
              <w:t>I</w:t>
            </w:r>
            <w:r w:rsidRPr="00A73A1E">
              <w:rPr>
                <w:lang w:eastAsia="ja-JP"/>
              </w:rPr>
              <w:br/>
            </w:r>
            <w:r w:rsidRPr="00A73A1E">
              <w:t>(unitless)</w:t>
            </w:r>
            <w:r w:rsidRPr="00A73A1E">
              <w:rPr>
                <w:lang w:eastAsia="ja-JP"/>
              </w:rPr>
              <w:t xml:space="preserve"> </w:t>
            </w:r>
            <w:r w:rsidRPr="0031214F">
              <w:rPr>
                <w:vertAlign w:val="superscript"/>
                <w:lang w:eastAsia="ja-JP"/>
              </w:rPr>
              <w:t>(2)</w:t>
            </w:r>
          </w:p>
        </w:tc>
        <w:tc>
          <w:tcPr>
            <w:tcW w:w="736" w:type="pct"/>
            <w:vAlign w:val="center"/>
          </w:tcPr>
          <w:p w14:paraId="74693557" w14:textId="77777777" w:rsidR="003244CE" w:rsidRPr="00A73A1E" w:rsidRDefault="003244CE" w:rsidP="009C40C0">
            <w:pPr>
              <w:pStyle w:val="Tablehead"/>
            </w:pPr>
            <w:r w:rsidRPr="00A73A1E">
              <w:t xml:space="preserve">Baseline </w:t>
            </w:r>
            <w:r w:rsidRPr="00A73A1E">
              <w:rPr>
                <w:i/>
                <w:iCs/>
              </w:rPr>
              <w:t>I</w:t>
            </w:r>
            <w:proofErr w:type="gramStart"/>
            <w:r w:rsidRPr="00A73A1E">
              <w:rPr>
                <w:vertAlign w:val="subscript"/>
              </w:rPr>
              <w:t>0</w:t>
            </w:r>
            <w:r w:rsidRPr="00A73A1E">
              <w:t>,</w:t>
            </w:r>
            <w:r w:rsidRPr="00A73A1E">
              <w:rPr>
                <w:i/>
                <w:iCs/>
                <w:vertAlign w:val="subscript"/>
              </w:rPr>
              <w:t>WB</w:t>
            </w:r>
            <w:proofErr w:type="gramEnd"/>
            <w:r w:rsidRPr="00A73A1E">
              <w:t>/</w:t>
            </w:r>
            <w:r w:rsidRPr="00A73A1E">
              <w:rPr>
                <w:i/>
                <w:iCs/>
              </w:rPr>
              <w:t>N</w:t>
            </w:r>
            <w:r w:rsidRPr="00A73A1E">
              <w:rPr>
                <w:vertAlign w:val="subscript"/>
              </w:rPr>
              <w:t>0</w:t>
            </w:r>
            <w:r w:rsidRPr="00A73A1E">
              <w:t xml:space="preserve"> ratio (unitless)</w:t>
            </w:r>
          </w:p>
        </w:tc>
        <w:tc>
          <w:tcPr>
            <w:tcW w:w="1032" w:type="pct"/>
            <w:vAlign w:val="center"/>
          </w:tcPr>
          <w:p w14:paraId="0330517B" w14:textId="22518FE2" w:rsidR="003244CE" w:rsidRPr="00A73A1E" w:rsidRDefault="003244CE" w:rsidP="009C40C0">
            <w:pPr>
              <w:pStyle w:val="Tablehead"/>
              <w:rPr>
                <w:lang w:eastAsia="ja-JP"/>
              </w:rPr>
            </w:pPr>
            <w:r w:rsidRPr="00A73A1E">
              <w:t xml:space="preserve">Allowable degradation ratio for pulsed sources </w:t>
            </w:r>
            <w:r w:rsidR="0031214F" w:rsidRPr="0031214F">
              <w:rPr>
                <w:vertAlign w:val="superscript"/>
                <w:lang w:eastAsia="ja-JP"/>
              </w:rPr>
              <w:t>(3)</w:t>
            </w:r>
            <w:r w:rsidR="0031214F" w:rsidRPr="00A73A1E">
              <w:t xml:space="preserve"> </w:t>
            </w:r>
            <w:r w:rsidRPr="00A73A1E">
              <w:t>(dB)</w:t>
            </w:r>
            <w:r w:rsidRPr="00A73A1E">
              <w:rPr>
                <w:lang w:eastAsia="ja-JP"/>
              </w:rPr>
              <w:t xml:space="preserve"> </w:t>
            </w:r>
          </w:p>
        </w:tc>
      </w:tr>
      <w:tr w:rsidR="003244CE" w:rsidRPr="00A73A1E" w14:paraId="54D3DBCC" w14:textId="77777777" w:rsidTr="0031214F">
        <w:trPr>
          <w:jc w:val="center"/>
        </w:trPr>
        <w:tc>
          <w:tcPr>
            <w:tcW w:w="1144" w:type="pct"/>
          </w:tcPr>
          <w:p w14:paraId="2FE5ECAD" w14:textId="77777777" w:rsidR="003244CE" w:rsidRPr="00A73A1E" w:rsidRDefault="003244CE" w:rsidP="002C7DA3">
            <w:pPr>
              <w:pStyle w:val="Tabletext"/>
              <w:jc w:val="left"/>
              <w:rPr>
                <w:lang w:eastAsia="ja-JP"/>
              </w:rPr>
            </w:pPr>
            <w:r w:rsidRPr="00A73A1E">
              <w:t>SBAS</w:t>
            </w:r>
            <w:r w:rsidRPr="00A73A1E">
              <w:rPr>
                <w:position w:val="6"/>
                <w:sz w:val="14"/>
                <w:szCs w:val="14"/>
              </w:rPr>
              <w:footnoteReference w:id="11"/>
            </w:r>
            <w:r w:rsidRPr="00A73A1E">
              <w:t xml:space="preserve"> ground reference receiver</w:t>
            </w:r>
            <w:r w:rsidRPr="00A73A1E">
              <w:rPr>
                <w:lang w:eastAsia="ja-JP"/>
              </w:rPr>
              <w:t xml:space="preserve"> </w:t>
            </w:r>
          </w:p>
        </w:tc>
        <w:tc>
          <w:tcPr>
            <w:tcW w:w="691" w:type="pct"/>
            <w:vAlign w:val="center"/>
          </w:tcPr>
          <w:p w14:paraId="22B562C5" w14:textId="77777777" w:rsidR="003244CE" w:rsidRPr="00A73A1E" w:rsidRDefault="003244CE" w:rsidP="009C40C0">
            <w:pPr>
              <w:pStyle w:val="Tabletext"/>
              <w:jc w:val="center"/>
            </w:pPr>
            <w:r w:rsidRPr="00A73A1E">
              <w:t>1</w:t>
            </w:r>
          </w:p>
        </w:tc>
        <w:tc>
          <w:tcPr>
            <w:tcW w:w="736" w:type="pct"/>
            <w:vAlign w:val="center"/>
          </w:tcPr>
          <w:p w14:paraId="239AE2B4" w14:textId="776C58A9" w:rsidR="003244CE" w:rsidRPr="00A73A1E" w:rsidRDefault="003244CE" w:rsidP="009C40C0">
            <w:pPr>
              <w:pStyle w:val="Tabletext"/>
              <w:jc w:val="center"/>
            </w:pPr>
            <w:r w:rsidRPr="00A73A1E">
              <w:t>0.0793</w:t>
            </w:r>
            <w:r w:rsidR="0031214F">
              <w:t xml:space="preserve"> </w:t>
            </w:r>
            <w:r w:rsidRPr="0031214F">
              <w:rPr>
                <w:vertAlign w:val="superscript"/>
              </w:rPr>
              <w:t>(4)</w:t>
            </w:r>
          </w:p>
        </w:tc>
        <w:tc>
          <w:tcPr>
            <w:tcW w:w="661" w:type="pct"/>
            <w:vAlign w:val="center"/>
          </w:tcPr>
          <w:p w14:paraId="07F7E3A4" w14:textId="77777777" w:rsidR="003244CE" w:rsidRPr="00A73A1E" w:rsidRDefault="003244CE" w:rsidP="009C40C0">
            <w:pPr>
              <w:pStyle w:val="Tabletext"/>
              <w:jc w:val="center"/>
            </w:pPr>
            <w:r w:rsidRPr="00A73A1E">
              <w:t>0</w:t>
            </w:r>
          </w:p>
        </w:tc>
        <w:tc>
          <w:tcPr>
            <w:tcW w:w="736" w:type="pct"/>
            <w:vAlign w:val="center"/>
          </w:tcPr>
          <w:p w14:paraId="4BE4D2A9" w14:textId="77777777" w:rsidR="003244CE" w:rsidRPr="00A73A1E" w:rsidRDefault="003244CE" w:rsidP="009C40C0">
            <w:pPr>
              <w:pStyle w:val="Tabletext"/>
              <w:jc w:val="center"/>
            </w:pPr>
            <w:r w:rsidRPr="00A73A1E">
              <w:t>0.3925</w:t>
            </w:r>
          </w:p>
        </w:tc>
        <w:tc>
          <w:tcPr>
            <w:tcW w:w="1032" w:type="pct"/>
            <w:vAlign w:val="center"/>
          </w:tcPr>
          <w:p w14:paraId="24726D32" w14:textId="77777777" w:rsidR="003244CE" w:rsidRPr="00A73A1E" w:rsidRDefault="003244CE" w:rsidP="009C40C0">
            <w:pPr>
              <w:pStyle w:val="Tabletext"/>
              <w:jc w:val="center"/>
            </w:pPr>
            <w:r w:rsidRPr="00A73A1E">
              <w:t>0.2</w:t>
            </w:r>
          </w:p>
        </w:tc>
      </w:tr>
      <w:tr w:rsidR="003244CE" w:rsidRPr="00A73A1E" w14:paraId="65DE183F" w14:textId="77777777" w:rsidTr="0031214F">
        <w:trPr>
          <w:jc w:val="center"/>
        </w:trPr>
        <w:tc>
          <w:tcPr>
            <w:tcW w:w="1144" w:type="pct"/>
          </w:tcPr>
          <w:p w14:paraId="5EA409A2" w14:textId="77777777" w:rsidR="003244CE" w:rsidRPr="00A73A1E" w:rsidRDefault="003244CE" w:rsidP="002C7DA3">
            <w:pPr>
              <w:pStyle w:val="Tabletext"/>
              <w:jc w:val="left"/>
            </w:pPr>
            <w:r w:rsidRPr="00A73A1E">
              <w:t>High-precision</w:t>
            </w:r>
            <w:r w:rsidRPr="00A73A1E">
              <w:rPr>
                <w:lang w:eastAsia="ja-JP"/>
              </w:rPr>
              <w:br/>
            </w:r>
            <w:r w:rsidRPr="00A73A1E">
              <w:t>semi-codeless receiver</w:t>
            </w:r>
            <w:r w:rsidRPr="00A73A1E">
              <w:rPr>
                <w:lang w:eastAsia="ja-JP"/>
              </w:rPr>
              <w:t xml:space="preserve"> </w:t>
            </w:r>
          </w:p>
        </w:tc>
        <w:tc>
          <w:tcPr>
            <w:tcW w:w="691" w:type="pct"/>
            <w:vAlign w:val="center"/>
          </w:tcPr>
          <w:p w14:paraId="5612749A" w14:textId="77777777" w:rsidR="003244CE" w:rsidRPr="00A73A1E" w:rsidRDefault="003244CE" w:rsidP="009C40C0">
            <w:pPr>
              <w:pStyle w:val="Tabletext"/>
              <w:jc w:val="center"/>
            </w:pPr>
            <w:r w:rsidRPr="00A73A1E">
              <w:t>2</w:t>
            </w:r>
          </w:p>
        </w:tc>
        <w:tc>
          <w:tcPr>
            <w:tcW w:w="736" w:type="pct"/>
            <w:vAlign w:val="center"/>
          </w:tcPr>
          <w:p w14:paraId="1D100F3D" w14:textId="514ECABB" w:rsidR="003244CE" w:rsidRPr="00A73A1E" w:rsidRDefault="003244CE" w:rsidP="009C40C0">
            <w:pPr>
              <w:pStyle w:val="Tabletext"/>
              <w:jc w:val="center"/>
            </w:pPr>
            <w:r w:rsidRPr="00A73A1E">
              <w:t>0.0765</w:t>
            </w:r>
            <w:r w:rsidR="0031214F">
              <w:t xml:space="preserve"> </w:t>
            </w:r>
            <w:r w:rsidRPr="0031214F">
              <w:rPr>
                <w:vertAlign w:val="superscript"/>
              </w:rPr>
              <w:t>(4)</w:t>
            </w:r>
          </w:p>
        </w:tc>
        <w:tc>
          <w:tcPr>
            <w:tcW w:w="661" w:type="pct"/>
            <w:vAlign w:val="center"/>
          </w:tcPr>
          <w:p w14:paraId="0C256218" w14:textId="77777777" w:rsidR="003244CE" w:rsidRPr="00A73A1E" w:rsidRDefault="003244CE" w:rsidP="009C40C0">
            <w:pPr>
              <w:pStyle w:val="Tabletext"/>
              <w:jc w:val="center"/>
            </w:pPr>
            <w:r w:rsidRPr="00A73A1E">
              <w:t>0</w:t>
            </w:r>
          </w:p>
        </w:tc>
        <w:tc>
          <w:tcPr>
            <w:tcW w:w="736" w:type="pct"/>
            <w:vAlign w:val="center"/>
          </w:tcPr>
          <w:p w14:paraId="1130D869" w14:textId="77777777" w:rsidR="003244CE" w:rsidRPr="00A73A1E" w:rsidRDefault="003244CE" w:rsidP="009C40C0">
            <w:pPr>
              <w:pStyle w:val="Tabletext"/>
              <w:jc w:val="center"/>
            </w:pPr>
            <w:r w:rsidRPr="00A73A1E">
              <w:t>0.3983</w:t>
            </w:r>
          </w:p>
        </w:tc>
        <w:tc>
          <w:tcPr>
            <w:tcW w:w="1032" w:type="pct"/>
            <w:vAlign w:val="center"/>
          </w:tcPr>
          <w:p w14:paraId="19EAF5A2" w14:textId="77777777" w:rsidR="003244CE" w:rsidRPr="00A73A1E" w:rsidRDefault="003244CE" w:rsidP="009C40C0">
            <w:pPr>
              <w:pStyle w:val="Tabletext"/>
              <w:jc w:val="center"/>
            </w:pPr>
            <w:r w:rsidRPr="00A73A1E">
              <w:t>0.2</w:t>
            </w:r>
          </w:p>
        </w:tc>
      </w:tr>
      <w:tr w:rsidR="003244CE" w:rsidRPr="00A73A1E" w14:paraId="0157739F" w14:textId="77777777" w:rsidTr="0031214F">
        <w:trPr>
          <w:jc w:val="center"/>
        </w:trPr>
        <w:tc>
          <w:tcPr>
            <w:tcW w:w="1144" w:type="pct"/>
          </w:tcPr>
          <w:p w14:paraId="14552545" w14:textId="77777777" w:rsidR="003244CE" w:rsidRPr="00A73A1E" w:rsidRDefault="003244CE" w:rsidP="002C7DA3">
            <w:pPr>
              <w:pStyle w:val="Tabletext"/>
              <w:jc w:val="left"/>
              <w:rPr>
                <w:lang w:eastAsia="zh-CN"/>
              </w:rPr>
            </w:pPr>
            <w:r w:rsidRPr="00A73A1E">
              <w:rPr>
                <w:lang w:eastAsia="zh-CN"/>
              </w:rPr>
              <w:t>Air navigation receiver (FDMA)</w:t>
            </w:r>
          </w:p>
        </w:tc>
        <w:tc>
          <w:tcPr>
            <w:tcW w:w="691" w:type="pct"/>
            <w:vAlign w:val="center"/>
          </w:tcPr>
          <w:p w14:paraId="21838FA0" w14:textId="77777777" w:rsidR="003244CE" w:rsidRPr="00A73A1E" w:rsidRDefault="003244CE" w:rsidP="009C40C0">
            <w:pPr>
              <w:pStyle w:val="Tabletext"/>
              <w:jc w:val="center"/>
            </w:pPr>
            <w:r w:rsidRPr="00A73A1E">
              <w:t>1</w:t>
            </w:r>
          </w:p>
        </w:tc>
        <w:tc>
          <w:tcPr>
            <w:tcW w:w="736" w:type="pct"/>
            <w:vAlign w:val="center"/>
          </w:tcPr>
          <w:p w14:paraId="4F29B282" w14:textId="55FF1826" w:rsidR="003244CE" w:rsidRPr="00A73A1E" w:rsidRDefault="003244CE" w:rsidP="009C40C0">
            <w:pPr>
              <w:pStyle w:val="Tabletext"/>
              <w:jc w:val="center"/>
            </w:pPr>
            <w:r w:rsidRPr="00A73A1E">
              <w:t>0.1327</w:t>
            </w:r>
            <w:r w:rsidR="0031214F">
              <w:t xml:space="preserve"> </w:t>
            </w:r>
            <w:r w:rsidRPr="0031214F">
              <w:rPr>
                <w:vertAlign w:val="superscript"/>
              </w:rPr>
              <w:t>(4)</w:t>
            </w:r>
          </w:p>
        </w:tc>
        <w:tc>
          <w:tcPr>
            <w:tcW w:w="661" w:type="pct"/>
            <w:vAlign w:val="center"/>
          </w:tcPr>
          <w:p w14:paraId="0DB206B6" w14:textId="77777777" w:rsidR="003244CE" w:rsidRPr="00A73A1E" w:rsidRDefault="003244CE" w:rsidP="009C40C0">
            <w:pPr>
              <w:pStyle w:val="Tabletext"/>
              <w:jc w:val="center"/>
            </w:pPr>
            <w:r w:rsidRPr="00A73A1E">
              <w:t>0</w:t>
            </w:r>
          </w:p>
        </w:tc>
        <w:tc>
          <w:tcPr>
            <w:tcW w:w="736" w:type="pct"/>
            <w:vAlign w:val="center"/>
          </w:tcPr>
          <w:p w14:paraId="01B833A9" w14:textId="77777777" w:rsidR="003244CE" w:rsidRPr="00A73A1E" w:rsidRDefault="003244CE" w:rsidP="009C40C0">
            <w:pPr>
              <w:pStyle w:val="Tabletext"/>
              <w:jc w:val="center"/>
            </w:pPr>
            <w:r w:rsidRPr="00A73A1E">
              <w:t>0.455</w:t>
            </w:r>
          </w:p>
        </w:tc>
        <w:tc>
          <w:tcPr>
            <w:tcW w:w="1032" w:type="pct"/>
            <w:vAlign w:val="center"/>
          </w:tcPr>
          <w:p w14:paraId="12A28F12" w14:textId="77777777" w:rsidR="003244CE" w:rsidRPr="00A73A1E" w:rsidRDefault="003244CE" w:rsidP="009C40C0">
            <w:pPr>
              <w:pStyle w:val="Tabletext"/>
              <w:jc w:val="center"/>
            </w:pPr>
            <w:r w:rsidRPr="00A73A1E">
              <w:t>0.1</w:t>
            </w:r>
          </w:p>
        </w:tc>
      </w:tr>
      <w:tr w:rsidR="003244CE" w:rsidRPr="00A73A1E" w14:paraId="78FCECE4" w14:textId="77777777" w:rsidTr="0031214F">
        <w:trPr>
          <w:jc w:val="center"/>
        </w:trPr>
        <w:tc>
          <w:tcPr>
            <w:tcW w:w="1144" w:type="pct"/>
            <w:tcBorders>
              <w:bottom w:val="single" w:sz="4" w:space="0" w:color="auto"/>
            </w:tcBorders>
          </w:tcPr>
          <w:p w14:paraId="12FB4938" w14:textId="77777777" w:rsidR="003244CE" w:rsidRPr="00A73A1E" w:rsidRDefault="003244CE" w:rsidP="002C7DA3">
            <w:pPr>
              <w:pStyle w:val="Tabletext"/>
              <w:jc w:val="left"/>
              <w:rPr>
                <w:lang w:eastAsia="zh-CN"/>
              </w:rPr>
            </w:pPr>
            <w:r w:rsidRPr="00A73A1E">
              <w:rPr>
                <w:lang w:eastAsia="zh-CN"/>
              </w:rPr>
              <w:t>Air navigation receiver (FDMA)</w:t>
            </w:r>
          </w:p>
        </w:tc>
        <w:tc>
          <w:tcPr>
            <w:tcW w:w="691" w:type="pct"/>
            <w:tcBorders>
              <w:bottom w:val="single" w:sz="4" w:space="0" w:color="auto"/>
            </w:tcBorders>
            <w:vAlign w:val="center"/>
          </w:tcPr>
          <w:p w14:paraId="4D34B47F" w14:textId="77777777" w:rsidR="003244CE" w:rsidRPr="00A73A1E" w:rsidRDefault="003244CE" w:rsidP="009C40C0">
            <w:pPr>
              <w:pStyle w:val="Tabletext"/>
              <w:jc w:val="center"/>
            </w:pPr>
            <w:r w:rsidRPr="00A73A1E">
              <w:t>1</w:t>
            </w:r>
          </w:p>
        </w:tc>
        <w:tc>
          <w:tcPr>
            <w:tcW w:w="736" w:type="pct"/>
            <w:tcBorders>
              <w:bottom w:val="single" w:sz="4" w:space="0" w:color="auto"/>
            </w:tcBorders>
            <w:vAlign w:val="center"/>
          </w:tcPr>
          <w:p w14:paraId="79FD5898" w14:textId="73A68B44" w:rsidR="003244CE" w:rsidRPr="00A73A1E" w:rsidRDefault="003244CE" w:rsidP="009C40C0">
            <w:pPr>
              <w:pStyle w:val="Tabletext"/>
              <w:jc w:val="center"/>
            </w:pPr>
            <w:r w:rsidRPr="00A73A1E">
              <w:t>0.1723</w:t>
            </w:r>
            <w:r w:rsidR="0031214F">
              <w:t xml:space="preserve"> </w:t>
            </w:r>
            <w:r w:rsidRPr="004644EA">
              <w:rPr>
                <w:vertAlign w:val="superscript"/>
              </w:rPr>
              <w:t>(5)</w:t>
            </w:r>
          </w:p>
        </w:tc>
        <w:tc>
          <w:tcPr>
            <w:tcW w:w="661" w:type="pct"/>
            <w:tcBorders>
              <w:bottom w:val="single" w:sz="4" w:space="0" w:color="auto"/>
            </w:tcBorders>
            <w:vAlign w:val="center"/>
          </w:tcPr>
          <w:p w14:paraId="073CA952" w14:textId="77777777" w:rsidR="003244CE" w:rsidRPr="00A73A1E" w:rsidRDefault="003244CE" w:rsidP="009C40C0">
            <w:pPr>
              <w:pStyle w:val="Tabletext"/>
              <w:jc w:val="center"/>
            </w:pPr>
            <w:r w:rsidRPr="00A73A1E">
              <w:t>0</w:t>
            </w:r>
          </w:p>
        </w:tc>
        <w:tc>
          <w:tcPr>
            <w:tcW w:w="736" w:type="pct"/>
            <w:tcBorders>
              <w:bottom w:val="single" w:sz="4" w:space="0" w:color="auto"/>
            </w:tcBorders>
            <w:vAlign w:val="center"/>
          </w:tcPr>
          <w:p w14:paraId="3D386A0F" w14:textId="77777777" w:rsidR="003244CE" w:rsidRPr="00A73A1E" w:rsidRDefault="003244CE" w:rsidP="009C40C0">
            <w:pPr>
              <w:pStyle w:val="Tabletext"/>
              <w:jc w:val="center"/>
            </w:pPr>
            <w:r w:rsidRPr="00A73A1E">
              <w:t>0.455</w:t>
            </w:r>
          </w:p>
        </w:tc>
        <w:tc>
          <w:tcPr>
            <w:tcW w:w="1032" w:type="pct"/>
            <w:tcBorders>
              <w:bottom w:val="single" w:sz="4" w:space="0" w:color="auto"/>
            </w:tcBorders>
            <w:vAlign w:val="center"/>
          </w:tcPr>
          <w:p w14:paraId="38498EED" w14:textId="77777777" w:rsidR="003244CE" w:rsidRPr="00A73A1E" w:rsidRDefault="003244CE" w:rsidP="009C40C0">
            <w:pPr>
              <w:pStyle w:val="Tabletext"/>
              <w:jc w:val="center"/>
            </w:pPr>
            <w:r w:rsidRPr="00A73A1E">
              <w:t>0.1</w:t>
            </w:r>
          </w:p>
        </w:tc>
      </w:tr>
      <w:tr w:rsidR="003244CE" w:rsidRPr="00A73A1E" w14:paraId="46BD6297" w14:textId="77777777" w:rsidTr="009C40C0">
        <w:trPr>
          <w:jc w:val="center"/>
        </w:trPr>
        <w:tc>
          <w:tcPr>
            <w:tcW w:w="5000" w:type="pct"/>
            <w:gridSpan w:val="6"/>
            <w:tcBorders>
              <w:top w:val="single" w:sz="4" w:space="0" w:color="auto"/>
              <w:left w:val="nil"/>
              <w:bottom w:val="nil"/>
              <w:right w:val="nil"/>
            </w:tcBorders>
          </w:tcPr>
          <w:p w14:paraId="1A18DC05" w14:textId="1D60EE0D" w:rsidR="003244CE" w:rsidRPr="00A73A1E" w:rsidRDefault="003244CE" w:rsidP="00C04629">
            <w:pPr>
              <w:pStyle w:val="Tabletext"/>
              <w:ind w:left="284" w:hanging="284"/>
              <w:rPr>
                <w:sz w:val="28"/>
                <w:szCs w:val="24"/>
                <w:lang w:eastAsia="ja-JP"/>
              </w:rPr>
            </w:pPr>
            <w:r w:rsidRPr="00A73A1E">
              <w:t>*</w:t>
            </w:r>
            <w:r w:rsidRPr="00A73A1E">
              <w:tab/>
              <w:t xml:space="preserve">Parameter values for other RNSS receiver types are yet to be developed. The degradation ratio equations in </w:t>
            </w:r>
            <w:r w:rsidR="00C04629">
              <w:t>§</w:t>
            </w:r>
            <w:r w:rsidRPr="00A73A1E">
              <w:t xml:space="preserve"> 4.2 of this </w:t>
            </w:r>
            <w:r w:rsidR="00C04629">
              <w:t>A</w:t>
            </w:r>
            <w:r w:rsidRPr="00A73A1E">
              <w:t>nnex can be used to predict the general nature of the pulsed interference effects on RNSS receiver types for which no parameters are listed.</w:t>
            </w:r>
          </w:p>
        </w:tc>
      </w:tr>
      <w:tr w:rsidR="003244CE" w:rsidRPr="00A73A1E" w14:paraId="5F464D5D" w14:textId="77777777" w:rsidTr="009C40C0">
        <w:trPr>
          <w:jc w:val="center"/>
        </w:trPr>
        <w:tc>
          <w:tcPr>
            <w:tcW w:w="5000" w:type="pct"/>
            <w:gridSpan w:val="6"/>
            <w:tcBorders>
              <w:top w:val="nil"/>
              <w:left w:val="nil"/>
              <w:bottom w:val="nil"/>
              <w:right w:val="nil"/>
            </w:tcBorders>
          </w:tcPr>
          <w:p w14:paraId="6A7C0C3A" w14:textId="3EE9B8CC" w:rsidR="003244CE" w:rsidRPr="00A73A1E" w:rsidRDefault="004644EA" w:rsidP="009C40C0">
            <w:pPr>
              <w:pStyle w:val="Tabletext"/>
            </w:pPr>
            <w:r w:rsidRPr="004644EA">
              <w:rPr>
                <w:vertAlign w:val="superscript"/>
              </w:rPr>
              <w:t>(</w:t>
            </w:r>
            <w:r>
              <w:rPr>
                <w:vertAlign w:val="superscript"/>
              </w:rPr>
              <w:t>1</w:t>
            </w:r>
            <w:r w:rsidRPr="004644EA">
              <w:rPr>
                <w:vertAlign w:val="superscript"/>
              </w:rPr>
              <w:t>)</w:t>
            </w:r>
            <w:r w:rsidRPr="004644EA">
              <w:tab/>
            </w:r>
            <w:r w:rsidR="003244CE" w:rsidRPr="00A73A1E">
              <w:t xml:space="preserve">A receiver with pulse blanking has an </w:t>
            </w:r>
            <w:r w:rsidR="003244CE" w:rsidRPr="00A73A1E">
              <w:rPr>
                <w:i/>
                <w:iCs/>
              </w:rPr>
              <w:t>N</w:t>
            </w:r>
            <w:r w:rsidR="003244CE" w:rsidRPr="00A73A1E">
              <w:rPr>
                <w:i/>
                <w:iCs/>
                <w:vertAlign w:val="subscript"/>
              </w:rPr>
              <w:t>LIM</w:t>
            </w:r>
            <w:r w:rsidR="003244CE" w:rsidRPr="00A73A1E">
              <w:t xml:space="preserve"> value of zero.</w:t>
            </w:r>
          </w:p>
          <w:p w14:paraId="33EDF0F3" w14:textId="42348781" w:rsidR="003244CE" w:rsidRPr="00A73A1E" w:rsidRDefault="004644EA" w:rsidP="009C40C0">
            <w:pPr>
              <w:pStyle w:val="Tabletext"/>
              <w:rPr>
                <w:lang w:eastAsia="ja-JP"/>
              </w:rPr>
            </w:pPr>
            <w:r w:rsidRPr="004644EA">
              <w:rPr>
                <w:vertAlign w:val="superscript"/>
              </w:rPr>
              <w:t>(</w:t>
            </w:r>
            <w:r>
              <w:rPr>
                <w:vertAlign w:val="superscript"/>
              </w:rPr>
              <w:t>2</w:t>
            </w:r>
            <w:r w:rsidRPr="004644EA">
              <w:rPr>
                <w:vertAlign w:val="superscript"/>
              </w:rPr>
              <w:t>)</w:t>
            </w:r>
            <w:r w:rsidRPr="004644EA">
              <w:tab/>
            </w:r>
            <w:r w:rsidR="003244CE" w:rsidRPr="00A73A1E">
              <w:rPr>
                <w:lang w:eastAsia="ja-JP"/>
              </w:rPr>
              <w:t xml:space="preserve">The parameters for the baseline pulsed sources given in this </w:t>
            </w:r>
            <w:r w:rsidR="00987F2D" w:rsidRPr="00A73A1E">
              <w:rPr>
                <w:lang w:eastAsia="ja-JP"/>
              </w:rPr>
              <w:t xml:space="preserve">Table </w:t>
            </w:r>
            <w:r w:rsidR="003244CE" w:rsidRPr="00A73A1E">
              <w:rPr>
                <w:lang w:eastAsia="ja-JP"/>
              </w:rPr>
              <w:t xml:space="preserve">are considered to be the worst-case values. It is expected that, in most actual environments, there may be various types of pulsed interference sources with lower individual values for PDC and the therefore the aggregate baseline pulsed interference PDC would be less than given in the </w:t>
            </w:r>
            <w:r w:rsidR="00C04629">
              <w:rPr>
                <w:lang w:eastAsia="ja-JP"/>
              </w:rPr>
              <w:t>T</w:t>
            </w:r>
            <w:r w:rsidR="003244CE" w:rsidRPr="00A73A1E">
              <w:rPr>
                <w:lang w:eastAsia="ja-JP"/>
              </w:rPr>
              <w:t>able. These actual conditions should be taken into account when performing more detailed analyses.</w:t>
            </w:r>
          </w:p>
          <w:p w14:paraId="4A4178FD" w14:textId="63236CA6" w:rsidR="003244CE" w:rsidRPr="00A73A1E" w:rsidRDefault="004644EA" w:rsidP="009C40C0">
            <w:pPr>
              <w:pStyle w:val="Tabletext"/>
              <w:rPr>
                <w:lang w:eastAsia="ja-JP"/>
              </w:rPr>
            </w:pPr>
            <w:r w:rsidRPr="004644EA">
              <w:rPr>
                <w:vertAlign w:val="superscript"/>
              </w:rPr>
              <w:t>(</w:t>
            </w:r>
            <w:r>
              <w:rPr>
                <w:vertAlign w:val="superscript"/>
              </w:rPr>
              <w:t>3</w:t>
            </w:r>
            <w:r w:rsidRPr="004644EA">
              <w:rPr>
                <w:vertAlign w:val="superscript"/>
              </w:rPr>
              <w:t>)</w:t>
            </w:r>
            <w:r w:rsidRPr="004644EA">
              <w:tab/>
            </w:r>
            <w:r w:rsidR="003244CE" w:rsidRPr="00A73A1E">
              <w:rPr>
                <w:szCs w:val="24"/>
              </w:rPr>
              <w:t>The allowable degradation ratio for new pulsed sources not in the baseline RFI condition requires consideration of the cumulative impact on an RNSS receiver from multiple pulsed sources that simultaneously illuminate the RNSS receiver.</w:t>
            </w:r>
            <w:r w:rsidR="003244CE" w:rsidRPr="00A73A1E">
              <w:rPr>
                <w:lang w:eastAsia="ja-JP"/>
              </w:rPr>
              <w:t xml:space="preserve"> </w:t>
            </w:r>
          </w:p>
          <w:p w14:paraId="4CCB4C2A" w14:textId="5EBF1368" w:rsidR="003244CE" w:rsidRPr="00A73A1E" w:rsidRDefault="004644EA" w:rsidP="009C40C0">
            <w:pPr>
              <w:pStyle w:val="Tabletext"/>
            </w:pPr>
            <w:r w:rsidRPr="004644EA">
              <w:rPr>
                <w:vertAlign w:val="superscript"/>
              </w:rPr>
              <w:t>(</w:t>
            </w:r>
            <w:r>
              <w:rPr>
                <w:vertAlign w:val="superscript"/>
              </w:rPr>
              <w:t>4</w:t>
            </w:r>
            <w:r w:rsidRPr="004644EA">
              <w:rPr>
                <w:vertAlign w:val="superscript"/>
              </w:rPr>
              <w:t>)</w:t>
            </w:r>
            <w:r w:rsidRPr="004644EA">
              <w:tab/>
            </w:r>
            <w:r w:rsidR="003244CE" w:rsidRPr="00A73A1E">
              <w:t>Based on a 1-</w:t>
            </w:r>
            <w:r w:rsidR="007E359E" w:rsidRPr="00A73A1E">
              <w:rPr>
                <w:szCs w:val="22"/>
                <w:lang w:eastAsia="ja-JP"/>
              </w:rPr>
              <w:t>µs</w:t>
            </w:r>
            <w:r w:rsidR="003244CE" w:rsidRPr="00A73A1E">
              <w:t xml:space="preserve"> overload recovery time.</w:t>
            </w:r>
          </w:p>
          <w:p w14:paraId="2E35C153" w14:textId="7453C02D" w:rsidR="003244CE" w:rsidRPr="00A73A1E" w:rsidRDefault="004644EA" w:rsidP="009C40C0">
            <w:pPr>
              <w:pStyle w:val="Tabletext"/>
              <w:rPr>
                <w:szCs w:val="24"/>
              </w:rPr>
            </w:pPr>
            <w:r w:rsidRPr="004644EA">
              <w:rPr>
                <w:vertAlign w:val="superscript"/>
              </w:rPr>
              <w:t>(5)</w:t>
            </w:r>
            <w:r w:rsidRPr="004644EA">
              <w:tab/>
            </w:r>
            <w:r w:rsidR="003244CE" w:rsidRPr="00A73A1E">
              <w:t>Based on a 30-</w:t>
            </w:r>
            <w:r w:rsidR="007E359E" w:rsidRPr="00A73A1E">
              <w:rPr>
                <w:szCs w:val="22"/>
                <w:lang w:eastAsia="ja-JP"/>
              </w:rPr>
              <w:t>µs</w:t>
            </w:r>
            <w:r w:rsidR="003244CE" w:rsidRPr="00A73A1E">
              <w:t xml:space="preserve"> overload recovery time.</w:t>
            </w:r>
          </w:p>
        </w:tc>
      </w:tr>
    </w:tbl>
    <w:p w14:paraId="2712DC2D" w14:textId="77777777" w:rsidR="003244CE" w:rsidRPr="00A73A1E" w:rsidRDefault="003244CE" w:rsidP="003244CE">
      <w:pPr>
        <w:pStyle w:val="Tablefin"/>
      </w:pPr>
      <w:bookmarkStart w:id="28" w:name="_Toc102659323"/>
      <w:bookmarkStart w:id="29" w:name="_Toc102659451"/>
      <w:bookmarkStart w:id="30" w:name="_Toc102659472"/>
    </w:p>
    <w:p w14:paraId="199579B3" w14:textId="77777777" w:rsidR="003244CE" w:rsidRPr="00A73A1E" w:rsidRDefault="003244CE" w:rsidP="003244CE">
      <w:pPr>
        <w:pStyle w:val="Heading1"/>
        <w:rPr>
          <w:lang w:eastAsia="ja-JP"/>
        </w:rPr>
      </w:pPr>
      <w:r w:rsidRPr="00A73A1E">
        <w:t>5</w:t>
      </w:r>
      <w:r w:rsidRPr="00A73A1E">
        <w:tab/>
        <w:t>Summary</w:t>
      </w:r>
      <w:bookmarkEnd w:id="28"/>
      <w:bookmarkEnd w:id="29"/>
      <w:bookmarkEnd w:id="30"/>
    </w:p>
    <w:p w14:paraId="166A8938" w14:textId="77777777" w:rsidR="003244CE" w:rsidRPr="00A73A1E" w:rsidRDefault="003244CE" w:rsidP="003244CE">
      <w:pPr>
        <w:rPr>
          <w:spacing w:val="-2"/>
        </w:rPr>
      </w:pPr>
      <w:r w:rsidRPr="00A73A1E">
        <w:rPr>
          <w:spacing w:val="-2"/>
        </w:rPr>
        <w:t>Annex 1 presents representative characteristics of spaceborne active SAR</w:t>
      </w:r>
      <w:r w:rsidRPr="00A73A1E">
        <w:rPr>
          <w:i/>
          <w:spacing w:val="-2"/>
        </w:rPr>
        <w:t xml:space="preserve"> </w:t>
      </w:r>
      <w:r w:rsidRPr="00A73A1E">
        <w:rPr>
          <w:spacing w:val="-2"/>
        </w:rPr>
        <w:t xml:space="preserve">sensors and characteristics </w:t>
      </w:r>
      <w:r w:rsidRPr="00C04629">
        <w:rPr>
          <w:spacing w:val="-2"/>
        </w:rPr>
        <w:t xml:space="preserve">and pulsed RFI protection criteria for RNSS earth station receivers based on Recommendation </w:t>
      </w:r>
      <w:hyperlink r:id="rId68" w:history="1">
        <w:r w:rsidRPr="00C04629">
          <w:rPr>
            <w:rStyle w:val="Hyperlink"/>
            <w:rFonts w:eastAsia="SimSun"/>
            <w:color w:val="auto"/>
            <w:u w:val="none"/>
          </w:rPr>
          <w:t>ITU-R M.1902</w:t>
        </w:r>
      </w:hyperlink>
      <w:r w:rsidRPr="00C04629">
        <w:rPr>
          <w:spacing w:val="-2"/>
        </w:rPr>
        <w:t xml:space="preserve">. Annex 1 also includes in § 4 the methodology of Recommendation </w:t>
      </w:r>
      <w:hyperlink r:id="rId69" w:history="1">
        <w:r w:rsidRPr="00C04629">
          <w:rPr>
            <w:rFonts w:eastAsia="Calibri" w:cs="Arial"/>
            <w:szCs w:val="22"/>
            <w:lang w:eastAsia="zh-CN"/>
          </w:rPr>
          <w:t>ITU-R M.2030</w:t>
        </w:r>
      </w:hyperlink>
      <w:r w:rsidRPr="00C04629">
        <w:rPr>
          <w:spacing w:val="-2"/>
        </w:rPr>
        <w:t xml:space="preserve"> for evaluating pulsed RFI from spaceborne active sensors to RNSS receivers along with pulsed RFI </w:t>
      </w:r>
      <w:r w:rsidRPr="00A73A1E">
        <w:rPr>
          <w:spacing w:val="-2"/>
        </w:rPr>
        <w:t>protection criteria for RNSS receivers.</w:t>
      </w:r>
      <w:r w:rsidRPr="00A73A1E">
        <w:rPr>
          <w:spacing w:val="-2"/>
          <w:position w:val="6"/>
          <w:sz w:val="18"/>
        </w:rPr>
        <w:footnoteReference w:id="12"/>
      </w:r>
      <w:r w:rsidRPr="00A73A1E">
        <w:rPr>
          <w:spacing w:val="-2"/>
        </w:rPr>
        <w:t xml:space="preserve"> </w:t>
      </w:r>
    </w:p>
    <w:p w14:paraId="101EDDDF" w14:textId="77777777" w:rsidR="003244CE" w:rsidRPr="00A73A1E" w:rsidRDefault="003244CE" w:rsidP="003244CE"/>
    <w:p w14:paraId="0B327427" w14:textId="77777777" w:rsidR="003244CE" w:rsidRPr="00A73A1E" w:rsidRDefault="003244CE" w:rsidP="003244CE">
      <w:pPr>
        <w:overflowPunct/>
        <w:autoSpaceDE/>
        <w:autoSpaceDN/>
        <w:adjustRightInd/>
        <w:spacing w:before="0"/>
        <w:textAlignment w:val="auto"/>
        <w:rPr>
          <w:caps/>
          <w:sz w:val="28"/>
        </w:rPr>
      </w:pPr>
      <w:r w:rsidRPr="00A73A1E">
        <w:rPr>
          <w:caps/>
          <w:sz w:val="28"/>
        </w:rPr>
        <w:br w:type="page"/>
      </w:r>
    </w:p>
    <w:p w14:paraId="4A8DFE8A" w14:textId="40A7D0CD" w:rsidR="003244CE" w:rsidRPr="00A73A1E" w:rsidRDefault="003244CE" w:rsidP="00C04629">
      <w:pPr>
        <w:pStyle w:val="AnnexNoTitle"/>
      </w:pPr>
      <w:r w:rsidRPr="00A73A1E">
        <w:lastRenderedPageBreak/>
        <w:t>Annex 2</w:t>
      </w:r>
      <w:r w:rsidR="00C04629">
        <w:br/>
      </w:r>
      <w:r w:rsidR="00C04629">
        <w:br/>
      </w:r>
      <w:r w:rsidRPr="00A73A1E">
        <w:t xml:space="preserve">Analytic method application examples of evaluating the potential for one spaceborne synthetic aperture radar pulsed radio frequency interference to RNSS Earth station receivers operating in the 1 215-1 300 MHz band </w:t>
      </w:r>
    </w:p>
    <w:p w14:paraId="446ADB4F" w14:textId="50978551" w:rsidR="003244CE" w:rsidRPr="00A73A1E" w:rsidRDefault="00C04629" w:rsidP="003244CE">
      <w:pPr>
        <w:pStyle w:val="Title3"/>
      </w:pPr>
      <w:r w:rsidRPr="00A73A1E">
        <w:t>TABLE OF CONTENTS</w:t>
      </w:r>
    </w:p>
    <w:p w14:paraId="526C441C" w14:textId="77777777" w:rsidR="003244CE" w:rsidRPr="00A73A1E" w:rsidRDefault="003244CE" w:rsidP="003244CE">
      <w:pPr>
        <w:pStyle w:val="toc0"/>
      </w:pPr>
      <w:r w:rsidRPr="00A73A1E">
        <w:tab/>
        <w:t>Page</w:t>
      </w:r>
    </w:p>
    <w:p w14:paraId="1E7DBAEB" w14:textId="4C598161" w:rsidR="003244CE" w:rsidRPr="00A73A1E" w:rsidRDefault="003244CE" w:rsidP="003244CE">
      <w:pPr>
        <w:pStyle w:val="TOC1"/>
        <w:rPr>
          <w:rFonts w:asciiTheme="minorHAnsi" w:eastAsiaTheme="minorEastAsia" w:hAnsiTheme="minorHAnsi" w:cstheme="minorBidi"/>
          <w:noProof/>
          <w:sz w:val="22"/>
          <w:szCs w:val="22"/>
          <w:lang w:eastAsia="en-GB"/>
        </w:rPr>
      </w:pPr>
      <w:r w:rsidRPr="00A73A1E">
        <w:fldChar w:fldCharType="begin"/>
      </w:r>
      <w:r w:rsidRPr="00A73A1E">
        <w:instrText xml:space="preserve"> TOC \h \z \t "Heading 1,1,Heading 2,2" </w:instrText>
      </w:r>
      <w:r w:rsidRPr="00A73A1E">
        <w:fldChar w:fldCharType="separate"/>
      </w:r>
      <w:hyperlink w:anchor="_Toc102659473" w:history="1">
        <w:r w:rsidRPr="00A73A1E">
          <w:rPr>
            <w:rStyle w:val="Hyperlink"/>
            <w:noProof/>
          </w:rPr>
          <w:t>1</w:t>
        </w:r>
        <w:r w:rsidRPr="00A73A1E">
          <w:rPr>
            <w:rFonts w:asciiTheme="minorHAnsi" w:eastAsiaTheme="minorEastAsia" w:hAnsiTheme="minorHAnsi" w:cstheme="minorBidi"/>
            <w:noProof/>
            <w:sz w:val="22"/>
            <w:szCs w:val="22"/>
            <w:lang w:eastAsia="en-GB"/>
          </w:rPr>
          <w:tab/>
        </w:r>
        <w:r w:rsidRPr="00A73A1E">
          <w:rPr>
            <w:rStyle w:val="Hyperlink"/>
            <w:noProof/>
          </w:rPr>
          <w:t>Introduction</w:t>
        </w:r>
        <w:r w:rsidRPr="00A73A1E">
          <w:rPr>
            <w:noProof/>
            <w:webHidden/>
          </w:rPr>
          <w:tab/>
        </w:r>
        <w:r w:rsidRPr="00A73A1E">
          <w:rPr>
            <w:noProof/>
            <w:webHidden/>
          </w:rPr>
          <w:tab/>
        </w:r>
        <w:r w:rsidRPr="00A73A1E">
          <w:rPr>
            <w:noProof/>
            <w:webHidden/>
          </w:rPr>
          <w:fldChar w:fldCharType="begin"/>
        </w:r>
        <w:r w:rsidRPr="00A73A1E">
          <w:rPr>
            <w:noProof/>
            <w:webHidden/>
          </w:rPr>
          <w:instrText xml:space="preserve"> PAGEREF _Toc102659473 \h </w:instrText>
        </w:r>
        <w:r w:rsidRPr="00A73A1E">
          <w:rPr>
            <w:noProof/>
            <w:webHidden/>
          </w:rPr>
        </w:r>
        <w:r w:rsidRPr="00A73A1E">
          <w:rPr>
            <w:noProof/>
            <w:webHidden/>
          </w:rPr>
          <w:fldChar w:fldCharType="separate"/>
        </w:r>
        <w:r w:rsidR="00F7477C">
          <w:rPr>
            <w:noProof/>
            <w:webHidden/>
          </w:rPr>
          <w:t>20</w:t>
        </w:r>
        <w:r w:rsidRPr="00A73A1E">
          <w:rPr>
            <w:noProof/>
            <w:webHidden/>
          </w:rPr>
          <w:fldChar w:fldCharType="end"/>
        </w:r>
      </w:hyperlink>
    </w:p>
    <w:p w14:paraId="58788D8E" w14:textId="495ABAE5" w:rsidR="003244CE" w:rsidRPr="00A73A1E" w:rsidRDefault="00F7477C" w:rsidP="003244CE">
      <w:pPr>
        <w:pStyle w:val="TOC1"/>
        <w:rPr>
          <w:rFonts w:asciiTheme="minorHAnsi" w:eastAsiaTheme="minorEastAsia" w:hAnsiTheme="minorHAnsi" w:cstheme="minorBidi"/>
          <w:noProof/>
          <w:sz w:val="22"/>
          <w:szCs w:val="22"/>
          <w:lang w:eastAsia="en-GB"/>
        </w:rPr>
      </w:pPr>
      <w:hyperlink w:anchor="_Toc102659474" w:history="1">
        <w:r w:rsidR="003244CE" w:rsidRPr="00A73A1E">
          <w:rPr>
            <w:rStyle w:val="Hyperlink"/>
            <w:noProof/>
          </w:rPr>
          <w:t>2</w:t>
        </w:r>
        <w:r w:rsidR="003244CE" w:rsidRPr="00A73A1E">
          <w:rPr>
            <w:rFonts w:asciiTheme="minorHAnsi" w:eastAsiaTheme="minorEastAsia" w:hAnsiTheme="minorHAnsi" w:cstheme="minorBidi"/>
            <w:noProof/>
            <w:sz w:val="22"/>
            <w:szCs w:val="22"/>
            <w:lang w:eastAsia="en-GB"/>
          </w:rPr>
          <w:tab/>
        </w:r>
        <w:r w:rsidR="003244CE" w:rsidRPr="00A73A1E">
          <w:rPr>
            <w:rStyle w:val="Hyperlink"/>
            <w:noProof/>
          </w:rPr>
          <w:t>RNSS received power damage and saturation level example calculations</w:t>
        </w:r>
        <w:r w:rsidR="003244CE" w:rsidRPr="00A73A1E">
          <w:rPr>
            <w:noProof/>
            <w:webHidden/>
          </w:rPr>
          <w:tab/>
        </w:r>
        <w:r w:rsidR="003244CE" w:rsidRPr="00A73A1E">
          <w:rPr>
            <w:noProof/>
            <w:webHidden/>
          </w:rPr>
          <w:tab/>
        </w:r>
        <w:r w:rsidR="003244CE" w:rsidRPr="00A73A1E">
          <w:rPr>
            <w:noProof/>
            <w:webHidden/>
          </w:rPr>
          <w:fldChar w:fldCharType="begin"/>
        </w:r>
        <w:r w:rsidR="003244CE" w:rsidRPr="00A73A1E">
          <w:rPr>
            <w:noProof/>
            <w:webHidden/>
          </w:rPr>
          <w:instrText xml:space="preserve"> PAGEREF _Toc102659474 \h </w:instrText>
        </w:r>
        <w:r w:rsidR="003244CE" w:rsidRPr="00A73A1E">
          <w:rPr>
            <w:noProof/>
            <w:webHidden/>
          </w:rPr>
        </w:r>
        <w:r w:rsidR="003244CE" w:rsidRPr="00A73A1E">
          <w:rPr>
            <w:noProof/>
            <w:webHidden/>
          </w:rPr>
          <w:fldChar w:fldCharType="separate"/>
        </w:r>
        <w:r>
          <w:rPr>
            <w:noProof/>
            <w:webHidden/>
          </w:rPr>
          <w:t>21</w:t>
        </w:r>
        <w:r w:rsidR="003244CE" w:rsidRPr="00A73A1E">
          <w:rPr>
            <w:noProof/>
            <w:webHidden/>
          </w:rPr>
          <w:fldChar w:fldCharType="end"/>
        </w:r>
      </w:hyperlink>
    </w:p>
    <w:p w14:paraId="23DB65AB" w14:textId="569EFC60" w:rsidR="003244CE" w:rsidRPr="00A73A1E" w:rsidRDefault="00F7477C" w:rsidP="003244CE">
      <w:pPr>
        <w:pStyle w:val="TOC1"/>
        <w:rPr>
          <w:rFonts w:asciiTheme="minorHAnsi" w:eastAsiaTheme="minorEastAsia" w:hAnsiTheme="minorHAnsi" w:cstheme="minorBidi"/>
          <w:noProof/>
          <w:sz w:val="22"/>
          <w:szCs w:val="22"/>
          <w:lang w:eastAsia="en-GB"/>
        </w:rPr>
      </w:pPr>
      <w:hyperlink w:anchor="_Toc102659475" w:history="1">
        <w:r w:rsidR="003244CE" w:rsidRPr="00A73A1E">
          <w:rPr>
            <w:rStyle w:val="Hyperlink"/>
            <w:noProof/>
          </w:rPr>
          <w:t>3</w:t>
        </w:r>
        <w:r w:rsidR="003244CE" w:rsidRPr="00A73A1E">
          <w:rPr>
            <w:rFonts w:asciiTheme="minorHAnsi" w:eastAsiaTheme="minorEastAsia" w:hAnsiTheme="minorHAnsi" w:cstheme="minorBidi"/>
            <w:noProof/>
            <w:sz w:val="22"/>
            <w:szCs w:val="22"/>
            <w:lang w:eastAsia="en-GB"/>
          </w:rPr>
          <w:tab/>
        </w:r>
        <w:r w:rsidR="003244CE" w:rsidRPr="00A73A1E">
          <w:rPr>
            <w:rStyle w:val="Hyperlink"/>
            <w:noProof/>
          </w:rPr>
          <w:t xml:space="preserve">RNSS receiver performance degradation calculation examples using </w:t>
        </w:r>
        <w:r w:rsidR="003244CE" w:rsidRPr="00A73A1E">
          <w:rPr>
            <w:rStyle w:val="Hyperlink"/>
            <w:noProof/>
          </w:rPr>
          <w:br/>
          <w:t>the analytic evaluation method</w:t>
        </w:r>
        <w:r w:rsidR="003244CE" w:rsidRPr="00A73A1E">
          <w:rPr>
            <w:noProof/>
            <w:webHidden/>
          </w:rPr>
          <w:tab/>
        </w:r>
        <w:r w:rsidR="003244CE" w:rsidRPr="00A73A1E">
          <w:rPr>
            <w:noProof/>
            <w:webHidden/>
          </w:rPr>
          <w:tab/>
        </w:r>
        <w:r w:rsidR="003244CE" w:rsidRPr="00A73A1E">
          <w:rPr>
            <w:noProof/>
            <w:webHidden/>
          </w:rPr>
          <w:fldChar w:fldCharType="begin"/>
        </w:r>
        <w:r w:rsidR="003244CE" w:rsidRPr="00A73A1E">
          <w:rPr>
            <w:noProof/>
            <w:webHidden/>
          </w:rPr>
          <w:instrText xml:space="preserve"> PAGEREF _Toc102659475 \h </w:instrText>
        </w:r>
        <w:r w:rsidR="003244CE" w:rsidRPr="00A73A1E">
          <w:rPr>
            <w:noProof/>
            <w:webHidden/>
          </w:rPr>
        </w:r>
        <w:r w:rsidR="003244CE" w:rsidRPr="00A73A1E">
          <w:rPr>
            <w:noProof/>
            <w:webHidden/>
          </w:rPr>
          <w:fldChar w:fldCharType="separate"/>
        </w:r>
        <w:r>
          <w:rPr>
            <w:noProof/>
            <w:webHidden/>
          </w:rPr>
          <w:t>23</w:t>
        </w:r>
        <w:r w:rsidR="003244CE" w:rsidRPr="00A73A1E">
          <w:rPr>
            <w:noProof/>
            <w:webHidden/>
          </w:rPr>
          <w:fldChar w:fldCharType="end"/>
        </w:r>
      </w:hyperlink>
    </w:p>
    <w:p w14:paraId="32D805DF" w14:textId="69DCD7B9" w:rsidR="003244CE" w:rsidRPr="00A73A1E" w:rsidRDefault="00F7477C" w:rsidP="003244CE">
      <w:pPr>
        <w:pStyle w:val="TOC2"/>
        <w:rPr>
          <w:rFonts w:asciiTheme="minorHAnsi" w:eastAsiaTheme="minorEastAsia" w:hAnsiTheme="minorHAnsi" w:cstheme="minorBidi"/>
          <w:noProof/>
          <w:sz w:val="22"/>
          <w:szCs w:val="22"/>
          <w:lang w:eastAsia="en-GB"/>
        </w:rPr>
      </w:pPr>
      <w:hyperlink w:anchor="_Toc102659476" w:history="1">
        <w:r w:rsidR="003244CE" w:rsidRPr="00A73A1E">
          <w:rPr>
            <w:rStyle w:val="Hyperlink"/>
            <w:noProof/>
          </w:rPr>
          <w:t>3.1</w:t>
        </w:r>
        <w:r w:rsidR="003244CE" w:rsidRPr="00A73A1E">
          <w:rPr>
            <w:rFonts w:asciiTheme="minorHAnsi" w:eastAsiaTheme="minorEastAsia" w:hAnsiTheme="minorHAnsi" w:cstheme="minorBidi"/>
            <w:noProof/>
            <w:sz w:val="22"/>
            <w:szCs w:val="22"/>
            <w:lang w:eastAsia="en-GB"/>
          </w:rPr>
          <w:tab/>
        </w:r>
        <w:r w:rsidR="003244CE" w:rsidRPr="00A73A1E">
          <w:rPr>
            <w:rStyle w:val="Hyperlink"/>
            <w:noProof/>
          </w:rPr>
          <w:t>SBAS ground reference receiver pulsed RFI evaluation case</w:t>
        </w:r>
        <w:r w:rsidR="003244CE" w:rsidRPr="00A73A1E">
          <w:rPr>
            <w:noProof/>
            <w:webHidden/>
          </w:rPr>
          <w:tab/>
        </w:r>
        <w:r w:rsidR="003244CE" w:rsidRPr="00A73A1E">
          <w:rPr>
            <w:noProof/>
            <w:webHidden/>
          </w:rPr>
          <w:tab/>
        </w:r>
        <w:r w:rsidR="003244CE" w:rsidRPr="00A73A1E">
          <w:rPr>
            <w:noProof/>
            <w:webHidden/>
          </w:rPr>
          <w:fldChar w:fldCharType="begin"/>
        </w:r>
        <w:r w:rsidR="003244CE" w:rsidRPr="00A73A1E">
          <w:rPr>
            <w:noProof/>
            <w:webHidden/>
          </w:rPr>
          <w:instrText xml:space="preserve"> PAGEREF _Toc102659476 \h </w:instrText>
        </w:r>
        <w:r w:rsidR="003244CE" w:rsidRPr="00A73A1E">
          <w:rPr>
            <w:noProof/>
            <w:webHidden/>
          </w:rPr>
        </w:r>
        <w:r w:rsidR="003244CE" w:rsidRPr="00A73A1E">
          <w:rPr>
            <w:noProof/>
            <w:webHidden/>
          </w:rPr>
          <w:fldChar w:fldCharType="separate"/>
        </w:r>
        <w:r>
          <w:rPr>
            <w:noProof/>
            <w:webHidden/>
          </w:rPr>
          <w:t>23</w:t>
        </w:r>
        <w:r w:rsidR="003244CE" w:rsidRPr="00A73A1E">
          <w:rPr>
            <w:noProof/>
            <w:webHidden/>
          </w:rPr>
          <w:fldChar w:fldCharType="end"/>
        </w:r>
      </w:hyperlink>
    </w:p>
    <w:p w14:paraId="2466110F" w14:textId="132D97F8" w:rsidR="003244CE" w:rsidRPr="00A73A1E" w:rsidRDefault="00F7477C" w:rsidP="003244CE">
      <w:pPr>
        <w:pStyle w:val="TOC2"/>
        <w:rPr>
          <w:rFonts w:asciiTheme="minorHAnsi" w:eastAsiaTheme="minorEastAsia" w:hAnsiTheme="minorHAnsi" w:cstheme="minorBidi"/>
          <w:noProof/>
          <w:sz w:val="22"/>
          <w:szCs w:val="22"/>
          <w:lang w:eastAsia="en-GB"/>
        </w:rPr>
      </w:pPr>
      <w:hyperlink w:anchor="_Toc102659477" w:history="1">
        <w:r w:rsidR="003244CE" w:rsidRPr="00A73A1E">
          <w:rPr>
            <w:rStyle w:val="Hyperlink"/>
            <w:noProof/>
          </w:rPr>
          <w:t>3.2</w:t>
        </w:r>
        <w:r w:rsidR="003244CE" w:rsidRPr="00A73A1E">
          <w:rPr>
            <w:rFonts w:asciiTheme="minorHAnsi" w:eastAsiaTheme="minorEastAsia" w:hAnsiTheme="minorHAnsi" w:cstheme="minorBidi"/>
            <w:noProof/>
            <w:sz w:val="22"/>
            <w:szCs w:val="22"/>
            <w:lang w:eastAsia="en-GB"/>
          </w:rPr>
          <w:tab/>
        </w:r>
        <w:r w:rsidR="003244CE" w:rsidRPr="00A73A1E">
          <w:rPr>
            <w:rStyle w:val="Hyperlink"/>
            <w:noProof/>
          </w:rPr>
          <w:t>GLONASS receiver pulsed RFI evaluation cases</w:t>
        </w:r>
        <w:r w:rsidR="003244CE" w:rsidRPr="00A73A1E">
          <w:rPr>
            <w:noProof/>
            <w:webHidden/>
          </w:rPr>
          <w:tab/>
        </w:r>
        <w:r w:rsidR="003244CE" w:rsidRPr="00A73A1E">
          <w:rPr>
            <w:noProof/>
            <w:webHidden/>
          </w:rPr>
          <w:tab/>
        </w:r>
        <w:r w:rsidR="003244CE" w:rsidRPr="00A73A1E">
          <w:rPr>
            <w:noProof/>
            <w:webHidden/>
          </w:rPr>
          <w:fldChar w:fldCharType="begin"/>
        </w:r>
        <w:r w:rsidR="003244CE" w:rsidRPr="00A73A1E">
          <w:rPr>
            <w:noProof/>
            <w:webHidden/>
          </w:rPr>
          <w:instrText xml:space="preserve"> PAGEREF _Toc102659477 \h </w:instrText>
        </w:r>
        <w:r w:rsidR="003244CE" w:rsidRPr="00A73A1E">
          <w:rPr>
            <w:noProof/>
            <w:webHidden/>
          </w:rPr>
        </w:r>
        <w:r w:rsidR="003244CE" w:rsidRPr="00A73A1E">
          <w:rPr>
            <w:noProof/>
            <w:webHidden/>
          </w:rPr>
          <w:fldChar w:fldCharType="separate"/>
        </w:r>
        <w:r>
          <w:rPr>
            <w:noProof/>
            <w:webHidden/>
          </w:rPr>
          <w:t>25</w:t>
        </w:r>
        <w:r w:rsidR="003244CE" w:rsidRPr="00A73A1E">
          <w:rPr>
            <w:noProof/>
            <w:webHidden/>
          </w:rPr>
          <w:fldChar w:fldCharType="end"/>
        </w:r>
      </w:hyperlink>
    </w:p>
    <w:p w14:paraId="7AA92624" w14:textId="4739FDD6" w:rsidR="003244CE" w:rsidRPr="00A73A1E" w:rsidRDefault="00F7477C" w:rsidP="003244CE">
      <w:pPr>
        <w:pStyle w:val="TOC1"/>
        <w:rPr>
          <w:rFonts w:asciiTheme="minorHAnsi" w:eastAsiaTheme="minorEastAsia" w:hAnsiTheme="minorHAnsi" w:cstheme="minorBidi"/>
          <w:noProof/>
          <w:sz w:val="22"/>
          <w:szCs w:val="22"/>
          <w:lang w:eastAsia="en-GB"/>
        </w:rPr>
      </w:pPr>
      <w:hyperlink w:anchor="_Toc102659478" w:history="1">
        <w:r w:rsidR="003244CE" w:rsidRPr="00A73A1E">
          <w:rPr>
            <w:rStyle w:val="Hyperlink"/>
            <w:noProof/>
          </w:rPr>
          <w:t>4</w:t>
        </w:r>
        <w:r w:rsidR="003244CE" w:rsidRPr="00A73A1E">
          <w:rPr>
            <w:rFonts w:asciiTheme="minorHAnsi" w:eastAsiaTheme="minorEastAsia" w:hAnsiTheme="minorHAnsi" w:cstheme="minorBidi"/>
            <w:noProof/>
            <w:sz w:val="22"/>
            <w:szCs w:val="22"/>
            <w:lang w:eastAsia="en-GB"/>
          </w:rPr>
          <w:tab/>
        </w:r>
        <w:r w:rsidR="003244CE" w:rsidRPr="00A73A1E">
          <w:rPr>
            <w:rStyle w:val="Hyperlink"/>
            <w:noProof/>
          </w:rPr>
          <w:t>Summary</w:t>
        </w:r>
        <w:r w:rsidR="003244CE" w:rsidRPr="00A73A1E">
          <w:rPr>
            <w:noProof/>
            <w:webHidden/>
          </w:rPr>
          <w:tab/>
        </w:r>
        <w:r w:rsidR="003244CE" w:rsidRPr="00A73A1E">
          <w:rPr>
            <w:noProof/>
            <w:webHidden/>
          </w:rPr>
          <w:tab/>
        </w:r>
        <w:r w:rsidR="003244CE" w:rsidRPr="00A73A1E">
          <w:rPr>
            <w:noProof/>
            <w:webHidden/>
          </w:rPr>
          <w:fldChar w:fldCharType="begin"/>
        </w:r>
        <w:r w:rsidR="003244CE" w:rsidRPr="00A73A1E">
          <w:rPr>
            <w:noProof/>
            <w:webHidden/>
          </w:rPr>
          <w:instrText xml:space="preserve"> PAGEREF _Toc102659478 \h </w:instrText>
        </w:r>
        <w:r w:rsidR="003244CE" w:rsidRPr="00A73A1E">
          <w:rPr>
            <w:noProof/>
            <w:webHidden/>
          </w:rPr>
        </w:r>
        <w:r w:rsidR="003244CE" w:rsidRPr="00A73A1E">
          <w:rPr>
            <w:noProof/>
            <w:webHidden/>
          </w:rPr>
          <w:fldChar w:fldCharType="separate"/>
        </w:r>
        <w:r>
          <w:rPr>
            <w:noProof/>
            <w:webHidden/>
          </w:rPr>
          <w:t>29</w:t>
        </w:r>
        <w:r w:rsidR="003244CE" w:rsidRPr="00A73A1E">
          <w:rPr>
            <w:noProof/>
            <w:webHidden/>
          </w:rPr>
          <w:fldChar w:fldCharType="end"/>
        </w:r>
      </w:hyperlink>
    </w:p>
    <w:p w14:paraId="46292E09" w14:textId="77777777" w:rsidR="003244CE" w:rsidRPr="00A73A1E" w:rsidRDefault="003244CE" w:rsidP="003244CE">
      <w:pPr>
        <w:pStyle w:val="TOC1"/>
      </w:pPr>
      <w:r w:rsidRPr="00A73A1E">
        <w:fldChar w:fldCharType="end"/>
      </w:r>
    </w:p>
    <w:p w14:paraId="34D7EBF5" w14:textId="77777777" w:rsidR="003244CE" w:rsidRPr="00A73A1E" w:rsidRDefault="003244CE" w:rsidP="003244CE">
      <w:pPr>
        <w:pStyle w:val="Heading1"/>
      </w:pPr>
      <w:bookmarkStart w:id="31" w:name="_Toc102659473"/>
      <w:r w:rsidRPr="00A73A1E">
        <w:t>1</w:t>
      </w:r>
      <w:r w:rsidRPr="00A73A1E">
        <w:tab/>
        <w:t>Introduction</w:t>
      </w:r>
      <w:bookmarkEnd w:id="31"/>
    </w:p>
    <w:p w14:paraId="5A83E3EE" w14:textId="77777777" w:rsidR="003244CE" w:rsidRPr="00A73A1E" w:rsidRDefault="003244CE" w:rsidP="003244CE">
      <w:pPr>
        <w:rPr>
          <w:spacing w:val="-2"/>
          <w:szCs w:val="24"/>
        </w:rPr>
      </w:pPr>
      <w:r w:rsidRPr="00A73A1E">
        <w:rPr>
          <w:spacing w:val="-2"/>
          <w:szCs w:val="24"/>
        </w:rPr>
        <w:t xml:space="preserve">The 1 215-1 300 MHz frequency band is allocated to the radionavigation-satellite service (RNSS) and is used by several systems including the </w:t>
      </w:r>
      <w:proofErr w:type="spellStart"/>
      <w:r w:rsidRPr="00A73A1E">
        <w:rPr>
          <w:spacing w:val="-2"/>
          <w:szCs w:val="24"/>
        </w:rPr>
        <w:t>Navstar</w:t>
      </w:r>
      <w:proofErr w:type="spellEnd"/>
      <w:r w:rsidRPr="00A73A1E">
        <w:rPr>
          <w:spacing w:val="-2"/>
          <w:szCs w:val="24"/>
        </w:rPr>
        <w:t xml:space="preserve"> Global Positioning System (GPS), the Global Navigation Satellite System (GLONASS-M), Galileo, QZSS, and COMPASS. The 1 215-1 300 MHz band is allocated on a primary basis to the EESS (active) for spaceborne active microwave sensors.</w:t>
      </w:r>
      <w:r>
        <w:rPr>
          <w:spacing w:val="-2"/>
          <w:szCs w:val="24"/>
        </w:rPr>
        <w:t xml:space="preserve"> </w:t>
      </w:r>
      <w:r w:rsidRPr="00A73A1E">
        <w:rPr>
          <w:spacing w:val="-2"/>
          <w:szCs w:val="24"/>
        </w:rPr>
        <w:t xml:space="preserve">According to RR No. </w:t>
      </w:r>
      <w:r w:rsidRPr="00A73A1E">
        <w:rPr>
          <w:b/>
          <w:bCs/>
          <w:spacing w:val="-2"/>
          <w:szCs w:val="24"/>
        </w:rPr>
        <w:t>5.332</w:t>
      </w:r>
      <w:r w:rsidRPr="00992AD8">
        <w:rPr>
          <w:spacing w:val="-2"/>
          <w:szCs w:val="24"/>
        </w:rPr>
        <w:t xml:space="preserve">, </w:t>
      </w:r>
      <w:r w:rsidRPr="00A73A1E">
        <w:t>i</w:t>
      </w:r>
      <w:r w:rsidRPr="00A73A1E">
        <w:rPr>
          <w:spacing w:val="-2"/>
          <w:szCs w:val="24"/>
        </w:rPr>
        <w:t xml:space="preserve">n the band 1 215-1 260 MHz, active spaceborne sensors in the Earth exploration-satellite shall not cause harmful interference </w:t>
      </w:r>
      <w:proofErr w:type="gramStart"/>
      <w:r w:rsidRPr="00A73A1E">
        <w:rPr>
          <w:spacing w:val="-2"/>
          <w:szCs w:val="24"/>
        </w:rPr>
        <w:t>to,</w:t>
      </w:r>
      <w:proofErr w:type="gramEnd"/>
      <w:r w:rsidRPr="00A73A1E">
        <w:rPr>
          <w:spacing w:val="-2"/>
          <w:szCs w:val="24"/>
        </w:rPr>
        <w:t xml:space="preserve"> claim protection from, or otherwise impose constraints on operation or development of the radionavigation-satellite service and other services allocated on a primary basis. </w:t>
      </w:r>
    </w:p>
    <w:p w14:paraId="10CBF7B5" w14:textId="77777777" w:rsidR="003244CE" w:rsidRPr="00A73A1E" w:rsidRDefault="003244CE" w:rsidP="003244CE">
      <w:r w:rsidRPr="00A73A1E">
        <w:t xml:space="preserve">The types of active sensors requiring use of this band include the synthetic aperture radar (SAR) and </w:t>
      </w:r>
      <w:proofErr w:type="spellStart"/>
      <w:r w:rsidRPr="00A73A1E">
        <w:t>scatterometers</w:t>
      </w:r>
      <w:proofErr w:type="spellEnd"/>
      <w:r w:rsidRPr="00A73A1E">
        <w:t>. This Annex presents the worst-case interference evaluation analyses of some representative spaceborne SARs (Annex 1) in regard to three RNSS receivers and presents a performance degradation evaluation analysis example between a SAR and the GPS SBAS ground reference receiver and between a SAR and the GLONASS receiver.</w:t>
      </w:r>
    </w:p>
    <w:p w14:paraId="7BEA90D9" w14:textId="77777777" w:rsidR="003244CE" w:rsidRPr="00A73A1E" w:rsidRDefault="003244CE" w:rsidP="003244CE">
      <w:r w:rsidRPr="00A73A1E">
        <w:t>In addition, it must be noted that the evaluation of the potential for pulsed interference from an EESS (active) sensor to an RNSS receiver should also consider the cumulative impact of multiple spaceborne active sensors that may simultaneously illuminate the RNSS receivers, wherever relevant. One means of mitigating the potential aggregate interference from multiple spaceborne active sensors is through operational collaboration of such sensors.</w:t>
      </w:r>
    </w:p>
    <w:p w14:paraId="70C3DA94" w14:textId="77777777" w:rsidR="003244CE" w:rsidRPr="00A73A1E" w:rsidRDefault="003244CE" w:rsidP="003244CE">
      <w:pPr>
        <w:pStyle w:val="Heading1"/>
      </w:pPr>
      <w:bookmarkStart w:id="32" w:name="_Toc102659324"/>
      <w:bookmarkStart w:id="33" w:name="_Toc102659474"/>
      <w:r w:rsidRPr="00A73A1E">
        <w:lastRenderedPageBreak/>
        <w:t>2</w:t>
      </w:r>
      <w:r w:rsidRPr="00A73A1E">
        <w:tab/>
        <w:t>RNSS received power damage and saturation level example calculations</w:t>
      </w:r>
      <w:bookmarkEnd w:id="32"/>
      <w:bookmarkEnd w:id="33"/>
    </w:p>
    <w:p w14:paraId="24A54273" w14:textId="545600FD" w:rsidR="003244CE" w:rsidRPr="00A73A1E" w:rsidRDefault="003244CE" w:rsidP="003244CE">
      <w:pPr>
        <w:keepNext/>
        <w:keepLines/>
      </w:pPr>
      <w:r w:rsidRPr="00A73A1E">
        <w:t xml:space="preserve">The levels for spaceborne active sensor maximum peak or average power at the receiver input of an RNSS receiver are likely to be well below the </w:t>
      </w:r>
      <w:r w:rsidR="00C04629">
        <w:t>−</w:t>
      </w:r>
      <w:r w:rsidRPr="00A73A1E">
        <w:t xml:space="preserve">20 to </w:t>
      </w:r>
      <w:r w:rsidR="00C04629">
        <w:t>−</w:t>
      </w:r>
      <w:r w:rsidRPr="00A73A1E">
        <w:t xml:space="preserve">1 </w:t>
      </w:r>
      <w:proofErr w:type="spellStart"/>
      <w:r w:rsidRPr="00A73A1E">
        <w:t>dBW</w:t>
      </w:r>
      <w:proofErr w:type="spellEnd"/>
      <w:r w:rsidRPr="00A73A1E">
        <w:t xml:space="preserve"> levels that would cause front end burnout. Thus, the emissions from a spaceborne active sensor will likely not cause burnout or damage to a RNSS receiver. The interfering signal level at the RNSS receiver input which will compress the receiver and cause a temporary loss of signal is </w:t>
      </w:r>
      <w:r w:rsidR="00C04629">
        <w:t>−</w:t>
      </w:r>
      <w:r w:rsidRPr="00A73A1E">
        <w:t xml:space="preserve">80 to </w:t>
      </w:r>
      <w:r w:rsidR="00C04629">
        <w:t>−</w:t>
      </w:r>
      <w:r w:rsidRPr="00A73A1E">
        <w:t xml:space="preserve">70 </w:t>
      </w:r>
      <w:proofErr w:type="spellStart"/>
      <w:r w:rsidRPr="00A73A1E">
        <w:t>dBW</w:t>
      </w:r>
      <w:proofErr w:type="spellEnd"/>
      <w:r w:rsidRPr="00A73A1E">
        <w:t xml:space="preserve"> in all cases except for the GPS SBAS ground reference receiver for which the level is </w:t>
      </w:r>
      <w:r w:rsidR="00C04629">
        <w:t>−</w:t>
      </w:r>
      <w:r w:rsidRPr="00A73A1E">
        <w:t xml:space="preserve">135 </w:t>
      </w:r>
      <w:proofErr w:type="spellStart"/>
      <w:r w:rsidRPr="00A73A1E">
        <w:t>dBW</w:t>
      </w:r>
      <w:proofErr w:type="spellEnd"/>
      <w:r w:rsidRPr="00A73A1E">
        <w:t xml:space="preserve">. As an example, the worst-case received peak power configuration for </w:t>
      </w:r>
      <w:r w:rsidRPr="00A73A1E">
        <w:rPr>
          <w:lang w:eastAsia="ja-JP"/>
        </w:rPr>
        <w:t xml:space="preserve">three types of receivers is </w:t>
      </w:r>
      <w:r w:rsidRPr="00A73A1E">
        <w:t xml:space="preserve">depicted </w:t>
      </w:r>
      <w:r w:rsidRPr="00A73A1E">
        <w:rPr>
          <w:lang w:eastAsia="ja-JP"/>
        </w:rPr>
        <w:t>as follows:</w:t>
      </w:r>
    </w:p>
    <w:p w14:paraId="72F2F1CB" w14:textId="77777777" w:rsidR="003244CE" w:rsidRPr="00A73A1E" w:rsidRDefault="003244CE" w:rsidP="003244CE">
      <w:pPr>
        <w:pStyle w:val="enumlev1"/>
      </w:pPr>
      <w:r w:rsidRPr="00A73A1E">
        <w:t>–</w:t>
      </w:r>
      <w:r w:rsidRPr="00A73A1E">
        <w:tab/>
        <w:t xml:space="preserve">CDMA (QZSS) indoor positioning receiver: Table </w:t>
      </w:r>
      <w:r>
        <w:t>10</w:t>
      </w:r>
      <w:r w:rsidRPr="00A73A1E">
        <w:t>;</w:t>
      </w:r>
    </w:p>
    <w:p w14:paraId="6D32E58A" w14:textId="77777777" w:rsidR="003244CE" w:rsidRPr="00A73A1E" w:rsidRDefault="003244CE" w:rsidP="003244CE">
      <w:pPr>
        <w:pStyle w:val="enumlev1"/>
      </w:pPr>
      <w:r w:rsidRPr="00A73A1E">
        <w:t>–</w:t>
      </w:r>
      <w:r w:rsidRPr="00A73A1E">
        <w:tab/>
        <w:t xml:space="preserve">(GPS) SBAS ground reference receiver: Table </w:t>
      </w:r>
      <w:r>
        <w:t>11</w:t>
      </w:r>
      <w:r w:rsidRPr="00A73A1E">
        <w:t>;</w:t>
      </w:r>
    </w:p>
    <w:p w14:paraId="549CD572" w14:textId="77777777" w:rsidR="003244CE" w:rsidRPr="00A73A1E" w:rsidRDefault="003244CE" w:rsidP="003244CE">
      <w:pPr>
        <w:pStyle w:val="enumlev1"/>
      </w:pPr>
      <w:r w:rsidRPr="00A73A1E">
        <w:t>–</w:t>
      </w:r>
      <w:r w:rsidRPr="00A73A1E">
        <w:tab/>
        <w:t xml:space="preserve">GLONASS air navigation receiver: Table </w:t>
      </w:r>
      <w:r>
        <w:t>12</w:t>
      </w:r>
      <w:r w:rsidRPr="00A73A1E">
        <w:t>.</w:t>
      </w:r>
    </w:p>
    <w:p w14:paraId="1FB54910" w14:textId="77777777" w:rsidR="003244CE" w:rsidRPr="00A73A1E" w:rsidRDefault="003244CE" w:rsidP="003244CE">
      <w:pPr>
        <w:pStyle w:val="TableNo"/>
      </w:pPr>
      <w:r w:rsidRPr="00A73A1E">
        <w:t xml:space="preserve">TABLE </w:t>
      </w:r>
      <w:r>
        <w:rPr>
          <w:lang w:eastAsia="ja-JP"/>
        </w:rPr>
        <w:t>10</w:t>
      </w:r>
    </w:p>
    <w:p w14:paraId="08C0ABB4" w14:textId="77777777" w:rsidR="003244CE" w:rsidRPr="00A73A1E" w:rsidRDefault="003244CE" w:rsidP="003244CE">
      <w:pPr>
        <w:pStyle w:val="Tabletitle"/>
      </w:pPr>
      <w:r w:rsidRPr="00A73A1E">
        <w:t>Maximum received peak RFI power for CDMA (QZSS) indoor positioning receivers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569"/>
        <w:gridCol w:w="938"/>
        <w:gridCol w:w="1026"/>
        <w:gridCol w:w="1026"/>
        <w:gridCol w:w="1026"/>
        <w:gridCol w:w="1026"/>
        <w:gridCol w:w="1028"/>
      </w:tblGrid>
      <w:tr w:rsidR="003244CE" w:rsidRPr="00A73A1E" w14:paraId="7B6B6EC5" w14:textId="77777777" w:rsidTr="00C04629">
        <w:trPr>
          <w:cantSplit/>
          <w:tblHeader/>
          <w:jc w:val="center"/>
        </w:trPr>
        <w:tc>
          <w:tcPr>
            <w:tcW w:w="1852" w:type="pct"/>
          </w:tcPr>
          <w:p w14:paraId="6287D767" w14:textId="77777777" w:rsidR="003244CE" w:rsidRPr="00A73A1E" w:rsidRDefault="003244CE" w:rsidP="009C40C0">
            <w:pPr>
              <w:pStyle w:val="Tablehead"/>
            </w:pPr>
            <w:r w:rsidRPr="00A73A1E">
              <w:t>Parameter</w:t>
            </w:r>
          </w:p>
        </w:tc>
        <w:tc>
          <w:tcPr>
            <w:tcW w:w="487" w:type="pct"/>
          </w:tcPr>
          <w:p w14:paraId="105F8168" w14:textId="77777777" w:rsidR="003244CE" w:rsidRPr="00A73A1E" w:rsidRDefault="003244CE" w:rsidP="009C40C0">
            <w:pPr>
              <w:pStyle w:val="Tablehead"/>
            </w:pPr>
            <w:r w:rsidRPr="00A73A1E">
              <w:t>SAR1</w:t>
            </w:r>
          </w:p>
        </w:tc>
        <w:tc>
          <w:tcPr>
            <w:tcW w:w="532" w:type="pct"/>
          </w:tcPr>
          <w:p w14:paraId="3AF43757" w14:textId="77777777" w:rsidR="003244CE" w:rsidRPr="00A73A1E" w:rsidRDefault="003244CE" w:rsidP="009C40C0">
            <w:pPr>
              <w:pStyle w:val="Tablehead"/>
            </w:pPr>
            <w:r w:rsidRPr="00A73A1E">
              <w:t>SAR2</w:t>
            </w:r>
          </w:p>
        </w:tc>
        <w:tc>
          <w:tcPr>
            <w:tcW w:w="532" w:type="pct"/>
          </w:tcPr>
          <w:p w14:paraId="45FBE629" w14:textId="77777777" w:rsidR="003244CE" w:rsidRPr="00A73A1E" w:rsidRDefault="003244CE" w:rsidP="009C40C0">
            <w:pPr>
              <w:pStyle w:val="Tablehead"/>
              <w:rPr>
                <w:lang w:eastAsia="ja-JP"/>
              </w:rPr>
            </w:pPr>
            <w:r w:rsidRPr="00A73A1E">
              <w:rPr>
                <w:lang w:eastAsia="ja-JP"/>
              </w:rPr>
              <w:t>SAR3</w:t>
            </w:r>
          </w:p>
        </w:tc>
        <w:tc>
          <w:tcPr>
            <w:tcW w:w="532" w:type="pct"/>
          </w:tcPr>
          <w:p w14:paraId="6BB99FC3" w14:textId="77777777" w:rsidR="003244CE" w:rsidRPr="00A73A1E" w:rsidRDefault="003244CE" w:rsidP="009C40C0">
            <w:pPr>
              <w:pStyle w:val="Tablehead"/>
              <w:rPr>
                <w:lang w:eastAsia="ja-JP"/>
              </w:rPr>
            </w:pPr>
            <w:r w:rsidRPr="00A73A1E">
              <w:rPr>
                <w:lang w:eastAsia="ja-JP"/>
              </w:rPr>
              <w:t>SAR4</w:t>
            </w:r>
          </w:p>
        </w:tc>
        <w:tc>
          <w:tcPr>
            <w:tcW w:w="532" w:type="pct"/>
          </w:tcPr>
          <w:p w14:paraId="4B32F91F" w14:textId="77777777" w:rsidR="003244CE" w:rsidRPr="00A73A1E" w:rsidRDefault="003244CE" w:rsidP="009C40C0">
            <w:pPr>
              <w:pStyle w:val="Tablehead"/>
              <w:rPr>
                <w:lang w:eastAsia="ja-JP"/>
              </w:rPr>
            </w:pPr>
            <w:r w:rsidRPr="00A73A1E">
              <w:rPr>
                <w:lang w:eastAsia="ja-JP"/>
              </w:rPr>
              <w:t>SAR5</w:t>
            </w:r>
          </w:p>
        </w:tc>
        <w:tc>
          <w:tcPr>
            <w:tcW w:w="532" w:type="pct"/>
          </w:tcPr>
          <w:p w14:paraId="7D8BE8B5" w14:textId="77777777" w:rsidR="003244CE" w:rsidRPr="00A73A1E" w:rsidRDefault="003244CE" w:rsidP="009C40C0">
            <w:pPr>
              <w:pStyle w:val="Tablehead"/>
              <w:rPr>
                <w:lang w:eastAsia="ja-JP"/>
              </w:rPr>
            </w:pPr>
            <w:r w:rsidRPr="00A73A1E">
              <w:rPr>
                <w:lang w:eastAsia="ja-JP"/>
              </w:rPr>
              <w:t>SAR6</w:t>
            </w:r>
          </w:p>
        </w:tc>
      </w:tr>
      <w:tr w:rsidR="003244CE" w:rsidRPr="00A73A1E" w14:paraId="35B4A71C" w14:textId="77777777" w:rsidTr="00C04629">
        <w:trPr>
          <w:cantSplit/>
          <w:jc w:val="center"/>
        </w:trPr>
        <w:tc>
          <w:tcPr>
            <w:tcW w:w="1852" w:type="pct"/>
            <w:vAlign w:val="center"/>
          </w:tcPr>
          <w:p w14:paraId="6385880E" w14:textId="77777777" w:rsidR="003244CE" w:rsidRPr="00A73A1E" w:rsidRDefault="003244CE" w:rsidP="009C40C0">
            <w:pPr>
              <w:pStyle w:val="Tabletext"/>
            </w:pPr>
            <w:r w:rsidRPr="00A73A1E">
              <w:t>Centre frequency (MHz)</w:t>
            </w:r>
            <w:r w:rsidRPr="00C04629">
              <w:rPr>
                <w:position w:val="6"/>
                <w:sz w:val="18"/>
                <w:szCs w:val="18"/>
              </w:rPr>
              <w:footnoteReference w:id="13"/>
            </w:r>
          </w:p>
        </w:tc>
        <w:tc>
          <w:tcPr>
            <w:tcW w:w="487" w:type="pct"/>
            <w:vAlign w:val="center"/>
          </w:tcPr>
          <w:p w14:paraId="14C1711B" w14:textId="77777777" w:rsidR="003244CE" w:rsidRPr="00A73A1E" w:rsidRDefault="003244CE" w:rsidP="009C40C0">
            <w:pPr>
              <w:pStyle w:val="Tabletext"/>
              <w:jc w:val="center"/>
            </w:pPr>
            <w:r w:rsidRPr="00A73A1E">
              <w:t>1 257.5</w:t>
            </w:r>
          </w:p>
        </w:tc>
        <w:tc>
          <w:tcPr>
            <w:tcW w:w="532" w:type="pct"/>
            <w:vAlign w:val="center"/>
          </w:tcPr>
          <w:p w14:paraId="5C1CE17D" w14:textId="77777777" w:rsidR="003244CE" w:rsidRPr="00A73A1E" w:rsidRDefault="003244CE" w:rsidP="009C40C0">
            <w:pPr>
              <w:pStyle w:val="Tabletext"/>
              <w:jc w:val="center"/>
            </w:pPr>
            <w:r w:rsidRPr="00A73A1E">
              <w:t>1 257.5</w:t>
            </w:r>
          </w:p>
        </w:tc>
        <w:tc>
          <w:tcPr>
            <w:tcW w:w="532" w:type="pct"/>
            <w:vAlign w:val="center"/>
          </w:tcPr>
          <w:p w14:paraId="5B035997" w14:textId="77777777" w:rsidR="003244CE" w:rsidRPr="00A73A1E" w:rsidRDefault="003244CE" w:rsidP="009C40C0">
            <w:pPr>
              <w:pStyle w:val="Tabletext"/>
              <w:jc w:val="center"/>
            </w:pPr>
            <w:r w:rsidRPr="00A73A1E">
              <w:t>1 215.0-1 300.0</w:t>
            </w:r>
          </w:p>
        </w:tc>
        <w:tc>
          <w:tcPr>
            <w:tcW w:w="532" w:type="pct"/>
            <w:vAlign w:val="center"/>
          </w:tcPr>
          <w:p w14:paraId="2A90E640" w14:textId="77777777" w:rsidR="003244CE" w:rsidRPr="00A73A1E" w:rsidRDefault="003244CE" w:rsidP="009C40C0">
            <w:pPr>
              <w:pStyle w:val="Tabletext"/>
              <w:jc w:val="center"/>
            </w:pPr>
            <w:r w:rsidRPr="00A73A1E">
              <w:t>1 257.5</w:t>
            </w:r>
          </w:p>
        </w:tc>
        <w:tc>
          <w:tcPr>
            <w:tcW w:w="532" w:type="pct"/>
            <w:vAlign w:val="center"/>
          </w:tcPr>
          <w:p w14:paraId="13DDEA69" w14:textId="77777777" w:rsidR="003244CE" w:rsidRPr="00A73A1E" w:rsidRDefault="003244CE" w:rsidP="009C40C0">
            <w:pPr>
              <w:pStyle w:val="Tabletext"/>
              <w:jc w:val="center"/>
            </w:pPr>
            <w:r w:rsidRPr="00A73A1E">
              <w:t>1 215.0-</w:t>
            </w:r>
            <w:r w:rsidRPr="00A73A1E">
              <w:br/>
              <w:t>1 300.0</w:t>
            </w:r>
          </w:p>
        </w:tc>
        <w:tc>
          <w:tcPr>
            <w:tcW w:w="532" w:type="pct"/>
            <w:vAlign w:val="center"/>
          </w:tcPr>
          <w:p w14:paraId="43768AB9" w14:textId="77777777" w:rsidR="003244CE" w:rsidRPr="00A73A1E" w:rsidRDefault="003244CE" w:rsidP="009C40C0">
            <w:pPr>
              <w:pStyle w:val="Tabletext"/>
              <w:jc w:val="center"/>
            </w:pPr>
            <w:r w:rsidRPr="00A73A1E">
              <w:t>1 215.0-</w:t>
            </w:r>
            <w:r w:rsidRPr="00A73A1E">
              <w:br/>
              <w:t>1 300.0</w:t>
            </w:r>
          </w:p>
        </w:tc>
      </w:tr>
      <w:tr w:rsidR="003244CE" w:rsidRPr="00A73A1E" w14:paraId="2E1EADF7" w14:textId="77777777" w:rsidTr="00C04629">
        <w:trPr>
          <w:cantSplit/>
          <w:jc w:val="center"/>
        </w:trPr>
        <w:tc>
          <w:tcPr>
            <w:tcW w:w="1852" w:type="pct"/>
            <w:vAlign w:val="center"/>
          </w:tcPr>
          <w:p w14:paraId="6E7BB715" w14:textId="77777777" w:rsidR="003244CE" w:rsidRPr="00A73A1E" w:rsidRDefault="003244CE" w:rsidP="00C04629">
            <w:pPr>
              <w:pStyle w:val="Tabletext"/>
              <w:jc w:val="left"/>
            </w:pPr>
            <w:r w:rsidRPr="00A73A1E">
              <w:t xml:space="preserve">Peak </w:t>
            </w:r>
            <w:r w:rsidRPr="00A73A1E">
              <w:rPr>
                <w:lang w:eastAsia="ja-JP"/>
              </w:rPr>
              <w:t>transmitter</w:t>
            </w:r>
            <w:r w:rsidRPr="00A73A1E">
              <w:t xml:space="preserve"> power (</w:t>
            </w:r>
            <w:proofErr w:type="spellStart"/>
            <w:r w:rsidRPr="00A73A1E">
              <w:t>dBW</w:t>
            </w:r>
            <w:proofErr w:type="spellEnd"/>
            <w:r w:rsidRPr="00A73A1E">
              <w:t>)</w:t>
            </w:r>
          </w:p>
        </w:tc>
        <w:tc>
          <w:tcPr>
            <w:tcW w:w="487" w:type="pct"/>
            <w:vAlign w:val="center"/>
          </w:tcPr>
          <w:p w14:paraId="1B2B9FA3" w14:textId="77777777" w:rsidR="003244CE" w:rsidRPr="00A73A1E" w:rsidRDefault="003244CE" w:rsidP="009C40C0">
            <w:pPr>
              <w:pStyle w:val="Tabletext"/>
              <w:jc w:val="center"/>
            </w:pPr>
            <w:r w:rsidRPr="00A73A1E">
              <w:t>35.1</w:t>
            </w:r>
          </w:p>
        </w:tc>
        <w:tc>
          <w:tcPr>
            <w:tcW w:w="532" w:type="pct"/>
            <w:vAlign w:val="center"/>
          </w:tcPr>
          <w:p w14:paraId="7397DF31" w14:textId="77777777" w:rsidR="003244CE" w:rsidRPr="00A73A1E" w:rsidRDefault="003244CE" w:rsidP="009C40C0">
            <w:pPr>
              <w:pStyle w:val="Tabletext"/>
              <w:jc w:val="center"/>
            </w:pPr>
            <w:r w:rsidRPr="00A73A1E">
              <w:t>30.8</w:t>
            </w:r>
          </w:p>
        </w:tc>
        <w:tc>
          <w:tcPr>
            <w:tcW w:w="532" w:type="pct"/>
            <w:vAlign w:val="center"/>
          </w:tcPr>
          <w:p w14:paraId="245A56BC" w14:textId="77777777" w:rsidR="003244CE" w:rsidRPr="00A73A1E" w:rsidRDefault="003244CE" w:rsidP="009C40C0">
            <w:pPr>
              <w:pStyle w:val="Tabletext"/>
              <w:jc w:val="center"/>
            </w:pPr>
            <w:r w:rsidRPr="00A73A1E">
              <w:t>35.1</w:t>
            </w:r>
          </w:p>
        </w:tc>
        <w:tc>
          <w:tcPr>
            <w:tcW w:w="532" w:type="pct"/>
            <w:vAlign w:val="center"/>
          </w:tcPr>
          <w:p w14:paraId="38BE2E8F" w14:textId="77777777" w:rsidR="003244CE" w:rsidRPr="00A73A1E" w:rsidRDefault="003244CE" w:rsidP="009C40C0">
            <w:pPr>
              <w:pStyle w:val="Tabletext"/>
              <w:jc w:val="center"/>
            </w:pPr>
            <w:r w:rsidRPr="00A73A1E">
              <w:t>36.0</w:t>
            </w:r>
          </w:p>
        </w:tc>
        <w:tc>
          <w:tcPr>
            <w:tcW w:w="532" w:type="pct"/>
            <w:vAlign w:val="center"/>
          </w:tcPr>
          <w:p w14:paraId="730CE9A1" w14:textId="77777777" w:rsidR="003244CE" w:rsidRPr="00A73A1E" w:rsidRDefault="003244CE" w:rsidP="009C40C0">
            <w:pPr>
              <w:pStyle w:val="Tabletext"/>
              <w:jc w:val="center"/>
            </w:pPr>
            <w:r w:rsidRPr="00A73A1E">
              <w:t>37.9</w:t>
            </w:r>
          </w:p>
        </w:tc>
        <w:tc>
          <w:tcPr>
            <w:tcW w:w="532" w:type="pct"/>
            <w:vAlign w:val="center"/>
          </w:tcPr>
          <w:p w14:paraId="516BC2D8" w14:textId="77777777" w:rsidR="003244CE" w:rsidRPr="00A73A1E" w:rsidRDefault="003244CE" w:rsidP="009C40C0">
            <w:pPr>
              <w:pStyle w:val="Tabletext"/>
              <w:jc w:val="center"/>
              <w:rPr>
                <w:lang w:eastAsia="ja-JP"/>
              </w:rPr>
            </w:pPr>
            <w:r w:rsidRPr="00A73A1E">
              <w:t>37.9</w:t>
            </w:r>
          </w:p>
        </w:tc>
      </w:tr>
      <w:tr w:rsidR="003244CE" w:rsidRPr="00A73A1E" w14:paraId="5F395FB4" w14:textId="77777777" w:rsidTr="00C04629">
        <w:trPr>
          <w:cantSplit/>
          <w:jc w:val="center"/>
        </w:trPr>
        <w:tc>
          <w:tcPr>
            <w:tcW w:w="1852" w:type="pct"/>
            <w:vAlign w:val="center"/>
          </w:tcPr>
          <w:p w14:paraId="6A0499DF" w14:textId="77777777" w:rsidR="003244CE" w:rsidRPr="00A73A1E" w:rsidRDefault="003244CE" w:rsidP="00C04629">
            <w:pPr>
              <w:pStyle w:val="Tabletext"/>
              <w:jc w:val="left"/>
            </w:pPr>
            <w:r w:rsidRPr="00A73A1E">
              <w:t>Transmitter antenna gain (dB)</w:t>
            </w:r>
          </w:p>
        </w:tc>
        <w:tc>
          <w:tcPr>
            <w:tcW w:w="487" w:type="pct"/>
            <w:vAlign w:val="center"/>
          </w:tcPr>
          <w:p w14:paraId="4D8FE23E" w14:textId="77777777" w:rsidR="003244CE" w:rsidRPr="00A73A1E" w:rsidRDefault="003244CE" w:rsidP="009C40C0">
            <w:pPr>
              <w:pStyle w:val="Tabletext"/>
              <w:jc w:val="center"/>
            </w:pPr>
            <w:r w:rsidRPr="00A73A1E">
              <w:t>36.4</w:t>
            </w:r>
          </w:p>
        </w:tc>
        <w:tc>
          <w:tcPr>
            <w:tcW w:w="532" w:type="pct"/>
            <w:vAlign w:val="center"/>
          </w:tcPr>
          <w:p w14:paraId="23E74362" w14:textId="77777777" w:rsidR="003244CE" w:rsidRPr="00A73A1E" w:rsidRDefault="003244CE" w:rsidP="009C40C0">
            <w:pPr>
              <w:pStyle w:val="Tabletext"/>
              <w:jc w:val="center"/>
            </w:pPr>
            <w:r w:rsidRPr="00A73A1E">
              <w:t>33.0</w:t>
            </w:r>
          </w:p>
        </w:tc>
        <w:tc>
          <w:tcPr>
            <w:tcW w:w="532" w:type="pct"/>
            <w:vAlign w:val="center"/>
          </w:tcPr>
          <w:p w14:paraId="7A10DECA" w14:textId="77777777" w:rsidR="003244CE" w:rsidRPr="00A73A1E" w:rsidRDefault="003244CE" w:rsidP="009C40C0">
            <w:pPr>
              <w:pStyle w:val="Tabletext"/>
              <w:jc w:val="center"/>
            </w:pPr>
            <w:r w:rsidRPr="00A73A1E">
              <w:t>33.4</w:t>
            </w:r>
          </w:p>
        </w:tc>
        <w:tc>
          <w:tcPr>
            <w:tcW w:w="532" w:type="pct"/>
            <w:vAlign w:val="center"/>
          </w:tcPr>
          <w:p w14:paraId="743FE391" w14:textId="77777777" w:rsidR="003244CE" w:rsidRPr="00A73A1E" w:rsidRDefault="003244CE" w:rsidP="009C40C0">
            <w:pPr>
              <w:pStyle w:val="Tabletext"/>
              <w:jc w:val="center"/>
            </w:pPr>
            <w:r w:rsidRPr="00A73A1E">
              <w:t>34.7</w:t>
            </w:r>
          </w:p>
        </w:tc>
        <w:tc>
          <w:tcPr>
            <w:tcW w:w="532" w:type="pct"/>
            <w:vAlign w:val="center"/>
          </w:tcPr>
          <w:p w14:paraId="520A1900" w14:textId="77777777" w:rsidR="003244CE" w:rsidRPr="00A73A1E" w:rsidRDefault="003244CE" w:rsidP="009C40C0">
            <w:pPr>
              <w:pStyle w:val="Tabletext"/>
              <w:jc w:val="center"/>
            </w:pPr>
            <w:r w:rsidRPr="00A73A1E">
              <w:t>36.6</w:t>
            </w:r>
          </w:p>
        </w:tc>
        <w:tc>
          <w:tcPr>
            <w:tcW w:w="532" w:type="pct"/>
            <w:vAlign w:val="center"/>
          </w:tcPr>
          <w:p w14:paraId="686E016B" w14:textId="77777777" w:rsidR="003244CE" w:rsidRPr="00A73A1E" w:rsidRDefault="003244CE" w:rsidP="009C40C0">
            <w:pPr>
              <w:pStyle w:val="Tabletext"/>
              <w:jc w:val="center"/>
              <w:rPr>
                <w:lang w:eastAsia="ja-JP"/>
              </w:rPr>
            </w:pPr>
            <w:r w:rsidRPr="00A73A1E">
              <w:rPr>
                <w:lang w:eastAsia="ja-JP"/>
              </w:rPr>
              <w:t>36.6</w:t>
            </w:r>
          </w:p>
        </w:tc>
      </w:tr>
      <w:tr w:rsidR="003244CE" w:rsidRPr="00A73A1E" w14:paraId="789F51F6" w14:textId="77777777" w:rsidTr="00C04629">
        <w:trPr>
          <w:cantSplit/>
          <w:jc w:val="center"/>
        </w:trPr>
        <w:tc>
          <w:tcPr>
            <w:tcW w:w="1852" w:type="pct"/>
            <w:vAlign w:val="center"/>
          </w:tcPr>
          <w:p w14:paraId="37196391" w14:textId="77777777" w:rsidR="003244CE" w:rsidRPr="00A73A1E" w:rsidRDefault="003244CE" w:rsidP="00C04629">
            <w:pPr>
              <w:pStyle w:val="Tabletext"/>
              <w:jc w:val="left"/>
            </w:pPr>
            <w:r w:rsidRPr="00A73A1E">
              <w:t>Distance (km)</w:t>
            </w:r>
          </w:p>
        </w:tc>
        <w:tc>
          <w:tcPr>
            <w:tcW w:w="487" w:type="pct"/>
            <w:vAlign w:val="center"/>
          </w:tcPr>
          <w:p w14:paraId="640D9015" w14:textId="77777777" w:rsidR="003244CE" w:rsidRPr="00A73A1E" w:rsidRDefault="003244CE" w:rsidP="009C40C0">
            <w:pPr>
              <w:pStyle w:val="Tabletext"/>
              <w:jc w:val="center"/>
            </w:pPr>
            <w:r w:rsidRPr="00A73A1E">
              <w:t>427.5</w:t>
            </w:r>
          </w:p>
        </w:tc>
        <w:tc>
          <w:tcPr>
            <w:tcW w:w="532" w:type="pct"/>
            <w:vAlign w:val="center"/>
          </w:tcPr>
          <w:p w14:paraId="775D70BC" w14:textId="77777777" w:rsidR="003244CE" w:rsidRPr="00A73A1E" w:rsidRDefault="003244CE" w:rsidP="009C40C0">
            <w:pPr>
              <w:pStyle w:val="Tabletext"/>
              <w:jc w:val="center"/>
            </w:pPr>
            <w:r w:rsidRPr="00A73A1E">
              <w:t>710.8</w:t>
            </w:r>
          </w:p>
        </w:tc>
        <w:tc>
          <w:tcPr>
            <w:tcW w:w="532" w:type="pct"/>
            <w:vAlign w:val="center"/>
          </w:tcPr>
          <w:p w14:paraId="56BAC6D8" w14:textId="77777777" w:rsidR="003244CE" w:rsidRPr="00A73A1E" w:rsidRDefault="003244CE" w:rsidP="009C40C0">
            <w:pPr>
              <w:pStyle w:val="Tabletext"/>
              <w:jc w:val="center"/>
            </w:pPr>
            <w:r w:rsidRPr="00A73A1E">
              <w:t>898.5</w:t>
            </w:r>
          </w:p>
        </w:tc>
        <w:tc>
          <w:tcPr>
            <w:tcW w:w="532" w:type="pct"/>
            <w:vAlign w:val="center"/>
          </w:tcPr>
          <w:p w14:paraId="566B31B2" w14:textId="77777777" w:rsidR="003244CE" w:rsidRPr="00A73A1E" w:rsidRDefault="003244CE" w:rsidP="009C40C0">
            <w:pPr>
              <w:pStyle w:val="Tabletext"/>
              <w:jc w:val="center"/>
            </w:pPr>
            <w:r w:rsidRPr="00A73A1E">
              <w:t>637.8</w:t>
            </w:r>
          </w:p>
        </w:tc>
        <w:tc>
          <w:tcPr>
            <w:tcW w:w="532" w:type="pct"/>
            <w:vAlign w:val="center"/>
          </w:tcPr>
          <w:p w14:paraId="695E62B6" w14:textId="77777777" w:rsidR="003244CE" w:rsidRPr="00A73A1E" w:rsidRDefault="003244CE" w:rsidP="009C40C0">
            <w:pPr>
              <w:pStyle w:val="Tabletext"/>
              <w:jc w:val="center"/>
              <w:rPr>
                <w:lang w:eastAsia="ja-JP"/>
              </w:rPr>
            </w:pPr>
            <w:r w:rsidRPr="00A73A1E">
              <w:rPr>
                <w:lang w:eastAsia="ja-JP"/>
              </w:rPr>
              <w:t>636.65</w:t>
            </w:r>
          </w:p>
        </w:tc>
        <w:tc>
          <w:tcPr>
            <w:tcW w:w="532" w:type="pct"/>
            <w:vAlign w:val="center"/>
          </w:tcPr>
          <w:p w14:paraId="64FDD348" w14:textId="77777777" w:rsidR="003244CE" w:rsidRPr="00A73A1E" w:rsidRDefault="003244CE" w:rsidP="009C40C0">
            <w:pPr>
              <w:pStyle w:val="Tabletext"/>
              <w:jc w:val="center"/>
              <w:rPr>
                <w:lang w:eastAsia="ja-JP"/>
              </w:rPr>
            </w:pPr>
            <w:r w:rsidRPr="00A73A1E">
              <w:rPr>
                <w:lang w:eastAsia="ja-JP"/>
              </w:rPr>
              <w:t>639.53</w:t>
            </w:r>
          </w:p>
        </w:tc>
      </w:tr>
      <w:tr w:rsidR="003244CE" w:rsidRPr="00A73A1E" w14:paraId="79FB5225" w14:textId="77777777" w:rsidTr="00C04629">
        <w:trPr>
          <w:cantSplit/>
          <w:jc w:val="center"/>
        </w:trPr>
        <w:tc>
          <w:tcPr>
            <w:tcW w:w="1852" w:type="pct"/>
            <w:vAlign w:val="center"/>
          </w:tcPr>
          <w:p w14:paraId="13183E49" w14:textId="77777777" w:rsidR="003244CE" w:rsidRPr="00A73A1E" w:rsidRDefault="003244CE" w:rsidP="00C04629">
            <w:pPr>
              <w:pStyle w:val="Tabletext"/>
              <w:jc w:val="left"/>
            </w:pPr>
            <w:r w:rsidRPr="00A73A1E">
              <w:rPr>
                <w:lang w:eastAsia="ja-JP"/>
              </w:rPr>
              <w:t xml:space="preserve">Free </w:t>
            </w:r>
            <w:r w:rsidRPr="00A73A1E">
              <w:t>space loss (dB)</w:t>
            </w:r>
          </w:p>
        </w:tc>
        <w:tc>
          <w:tcPr>
            <w:tcW w:w="487" w:type="pct"/>
            <w:vAlign w:val="center"/>
          </w:tcPr>
          <w:p w14:paraId="241A29FF" w14:textId="77777777" w:rsidR="003244CE" w:rsidRPr="00A73A1E" w:rsidRDefault="003244CE" w:rsidP="009C40C0">
            <w:pPr>
              <w:pStyle w:val="Tabletext"/>
              <w:jc w:val="center"/>
            </w:pPr>
            <w:r w:rsidRPr="00A73A1E">
              <w:t>147.0</w:t>
            </w:r>
          </w:p>
        </w:tc>
        <w:tc>
          <w:tcPr>
            <w:tcW w:w="532" w:type="pct"/>
            <w:vAlign w:val="center"/>
          </w:tcPr>
          <w:p w14:paraId="1AC9ED50" w14:textId="77777777" w:rsidR="003244CE" w:rsidRPr="00A73A1E" w:rsidRDefault="003244CE" w:rsidP="009C40C0">
            <w:pPr>
              <w:pStyle w:val="Tabletext"/>
              <w:jc w:val="center"/>
            </w:pPr>
            <w:r w:rsidRPr="00A73A1E">
              <w:t>151.5</w:t>
            </w:r>
          </w:p>
        </w:tc>
        <w:tc>
          <w:tcPr>
            <w:tcW w:w="532" w:type="pct"/>
            <w:vAlign w:val="center"/>
          </w:tcPr>
          <w:p w14:paraId="4FA1C917" w14:textId="77777777" w:rsidR="003244CE" w:rsidRPr="00A73A1E" w:rsidRDefault="003244CE" w:rsidP="009C40C0">
            <w:pPr>
              <w:pStyle w:val="Tabletext"/>
              <w:jc w:val="center"/>
            </w:pPr>
            <w:r w:rsidRPr="00A73A1E">
              <w:t>153.4</w:t>
            </w:r>
          </w:p>
        </w:tc>
        <w:tc>
          <w:tcPr>
            <w:tcW w:w="532" w:type="pct"/>
            <w:vAlign w:val="center"/>
          </w:tcPr>
          <w:p w14:paraId="0CAC4596" w14:textId="77777777" w:rsidR="003244CE" w:rsidRPr="00A73A1E" w:rsidRDefault="003244CE" w:rsidP="009C40C0">
            <w:pPr>
              <w:pStyle w:val="Tabletext"/>
              <w:jc w:val="center"/>
            </w:pPr>
            <w:r w:rsidRPr="00A73A1E">
              <w:t>150.5</w:t>
            </w:r>
          </w:p>
        </w:tc>
        <w:tc>
          <w:tcPr>
            <w:tcW w:w="532" w:type="pct"/>
            <w:vAlign w:val="center"/>
          </w:tcPr>
          <w:p w14:paraId="47F630E2" w14:textId="77777777" w:rsidR="003244CE" w:rsidRPr="00A73A1E" w:rsidRDefault="003244CE" w:rsidP="009C40C0">
            <w:pPr>
              <w:pStyle w:val="Tabletext"/>
              <w:jc w:val="center"/>
            </w:pPr>
            <w:r w:rsidRPr="00A73A1E">
              <w:t>150.5</w:t>
            </w:r>
          </w:p>
        </w:tc>
        <w:tc>
          <w:tcPr>
            <w:tcW w:w="532" w:type="pct"/>
            <w:vAlign w:val="center"/>
          </w:tcPr>
          <w:p w14:paraId="4ABE1A14" w14:textId="77777777" w:rsidR="003244CE" w:rsidRPr="00A73A1E" w:rsidRDefault="003244CE" w:rsidP="009C40C0">
            <w:pPr>
              <w:pStyle w:val="Tabletext"/>
              <w:jc w:val="center"/>
            </w:pPr>
            <w:r w:rsidRPr="00A73A1E">
              <w:t>150.</w:t>
            </w:r>
            <w:r w:rsidRPr="00A73A1E">
              <w:rPr>
                <w:lang w:eastAsia="ja-JP"/>
              </w:rPr>
              <w:t>6</w:t>
            </w:r>
          </w:p>
        </w:tc>
      </w:tr>
      <w:tr w:rsidR="003244CE" w:rsidRPr="00A73A1E" w14:paraId="033F79AF" w14:textId="77777777" w:rsidTr="00C04629">
        <w:trPr>
          <w:cantSplit/>
          <w:jc w:val="center"/>
        </w:trPr>
        <w:tc>
          <w:tcPr>
            <w:tcW w:w="1852" w:type="pct"/>
            <w:vAlign w:val="center"/>
          </w:tcPr>
          <w:p w14:paraId="398B5053" w14:textId="77777777" w:rsidR="003244CE" w:rsidRPr="00A73A1E" w:rsidRDefault="003244CE" w:rsidP="00C04629">
            <w:pPr>
              <w:pStyle w:val="Tabletext"/>
              <w:jc w:val="left"/>
            </w:pPr>
            <w:r w:rsidRPr="00A73A1E">
              <w:t>Receiver antenna gain (dB)</w:t>
            </w:r>
          </w:p>
        </w:tc>
        <w:tc>
          <w:tcPr>
            <w:tcW w:w="487" w:type="pct"/>
            <w:vAlign w:val="center"/>
          </w:tcPr>
          <w:p w14:paraId="309555CC" w14:textId="77777777" w:rsidR="003244CE" w:rsidRPr="00A73A1E" w:rsidRDefault="003244CE" w:rsidP="009C40C0">
            <w:pPr>
              <w:pStyle w:val="Tabletext"/>
              <w:jc w:val="center"/>
            </w:pPr>
            <w:r w:rsidRPr="00A73A1E">
              <w:t>6.0</w:t>
            </w:r>
          </w:p>
        </w:tc>
        <w:tc>
          <w:tcPr>
            <w:tcW w:w="532" w:type="pct"/>
            <w:vAlign w:val="center"/>
          </w:tcPr>
          <w:p w14:paraId="6C093E2F" w14:textId="77777777" w:rsidR="003244CE" w:rsidRPr="00A73A1E" w:rsidRDefault="003244CE" w:rsidP="009C40C0">
            <w:pPr>
              <w:pStyle w:val="Tabletext"/>
              <w:jc w:val="center"/>
            </w:pPr>
            <w:r w:rsidRPr="00A73A1E">
              <w:t>6.0</w:t>
            </w:r>
          </w:p>
        </w:tc>
        <w:tc>
          <w:tcPr>
            <w:tcW w:w="532" w:type="pct"/>
            <w:vAlign w:val="center"/>
          </w:tcPr>
          <w:p w14:paraId="39A3916D" w14:textId="77777777" w:rsidR="003244CE" w:rsidRPr="00A73A1E" w:rsidRDefault="003244CE" w:rsidP="009C40C0">
            <w:pPr>
              <w:pStyle w:val="Tabletext"/>
              <w:jc w:val="center"/>
            </w:pPr>
            <w:r w:rsidRPr="00A73A1E">
              <w:t>6.0</w:t>
            </w:r>
          </w:p>
        </w:tc>
        <w:tc>
          <w:tcPr>
            <w:tcW w:w="532" w:type="pct"/>
            <w:vAlign w:val="center"/>
          </w:tcPr>
          <w:p w14:paraId="530EE248" w14:textId="77777777" w:rsidR="003244CE" w:rsidRPr="00A73A1E" w:rsidRDefault="003244CE" w:rsidP="009C40C0">
            <w:pPr>
              <w:pStyle w:val="Tabletext"/>
              <w:jc w:val="center"/>
            </w:pPr>
            <w:r w:rsidRPr="00A73A1E">
              <w:t>6.0</w:t>
            </w:r>
          </w:p>
        </w:tc>
        <w:tc>
          <w:tcPr>
            <w:tcW w:w="532" w:type="pct"/>
            <w:vAlign w:val="center"/>
          </w:tcPr>
          <w:p w14:paraId="7D0BBC45" w14:textId="77777777" w:rsidR="003244CE" w:rsidRPr="00A73A1E" w:rsidRDefault="003244CE" w:rsidP="009C40C0">
            <w:pPr>
              <w:pStyle w:val="Tabletext"/>
              <w:jc w:val="center"/>
            </w:pPr>
            <w:r w:rsidRPr="00A73A1E">
              <w:t>6.0</w:t>
            </w:r>
          </w:p>
        </w:tc>
        <w:tc>
          <w:tcPr>
            <w:tcW w:w="532" w:type="pct"/>
            <w:vAlign w:val="center"/>
          </w:tcPr>
          <w:p w14:paraId="46429448" w14:textId="77777777" w:rsidR="003244CE" w:rsidRPr="00A73A1E" w:rsidRDefault="003244CE" w:rsidP="009C40C0">
            <w:pPr>
              <w:pStyle w:val="Tabletext"/>
              <w:jc w:val="center"/>
            </w:pPr>
            <w:r w:rsidRPr="00A73A1E">
              <w:t>6.0</w:t>
            </w:r>
          </w:p>
        </w:tc>
      </w:tr>
      <w:tr w:rsidR="003244CE" w:rsidRPr="00A73A1E" w14:paraId="50383FBB" w14:textId="77777777" w:rsidTr="00C04629">
        <w:trPr>
          <w:cantSplit/>
          <w:jc w:val="center"/>
        </w:trPr>
        <w:tc>
          <w:tcPr>
            <w:tcW w:w="1852" w:type="pct"/>
            <w:vAlign w:val="center"/>
          </w:tcPr>
          <w:p w14:paraId="352BD4CA" w14:textId="77777777" w:rsidR="003244CE" w:rsidRPr="00A73A1E" w:rsidRDefault="003244CE" w:rsidP="00C04629">
            <w:pPr>
              <w:pStyle w:val="Tabletext"/>
              <w:jc w:val="left"/>
            </w:pPr>
            <w:r w:rsidRPr="00A73A1E">
              <w:t>Polarization mismatch loss (dB)</w:t>
            </w:r>
            <w:r w:rsidRPr="00CB446C">
              <w:rPr>
                <w:vertAlign w:val="superscript"/>
                <w:lang w:eastAsia="ja-JP"/>
              </w:rPr>
              <w:t xml:space="preserve"> (</w:t>
            </w:r>
            <w:r>
              <w:rPr>
                <w:vertAlign w:val="superscript"/>
                <w:lang w:eastAsia="ja-JP"/>
              </w:rPr>
              <w:t>2</w:t>
            </w:r>
            <w:r w:rsidRPr="00CB446C">
              <w:rPr>
                <w:vertAlign w:val="superscript"/>
                <w:lang w:eastAsia="ja-JP"/>
              </w:rPr>
              <w:t>)</w:t>
            </w:r>
          </w:p>
        </w:tc>
        <w:tc>
          <w:tcPr>
            <w:tcW w:w="487" w:type="pct"/>
            <w:vAlign w:val="center"/>
          </w:tcPr>
          <w:p w14:paraId="6D8F1549" w14:textId="77777777" w:rsidR="003244CE" w:rsidRPr="00A73A1E" w:rsidRDefault="003244CE" w:rsidP="009C40C0">
            <w:pPr>
              <w:pStyle w:val="Tabletext"/>
              <w:jc w:val="center"/>
            </w:pPr>
            <w:r w:rsidRPr="00A73A1E">
              <w:rPr>
                <w:lang w:eastAsia="ja-JP"/>
              </w:rPr>
              <w:t>1.46</w:t>
            </w:r>
          </w:p>
        </w:tc>
        <w:tc>
          <w:tcPr>
            <w:tcW w:w="532" w:type="pct"/>
            <w:vAlign w:val="center"/>
          </w:tcPr>
          <w:p w14:paraId="25308270" w14:textId="77777777" w:rsidR="003244CE" w:rsidRPr="00A73A1E" w:rsidRDefault="003244CE" w:rsidP="009C40C0">
            <w:pPr>
              <w:pStyle w:val="Tabletext"/>
              <w:jc w:val="center"/>
            </w:pPr>
            <w:r w:rsidRPr="00A73A1E">
              <w:rPr>
                <w:lang w:eastAsia="ja-JP"/>
              </w:rPr>
              <w:t>1.46</w:t>
            </w:r>
          </w:p>
        </w:tc>
        <w:tc>
          <w:tcPr>
            <w:tcW w:w="532" w:type="pct"/>
            <w:vAlign w:val="center"/>
          </w:tcPr>
          <w:p w14:paraId="5108D256" w14:textId="77777777" w:rsidR="003244CE" w:rsidRPr="00A73A1E" w:rsidRDefault="003244CE" w:rsidP="009C40C0">
            <w:pPr>
              <w:pStyle w:val="Tabletext"/>
              <w:jc w:val="center"/>
            </w:pPr>
            <w:r w:rsidRPr="00A73A1E">
              <w:rPr>
                <w:lang w:eastAsia="ja-JP"/>
              </w:rPr>
              <w:t>1.46</w:t>
            </w:r>
          </w:p>
        </w:tc>
        <w:tc>
          <w:tcPr>
            <w:tcW w:w="532" w:type="pct"/>
            <w:vAlign w:val="center"/>
          </w:tcPr>
          <w:p w14:paraId="5A7A0A4D" w14:textId="77777777" w:rsidR="003244CE" w:rsidRPr="00A73A1E" w:rsidRDefault="003244CE" w:rsidP="009C40C0">
            <w:pPr>
              <w:pStyle w:val="Tabletext"/>
              <w:jc w:val="center"/>
            </w:pPr>
            <w:r w:rsidRPr="00A73A1E">
              <w:rPr>
                <w:lang w:eastAsia="ja-JP"/>
              </w:rPr>
              <w:t>1.46</w:t>
            </w:r>
          </w:p>
        </w:tc>
        <w:tc>
          <w:tcPr>
            <w:tcW w:w="532" w:type="pct"/>
            <w:vAlign w:val="center"/>
          </w:tcPr>
          <w:p w14:paraId="16EA1CBE" w14:textId="77777777" w:rsidR="003244CE" w:rsidRPr="00A73A1E" w:rsidRDefault="003244CE" w:rsidP="009C40C0">
            <w:pPr>
              <w:pStyle w:val="Tabletext"/>
              <w:jc w:val="center"/>
            </w:pPr>
            <w:r w:rsidRPr="00A73A1E">
              <w:rPr>
                <w:lang w:eastAsia="ja-JP"/>
              </w:rPr>
              <w:t>1.46</w:t>
            </w:r>
          </w:p>
        </w:tc>
        <w:tc>
          <w:tcPr>
            <w:tcW w:w="532" w:type="pct"/>
            <w:vAlign w:val="center"/>
          </w:tcPr>
          <w:p w14:paraId="2E5D66A9" w14:textId="77777777" w:rsidR="003244CE" w:rsidRPr="00A73A1E" w:rsidRDefault="003244CE" w:rsidP="009C40C0">
            <w:pPr>
              <w:pStyle w:val="Tabletext"/>
              <w:jc w:val="center"/>
            </w:pPr>
            <w:r w:rsidRPr="00A73A1E">
              <w:t>0.0</w:t>
            </w:r>
            <w:r>
              <w:t xml:space="preserve"> </w:t>
            </w:r>
            <w:r w:rsidRPr="00CB446C">
              <w:rPr>
                <w:vertAlign w:val="superscript"/>
                <w:lang w:eastAsia="ja-JP"/>
              </w:rPr>
              <w:t>(1)</w:t>
            </w:r>
          </w:p>
        </w:tc>
      </w:tr>
      <w:tr w:rsidR="003244CE" w:rsidRPr="00A73A1E" w14:paraId="419154CF" w14:textId="77777777" w:rsidTr="00C04629">
        <w:trPr>
          <w:cantSplit/>
          <w:jc w:val="center"/>
        </w:trPr>
        <w:tc>
          <w:tcPr>
            <w:tcW w:w="1852" w:type="pct"/>
            <w:vAlign w:val="center"/>
          </w:tcPr>
          <w:p w14:paraId="18F1B6B6" w14:textId="77777777" w:rsidR="003244CE" w:rsidRPr="00A73A1E" w:rsidRDefault="003244CE" w:rsidP="00C04629">
            <w:pPr>
              <w:pStyle w:val="Tabletext"/>
              <w:jc w:val="left"/>
            </w:pPr>
            <w:r w:rsidRPr="00A73A1E">
              <w:t>Maximum received interference</w:t>
            </w:r>
            <w:r>
              <w:t xml:space="preserve"> </w:t>
            </w:r>
            <w:r w:rsidRPr="00A73A1E">
              <w:t>power (peak) (</w:t>
            </w:r>
            <w:proofErr w:type="spellStart"/>
            <w:r w:rsidRPr="00A73A1E">
              <w:t>dBW</w:t>
            </w:r>
            <w:proofErr w:type="spellEnd"/>
            <w:r w:rsidRPr="00A73A1E">
              <w:t>)</w:t>
            </w:r>
          </w:p>
        </w:tc>
        <w:tc>
          <w:tcPr>
            <w:tcW w:w="487" w:type="pct"/>
            <w:vAlign w:val="center"/>
          </w:tcPr>
          <w:p w14:paraId="0BFB2C6D" w14:textId="77777777" w:rsidR="003244CE" w:rsidRPr="00A73A1E" w:rsidRDefault="003244CE" w:rsidP="009C40C0">
            <w:pPr>
              <w:pStyle w:val="Tabletext"/>
              <w:jc w:val="center"/>
            </w:pPr>
            <w:r w:rsidRPr="00A73A1E">
              <w:t>–7</w:t>
            </w:r>
            <w:r w:rsidRPr="00A73A1E">
              <w:rPr>
                <w:lang w:eastAsia="ja-JP"/>
              </w:rPr>
              <w:t>0.96</w:t>
            </w:r>
          </w:p>
        </w:tc>
        <w:tc>
          <w:tcPr>
            <w:tcW w:w="532" w:type="pct"/>
            <w:vAlign w:val="center"/>
          </w:tcPr>
          <w:p w14:paraId="3DE40FF0" w14:textId="77777777" w:rsidR="003244CE" w:rsidRPr="00A73A1E" w:rsidRDefault="003244CE" w:rsidP="009C40C0">
            <w:pPr>
              <w:pStyle w:val="Tabletext"/>
              <w:jc w:val="center"/>
            </w:pPr>
            <w:r w:rsidRPr="00A73A1E">
              <w:t>–</w:t>
            </w:r>
            <w:r w:rsidRPr="00A73A1E">
              <w:rPr>
                <w:lang w:eastAsia="ja-JP"/>
              </w:rPr>
              <w:t>83.16</w:t>
            </w:r>
          </w:p>
        </w:tc>
        <w:tc>
          <w:tcPr>
            <w:tcW w:w="532" w:type="pct"/>
            <w:vAlign w:val="center"/>
          </w:tcPr>
          <w:p w14:paraId="714448D2" w14:textId="77777777" w:rsidR="003244CE" w:rsidRPr="00A73A1E" w:rsidRDefault="003244CE" w:rsidP="009C40C0">
            <w:pPr>
              <w:pStyle w:val="Tabletext"/>
              <w:jc w:val="center"/>
              <w:rPr>
                <w:lang w:eastAsia="ja-JP"/>
              </w:rPr>
            </w:pPr>
            <w:r w:rsidRPr="00A73A1E">
              <w:t>–</w:t>
            </w:r>
            <w:r w:rsidRPr="00A73A1E">
              <w:rPr>
                <w:lang w:eastAsia="ja-JP"/>
              </w:rPr>
              <w:t>80.44</w:t>
            </w:r>
          </w:p>
        </w:tc>
        <w:tc>
          <w:tcPr>
            <w:tcW w:w="532" w:type="pct"/>
            <w:vAlign w:val="center"/>
          </w:tcPr>
          <w:p w14:paraId="63AA89F0" w14:textId="77777777" w:rsidR="003244CE" w:rsidRPr="00A73A1E" w:rsidRDefault="003244CE" w:rsidP="009C40C0">
            <w:pPr>
              <w:pStyle w:val="Tabletext"/>
              <w:jc w:val="center"/>
              <w:rPr>
                <w:lang w:eastAsia="ja-JP"/>
              </w:rPr>
            </w:pPr>
            <w:r w:rsidRPr="00A73A1E">
              <w:t>–</w:t>
            </w:r>
            <w:r w:rsidRPr="00A73A1E">
              <w:rPr>
                <w:lang w:eastAsia="ja-JP"/>
              </w:rPr>
              <w:t>75.29</w:t>
            </w:r>
          </w:p>
        </w:tc>
        <w:tc>
          <w:tcPr>
            <w:tcW w:w="532" w:type="pct"/>
            <w:vAlign w:val="center"/>
          </w:tcPr>
          <w:p w14:paraId="207A9A86" w14:textId="77777777" w:rsidR="003244CE" w:rsidRPr="00A73A1E" w:rsidRDefault="003244CE" w:rsidP="009C40C0">
            <w:pPr>
              <w:pStyle w:val="Tabletext"/>
              <w:jc w:val="center"/>
              <w:rPr>
                <w:lang w:eastAsia="ja-JP"/>
              </w:rPr>
            </w:pPr>
            <w:r w:rsidRPr="00A73A1E">
              <w:t>–7</w:t>
            </w:r>
            <w:r w:rsidRPr="00A73A1E">
              <w:rPr>
                <w:lang w:eastAsia="ja-JP"/>
              </w:rPr>
              <w:t>1.48</w:t>
            </w:r>
          </w:p>
        </w:tc>
        <w:tc>
          <w:tcPr>
            <w:tcW w:w="532" w:type="pct"/>
            <w:vAlign w:val="center"/>
          </w:tcPr>
          <w:p w14:paraId="1A86D475" w14:textId="77777777" w:rsidR="003244CE" w:rsidRPr="00A73A1E" w:rsidRDefault="003244CE" w:rsidP="009C40C0">
            <w:pPr>
              <w:pStyle w:val="Tabletext"/>
              <w:jc w:val="center"/>
              <w:rPr>
                <w:lang w:eastAsia="ja-JP"/>
              </w:rPr>
            </w:pPr>
            <w:r w:rsidRPr="00A73A1E">
              <w:t>–7</w:t>
            </w:r>
            <w:r w:rsidRPr="00A73A1E">
              <w:rPr>
                <w:lang w:eastAsia="ja-JP"/>
              </w:rPr>
              <w:t>0.05</w:t>
            </w:r>
          </w:p>
        </w:tc>
      </w:tr>
      <w:tr w:rsidR="003244CE" w:rsidRPr="00A73A1E" w14:paraId="1F8B7AE5" w14:textId="77777777" w:rsidTr="00C04629">
        <w:trPr>
          <w:cantSplit/>
          <w:jc w:val="center"/>
        </w:trPr>
        <w:tc>
          <w:tcPr>
            <w:tcW w:w="1852" w:type="pct"/>
            <w:vAlign w:val="center"/>
          </w:tcPr>
          <w:p w14:paraId="7F6F6DE6" w14:textId="77777777" w:rsidR="003244CE" w:rsidRPr="00A73A1E" w:rsidRDefault="003244CE" w:rsidP="00C04629">
            <w:pPr>
              <w:pStyle w:val="Tabletext"/>
              <w:jc w:val="left"/>
            </w:pPr>
            <w:r w:rsidRPr="00A73A1E">
              <w:t xml:space="preserve">Receiver input saturation level </w:t>
            </w:r>
            <w:r w:rsidRPr="00A73A1E">
              <w:rPr>
                <w:lang w:eastAsia="ja-JP"/>
              </w:rPr>
              <w:t>(</w:t>
            </w:r>
            <w:proofErr w:type="spellStart"/>
            <w:r w:rsidRPr="00A73A1E">
              <w:rPr>
                <w:lang w:eastAsia="ja-JP"/>
              </w:rPr>
              <w:t>dBW</w:t>
            </w:r>
            <w:proofErr w:type="spellEnd"/>
            <w:r w:rsidRPr="00A73A1E">
              <w:rPr>
                <w:lang w:eastAsia="ja-JP"/>
              </w:rPr>
              <w:t>)</w:t>
            </w:r>
          </w:p>
        </w:tc>
        <w:tc>
          <w:tcPr>
            <w:tcW w:w="487" w:type="pct"/>
            <w:vAlign w:val="center"/>
          </w:tcPr>
          <w:p w14:paraId="70D8158D" w14:textId="77777777" w:rsidR="003244CE" w:rsidRPr="00A73A1E" w:rsidRDefault="003244CE" w:rsidP="009C40C0">
            <w:pPr>
              <w:pStyle w:val="Tabletext"/>
              <w:jc w:val="center"/>
            </w:pPr>
            <w:r w:rsidRPr="00A73A1E">
              <w:t>–70</w:t>
            </w:r>
          </w:p>
        </w:tc>
        <w:tc>
          <w:tcPr>
            <w:tcW w:w="532" w:type="pct"/>
            <w:vAlign w:val="center"/>
          </w:tcPr>
          <w:p w14:paraId="2CBFABF3" w14:textId="77777777" w:rsidR="003244CE" w:rsidRPr="00A73A1E" w:rsidRDefault="003244CE" w:rsidP="009C40C0">
            <w:pPr>
              <w:pStyle w:val="Tabletext"/>
              <w:jc w:val="center"/>
            </w:pPr>
            <w:r w:rsidRPr="00A73A1E">
              <w:t>–70</w:t>
            </w:r>
          </w:p>
        </w:tc>
        <w:tc>
          <w:tcPr>
            <w:tcW w:w="532" w:type="pct"/>
            <w:vAlign w:val="center"/>
          </w:tcPr>
          <w:p w14:paraId="50344824" w14:textId="77777777" w:rsidR="003244CE" w:rsidRPr="00A73A1E" w:rsidRDefault="003244CE" w:rsidP="009C40C0">
            <w:pPr>
              <w:pStyle w:val="Tabletext"/>
              <w:jc w:val="center"/>
            </w:pPr>
            <w:r w:rsidRPr="00A73A1E">
              <w:t>–70</w:t>
            </w:r>
          </w:p>
        </w:tc>
        <w:tc>
          <w:tcPr>
            <w:tcW w:w="532" w:type="pct"/>
            <w:vAlign w:val="center"/>
          </w:tcPr>
          <w:p w14:paraId="00C07622" w14:textId="77777777" w:rsidR="003244CE" w:rsidRPr="00A73A1E" w:rsidRDefault="003244CE" w:rsidP="009C40C0">
            <w:pPr>
              <w:pStyle w:val="Tabletext"/>
              <w:jc w:val="center"/>
            </w:pPr>
            <w:r w:rsidRPr="00A73A1E">
              <w:t>–70</w:t>
            </w:r>
          </w:p>
        </w:tc>
        <w:tc>
          <w:tcPr>
            <w:tcW w:w="532" w:type="pct"/>
            <w:vAlign w:val="center"/>
          </w:tcPr>
          <w:p w14:paraId="72809CC9" w14:textId="77777777" w:rsidR="003244CE" w:rsidRPr="00A73A1E" w:rsidRDefault="003244CE" w:rsidP="009C40C0">
            <w:pPr>
              <w:pStyle w:val="Tabletext"/>
              <w:jc w:val="center"/>
            </w:pPr>
            <w:r w:rsidRPr="00A73A1E">
              <w:t>–70</w:t>
            </w:r>
          </w:p>
        </w:tc>
        <w:tc>
          <w:tcPr>
            <w:tcW w:w="532" w:type="pct"/>
            <w:vAlign w:val="center"/>
          </w:tcPr>
          <w:p w14:paraId="4B0BD231" w14:textId="77777777" w:rsidR="003244CE" w:rsidRPr="00A73A1E" w:rsidRDefault="003244CE" w:rsidP="009C40C0">
            <w:pPr>
              <w:pStyle w:val="Tabletext"/>
              <w:jc w:val="center"/>
            </w:pPr>
            <w:r w:rsidRPr="00A73A1E">
              <w:t>–70</w:t>
            </w:r>
          </w:p>
        </w:tc>
      </w:tr>
      <w:tr w:rsidR="003244CE" w:rsidRPr="00A73A1E" w14:paraId="5978EC96" w14:textId="77777777" w:rsidTr="00C04629">
        <w:trPr>
          <w:cantSplit/>
          <w:jc w:val="center"/>
        </w:trPr>
        <w:tc>
          <w:tcPr>
            <w:tcW w:w="1852" w:type="pct"/>
            <w:tcBorders>
              <w:bottom w:val="single" w:sz="4" w:space="0" w:color="auto"/>
            </w:tcBorders>
            <w:vAlign w:val="center"/>
          </w:tcPr>
          <w:p w14:paraId="44F6558B" w14:textId="77777777" w:rsidR="003244CE" w:rsidRPr="00A73A1E" w:rsidRDefault="003244CE" w:rsidP="00C04629">
            <w:pPr>
              <w:pStyle w:val="Tabletext"/>
              <w:jc w:val="left"/>
            </w:pPr>
            <w:r w:rsidRPr="00A73A1E">
              <w:rPr>
                <w:lang w:eastAsia="ja-JP"/>
              </w:rPr>
              <w:t>Receiver input survival level (</w:t>
            </w:r>
            <w:proofErr w:type="spellStart"/>
            <w:r w:rsidRPr="00A73A1E">
              <w:rPr>
                <w:lang w:eastAsia="ja-JP"/>
              </w:rPr>
              <w:t>dBW</w:t>
            </w:r>
            <w:proofErr w:type="spellEnd"/>
            <w:r w:rsidRPr="00A73A1E">
              <w:rPr>
                <w:lang w:eastAsia="ja-JP"/>
              </w:rPr>
              <w:t>)</w:t>
            </w:r>
          </w:p>
        </w:tc>
        <w:tc>
          <w:tcPr>
            <w:tcW w:w="487" w:type="pct"/>
            <w:tcBorders>
              <w:bottom w:val="single" w:sz="4" w:space="0" w:color="auto"/>
            </w:tcBorders>
            <w:vAlign w:val="center"/>
          </w:tcPr>
          <w:p w14:paraId="393C91BC" w14:textId="77777777" w:rsidR="003244CE" w:rsidRPr="00A73A1E" w:rsidRDefault="003244CE" w:rsidP="009C40C0">
            <w:pPr>
              <w:pStyle w:val="Tabletext"/>
              <w:jc w:val="center"/>
            </w:pPr>
            <w:r w:rsidRPr="00A73A1E">
              <w:t>–20</w:t>
            </w:r>
          </w:p>
        </w:tc>
        <w:tc>
          <w:tcPr>
            <w:tcW w:w="532" w:type="pct"/>
            <w:tcBorders>
              <w:bottom w:val="single" w:sz="4" w:space="0" w:color="auto"/>
            </w:tcBorders>
            <w:vAlign w:val="center"/>
          </w:tcPr>
          <w:p w14:paraId="63AFA3C6" w14:textId="77777777" w:rsidR="003244CE" w:rsidRPr="00A73A1E" w:rsidRDefault="003244CE" w:rsidP="009C40C0">
            <w:pPr>
              <w:pStyle w:val="Tabletext"/>
              <w:jc w:val="center"/>
            </w:pPr>
            <w:r w:rsidRPr="00A73A1E">
              <w:t>–20</w:t>
            </w:r>
          </w:p>
        </w:tc>
        <w:tc>
          <w:tcPr>
            <w:tcW w:w="532" w:type="pct"/>
            <w:tcBorders>
              <w:bottom w:val="single" w:sz="4" w:space="0" w:color="auto"/>
            </w:tcBorders>
            <w:vAlign w:val="center"/>
          </w:tcPr>
          <w:p w14:paraId="642AD1E6" w14:textId="77777777" w:rsidR="003244CE" w:rsidRPr="00A73A1E" w:rsidRDefault="003244CE" w:rsidP="009C40C0">
            <w:pPr>
              <w:pStyle w:val="Tabletext"/>
              <w:jc w:val="center"/>
            </w:pPr>
            <w:r w:rsidRPr="00A73A1E">
              <w:t>–20</w:t>
            </w:r>
          </w:p>
        </w:tc>
        <w:tc>
          <w:tcPr>
            <w:tcW w:w="532" w:type="pct"/>
            <w:tcBorders>
              <w:bottom w:val="single" w:sz="4" w:space="0" w:color="auto"/>
            </w:tcBorders>
            <w:vAlign w:val="center"/>
          </w:tcPr>
          <w:p w14:paraId="59C33EC4" w14:textId="77777777" w:rsidR="003244CE" w:rsidRPr="00A73A1E" w:rsidRDefault="003244CE" w:rsidP="009C40C0">
            <w:pPr>
              <w:pStyle w:val="Tabletext"/>
              <w:jc w:val="center"/>
            </w:pPr>
            <w:r w:rsidRPr="00A73A1E">
              <w:t>–20</w:t>
            </w:r>
          </w:p>
        </w:tc>
        <w:tc>
          <w:tcPr>
            <w:tcW w:w="532" w:type="pct"/>
            <w:tcBorders>
              <w:bottom w:val="single" w:sz="4" w:space="0" w:color="auto"/>
            </w:tcBorders>
            <w:vAlign w:val="center"/>
          </w:tcPr>
          <w:p w14:paraId="324BD9B8" w14:textId="77777777" w:rsidR="003244CE" w:rsidRPr="00A73A1E" w:rsidRDefault="003244CE" w:rsidP="009C40C0">
            <w:pPr>
              <w:pStyle w:val="Tabletext"/>
              <w:jc w:val="center"/>
            </w:pPr>
            <w:r w:rsidRPr="00A73A1E">
              <w:t>–20</w:t>
            </w:r>
          </w:p>
        </w:tc>
        <w:tc>
          <w:tcPr>
            <w:tcW w:w="532" w:type="pct"/>
            <w:tcBorders>
              <w:bottom w:val="single" w:sz="4" w:space="0" w:color="auto"/>
            </w:tcBorders>
            <w:vAlign w:val="center"/>
          </w:tcPr>
          <w:p w14:paraId="22EC2CA1" w14:textId="77777777" w:rsidR="003244CE" w:rsidRPr="00A73A1E" w:rsidRDefault="003244CE" w:rsidP="009C40C0">
            <w:pPr>
              <w:pStyle w:val="Tabletext"/>
              <w:jc w:val="center"/>
            </w:pPr>
            <w:r w:rsidRPr="00A73A1E">
              <w:t>–20</w:t>
            </w:r>
          </w:p>
        </w:tc>
      </w:tr>
      <w:tr w:rsidR="003244CE" w:rsidRPr="00A73A1E" w14:paraId="6076F0E1" w14:textId="77777777" w:rsidTr="00C04629">
        <w:trPr>
          <w:cantSplit/>
          <w:jc w:val="center"/>
        </w:trPr>
        <w:tc>
          <w:tcPr>
            <w:tcW w:w="5000" w:type="pct"/>
            <w:gridSpan w:val="7"/>
            <w:tcBorders>
              <w:top w:val="single" w:sz="4" w:space="0" w:color="auto"/>
              <w:left w:val="nil"/>
              <w:bottom w:val="nil"/>
              <w:right w:val="nil"/>
            </w:tcBorders>
            <w:vAlign w:val="center"/>
          </w:tcPr>
          <w:p w14:paraId="0F191701" w14:textId="77777777" w:rsidR="003244CE" w:rsidRPr="00A73A1E" w:rsidRDefault="003244CE" w:rsidP="009C40C0">
            <w:pPr>
              <w:pStyle w:val="Tabletext"/>
              <w:ind w:left="284" w:hanging="284"/>
              <w:rPr>
                <w:lang w:eastAsia="ja-JP"/>
              </w:rPr>
            </w:pPr>
            <w:r w:rsidRPr="00CB446C">
              <w:rPr>
                <w:vertAlign w:val="superscript"/>
                <w:lang w:eastAsia="ja-JP"/>
              </w:rPr>
              <w:t>(1)</w:t>
            </w:r>
            <w:r w:rsidRPr="00A73A1E">
              <w:rPr>
                <w:lang w:eastAsia="ja-JP"/>
              </w:rPr>
              <w:tab/>
              <w:t xml:space="preserve">SAR6 capable of transmitting the circular polarization (RHCP or LHCP is selectable by command), so the worst-case polarization loss for the RHCP receive antenna is assumed to be 0.0 </w:t>
            </w:r>
            <w:proofErr w:type="spellStart"/>
            <w:r w:rsidRPr="00A73A1E">
              <w:rPr>
                <w:lang w:eastAsia="ja-JP"/>
              </w:rPr>
              <w:t>dB.</w:t>
            </w:r>
            <w:proofErr w:type="spellEnd"/>
          </w:p>
          <w:p w14:paraId="5094330A" w14:textId="2F716C3B" w:rsidR="003244CE" w:rsidRPr="00A73A1E" w:rsidRDefault="003244CE" w:rsidP="009C40C0">
            <w:pPr>
              <w:pStyle w:val="Tabletext"/>
              <w:rPr>
                <w:lang w:eastAsia="ja-JP"/>
              </w:rPr>
            </w:pPr>
            <w:r w:rsidRPr="00CB446C">
              <w:rPr>
                <w:vertAlign w:val="superscript"/>
                <w:lang w:eastAsia="ja-JP"/>
              </w:rPr>
              <w:t>(</w:t>
            </w:r>
            <w:r>
              <w:rPr>
                <w:vertAlign w:val="superscript"/>
                <w:lang w:eastAsia="ja-JP"/>
              </w:rPr>
              <w:t>2</w:t>
            </w:r>
            <w:r w:rsidRPr="00CB446C">
              <w:rPr>
                <w:vertAlign w:val="superscript"/>
                <w:lang w:eastAsia="ja-JP"/>
              </w:rPr>
              <w:t>)</w:t>
            </w:r>
            <w:r w:rsidRPr="00A73A1E">
              <w:rPr>
                <w:lang w:eastAsia="ja-JP"/>
              </w:rPr>
              <w:tab/>
              <w:t>Polarization mismatch loss is defined in § 2.</w:t>
            </w:r>
            <w:r w:rsidR="004644EA">
              <w:rPr>
                <w:lang w:eastAsia="ja-JP"/>
              </w:rPr>
              <w:t>2</w:t>
            </w:r>
            <w:r w:rsidRPr="00A73A1E">
              <w:rPr>
                <w:lang w:eastAsia="ja-JP"/>
              </w:rPr>
              <w:t xml:space="preserve">.3 of Appendix </w:t>
            </w:r>
            <w:r w:rsidRPr="00A73A1E">
              <w:rPr>
                <w:b/>
                <w:bCs/>
                <w:lang w:eastAsia="ja-JP"/>
              </w:rPr>
              <w:t xml:space="preserve">8 </w:t>
            </w:r>
            <w:r w:rsidRPr="007E359E">
              <w:rPr>
                <w:b/>
                <w:bCs/>
                <w:lang w:eastAsia="ja-JP"/>
              </w:rPr>
              <w:t>(Rev.WRC-03)</w:t>
            </w:r>
            <w:r w:rsidRPr="00A73A1E">
              <w:rPr>
                <w:lang w:eastAsia="ja-JP"/>
              </w:rPr>
              <w:t xml:space="preserve"> of the Radio Regulations</w:t>
            </w:r>
            <w:r w:rsidR="004644EA">
              <w:rPr>
                <w:lang w:eastAsia="ja-JP"/>
              </w:rPr>
              <w:t xml:space="preserve"> (</w:t>
            </w:r>
            <w:r w:rsidR="007E359E">
              <w:rPr>
                <w:lang w:eastAsia="ja-JP"/>
              </w:rPr>
              <w:t xml:space="preserve">Edition </w:t>
            </w:r>
            <w:r w:rsidR="004644EA">
              <w:rPr>
                <w:lang w:eastAsia="ja-JP"/>
              </w:rPr>
              <w:t>2004)</w:t>
            </w:r>
            <w:r w:rsidRPr="00A73A1E">
              <w:rPr>
                <w:lang w:eastAsia="ja-JP"/>
              </w:rPr>
              <w:t>.</w:t>
            </w:r>
          </w:p>
        </w:tc>
      </w:tr>
    </w:tbl>
    <w:p w14:paraId="4E03D74E" w14:textId="77777777" w:rsidR="003244CE" w:rsidRPr="00A73A1E" w:rsidRDefault="003244CE" w:rsidP="003244CE">
      <w:pPr>
        <w:pStyle w:val="Tablefin"/>
        <w:rPr>
          <w:rFonts w:eastAsia="MS Mincho"/>
        </w:rPr>
      </w:pPr>
    </w:p>
    <w:p w14:paraId="0467B6F0" w14:textId="77777777" w:rsidR="003244CE" w:rsidRPr="00A73A1E" w:rsidRDefault="003244CE" w:rsidP="003244CE">
      <w:r w:rsidRPr="00A73A1E">
        <w:t xml:space="preserve">Since all the cells in the Table </w:t>
      </w:r>
      <w:r>
        <w:t>10</w:t>
      </w:r>
      <w:r w:rsidRPr="00A73A1E">
        <w:t xml:space="preserve"> row of maximum received interference peak power values are below the receiver input survival level, these representative systems do not exceed the allowable interference criteria from a peak power standpoint with the QZSS indoor positioning receiver. However, since all but one of the </w:t>
      </w:r>
      <w:proofErr w:type="gramStart"/>
      <w:r w:rsidRPr="00A73A1E">
        <w:t>maximum</w:t>
      </w:r>
      <w:proofErr w:type="gramEnd"/>
      <w:r w:rsidRPr="00A73A1E">
        <w:t xml:space="preserve"> received peak power results are within 15 dB of the QZSS receiver input saturation level, further interference evaluation analysis using the method of Annex 1, </w:t>
      </w:r>
      <w:r>
        <w:t>§</w:t>
      </w:r>
      <w:r w:rsidRPr="00A73A1E">
        <w:t xml:space="preserve"> 4.2, is warranted.</w:t>
      </w:r>
    </w:p>
    <w:p w14:paraId="19E1C25F" w14:textId="77777777" w:rsidR="003244CE" w:rsidRPr="00A73A1E" w:rsidRDefault="003244CE" w:rsidP="003244CE">
      <w:pPr>
        <w:pStyle w:val="TableNo"/>
      </w:pPr>
      <w:r w:rsidRPr="00A73A1E">
        <w:lastRenderedPageBreak/>
        <w:t xml:space="preserve">TABLE </w:t>
      </w:r>
      <w:r>
        <w:t>11</w:t>
      </w:r>
    </w:p>
    <w:p w14:paraId="04EA7E4C" w14:textId="77777777" w:rsidR="003244CE" w:rsidRPr="00A73A1E" w:rsidRDefault="003244CE" w:rsidP="003244CE">
      <w:pPr>
        <w:pStyle w:val="Tabletitle"/>
      </w:pPr>
      <w:r w:rsidRPr="00A73A1E">
        <w:t>Maximum received peak RFI power for (GPS) SBAS ground reference receivers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4"/>
        <w:gridCol w:w="927"/>
        <w:gridCol w:w="1176"/>
        <w:gridCol w:w="1176"/>
        <w:gridCol w:w="1176"/>
        <w:gridCol w:w="1176"/>
        <w:gridCol w:w="1174"/>
      </w:tblGrid>
      <w:tr w:rsidR="003244CE" w:rsidRPr="00A73A1E" w14:paraId="037A7184" w14:textId="77777777" w:rsidTr="00C04629">
        <w:trPr>
          <w:cantSplit/>
          <w:tblHeader/>
          <w:jc w:val="center"/>
        </w:trPr>
        <w:tc>
          <w:tcPr>
            <w:tcW w:w="1470" w:type="pct"/>
          </w:tcPr>
          <w:p w14:paraId="32FBDD89" w14:textId="77777777" w:rsidR="003244CE" w:rsidRPr="00A73A1E" w:rsidRDefault="003244CE" w:rsidP="009C40C0">
            <w:pPr>
              <w:pStyle w:val="Tablehead"/>
            </w:pPr>
            <w:r w:rsidRPr="00A73A1E">
              <w:t>Parameter</w:t>
            </w:r>
          </w:p>
        </w:tc>
        <w:tc>
          <w:tcPr>
            <w:tcW w:w="481" w:type="pct"/>
          </w:tcPr>
          <w:p w14:paraId="036EA5E4" w14:textId="77777777" w:rsidR="003244CE" w:rsidRPr="00A73A1E" w:rsidRDefault="003244CE" w:rsidP="009C40C0">
            <w:pPr>
              <w:pStyle w:val="Tablehead"/>
            </w:pPr>
            <w:r w:rsidRPr="00A73A1E">
              <w:t>SAR1</w:t>
            </w:r>
          </w:p>
        </w:tc>
        <w:tc>
          <w:tcPr>
            <w:tcW w:w="610" w:type="pct"/>
          </w:tcPr>
          <w:p w14:paraId="46DEDC7E" w14:textId="77777777" w:rsidR="003244CE" w:rsidRPr="00A73A1E" w:rsidRDefault="003244CE" w:rsidP="009C40C0">
            <w:pPr>
              <w:pStyle w:val="Tablehead"/>
            </w:pPr>
            <w:r w:rsidRPr="00A73A1E">
              <w:t>SAR2</w:t>
            </w:r>
          </w:p>
        </w:tc>
        <w:tc>
          <w:tcPr>
            <w:tcW w:w="610" w:type="pct"/>
          </w:tcPr>
          <w:p w14:paraId="6EBD9E3E" w14:textId="77777777" w:rsidR="003244CE" w:rsidRPr="00A73A1E" w:rsidRDefault="003244CE" w:rsidP="009C40C0">
            <w:pPr>
              <w:pStyle w:val="Tablehead"/>
              <w:rPr>
                <w:lang w:eastAsia="ja-JP"/>
              </w:rPr>
            </w:pPr>
            <w:r w:rsidRPr="00A73A1E">
              <w:rPr>
                <w:lang w:eastAsia="ja-JP"/>
              </w:rPr>
              <w:t>SAR3</w:t>
            </w:r>
          </w:p>
        </w:tc>
        <w:tc>
          <w:tcPr>
            <w:tcW w:w="610" w:type="pct"/>
          </w:tcPr>
          <w:p w14:paraId="7B6CB3DF" w14:textId="77777777" w:rsidR="003244CE" w:rsidRPr="00A73A1E" w:rsidRDefault="003244CE" w:rsidP="009C40C0">
            <w:pPr>
              <w:pStyle w:val="Tablehead"/>
              <w:rPr>
                <w:lang w:eastAsia="ja-JP"/>
              </w:rPr>
            </w:pPr>
            <w:r w:rsidRPr="00A73A1E">
              <w:rPr>
                <w:lang w:eastAsia="ja-JP"/>
              </w:rPr>
              <w:t>SAR4</w:t>
            </w:r>
          </w:p>
        </w:tc>
        <w:tc>
          <w:tcPr>
            <w:tcW w:w="610" w:type="pct"/>
          </w:tcPr>
          <w:p w14:paraId="143D5BE3" w14:textId="77777777" w:rsidR="003244CE" w:rsidRPr="00A73A1E" w:rsidRDefault="003244CE" w:rsidP="009C40C0">
            <w:pPr>
              <w:pStyle w:val="Tablehead"/>
              <w:rPr>
                <w:lang w:eastAsia="ja-JP"/>
              </w:rPr>
            </w:pPr>
            <w:r w:rsidRPr="00A73A1E">
              <w:rPr>
                <w:lang w:eastAsia="ja-JP"/>
              </w:rPr>
              <w:t>SAR5</w:t>
            </w:r>
          </w:p>
        </w:tc>
        <w:tc>
          <w:tcPr>
            <w:tcW w:w="609" w:type="pct"/>
          </w:tcPr>
          <w:p w14:paraId="10FAE045" w14:textId="77777777" w:rsidR="003244CE" w:rsidRPr="00A73A1E" w:rsidRDefault="003244CE" w:rsidP="009C40C0">
            <w:pPr>
              <w:pStyle w:val="Tablehead"/>
              <w:rPr>
                <w:lang w:eastAsia="ja-JP"/>
              </w:rPr>
            </w:pPr>
            <w:r w:rsidRPr="00A73A1E">
              <w:rPr>
                <w:lang w:eastAsia="ja-JP"/>
              </w:rPr>
              <w:t>SAR6</w:t>
            </w:r>
          </w:p>
        </w:tc>
      </w:tr>
      <w:tr w:rsidR="003244CE" w:rsidRPr="00A73A1E" w14:paraId="210548C9" w14:textId="77777777" w:rsidTr="00C04629">
        <w:trPr>
          <w:cantSplit/>
          <w:jc w:val="center"/>
        </w:trPr>
        <w:tc>
          <w:tcPr>
            <w:tcW w:w="1470" w:type="pct"/>
          </w:tcPr>
          <w:p w14:paraId="0B617C25" w14:textId="77777777" w:rsidR="003244CE" w:rsidRPr="00A73A1E" w:rsidRDefault="003244CE" w:rsidP="002C7DA3">
            <w:pPr>
              <w:pStyle w:val="Tabletext"/>
              <w:jc w:val="left"/>
            </w:pPr>
            <w:r w:rsidRPr="00A73A1E">
              <w:t>Centre frequency (MHz)</w:t>
            </w:r>
            <w:r w:rsidRPr="00A73A1E">
              <w:rPr>
                <w:position w:val="6"/>
                <w:sz w:val="14"/>
                <w:szCs w:val="14"/>
              </w:rPr>
              <w:footnoteReference w:id="14"/>
            </w:r>
          </w:p>
        </w:tc>
        <w:tc>
          <w:tcPr>
            <w:tcW w:w="481" w:type="pct"/>
            <w:vAlign w:val="center"/>
          </w:tcPr>
          <w:p w14:paraId="35E44AD8" w14:textId="77777777" w:rsidR="003244CE" w:rsidRPr="00A73A1E" w:rsidRDefault="003244CE" w:rsidP="009C40C0">
            <w:pPr>
              <w:pStyle w:val="Tabletext"/>
              <w:jc w:val="center"/>
            </w:pPr>
            <w:r w:rsidRPr="00A73A1E">
              <w:t>1 257.5</w:t>
            </w:r>
          </w:p>
        </w:tc>
        <w:tc>
          <w:tcPr>
            <w:tcW w:w="610" w:type="pct"/>
            <w:vAlign w:val="center"/>
          </w:tcPr>
          <w:p w14:paraId="12180B2D" w14:textId="77777777" w:rsidR="003244CE" w:rsidRPr="00A73A1E" w:rsidRDefault="003244CE" w:rsidP="009C40C0">
            <w:pPr>
              <w:pStyle w:val="Tabletext"/>
              <w:jc w:val="center"/>
            </w:pPr>
            <w:r w:rsidRPr="00A73A1E">
              <w:t>1 257.5</w:t>
            </w:r>
          </w:p>
        </w:tc>
        <w:tc>
          <w:tcPr>
            <w:tcW w:w="610" w:type="pct"/>
            <w:vAlign w:val="center"/>
          </w:tcPr>
          <w:p w14:paraId="3F71747F" w14:textId="77777777" w:rsidR="003244CE" w:rsidRPr="00A73A1E" w:rsidRDefault="003244CE" w:rsidP="009C40C0">
            <w:pPr>
              <w:pStyle w:val="Tabletext"/>
              <w:jc w:val="center"/>
            </w:pPr>
            <w:r w:rsidRPr="00A73A1E">
              <w:t>1 215.0-</w:t>
            </w:r>
            <w:r w:rsidRPr="00A73A1E">
              <w:br/>
              <w:t>1 300.0</w:t>
            </w:r>
          </w:p>
        </w:tc>
        <w:tc>
          <w:tcPr>
            <w:tcW w:w="610" w:type="pct"/>
            <w:vAlign w:val="center"/>
          </w:tcPr>
          <w:p w14:paraId="7E8EF9FC" w14:textId="77777777" w:rsidR="003244CE" w:rsidRPr="00A73A1E" w:rsidRDefault="003244CE" w:rsidP="009C40C0">
            <w:pPr>
              <w:pStyle w:val="Tabletext"/>
              <w:jc w:val="center"/>
            </w:pPr>
            <w:r w:rsidRPr="00A73A1E">
              <w:t>1 257.5</w:t>
            </w:r>
          </w:p>
        </w:tc>
        <w:tc>
          <w:tcPr>
            <w:tcW w:w="610" w:type="pct"/>
            <w:vAlign w:val="center"/>
          </w:tcPr>
          <w:p w14:paraId="4E192E2F" w14:textId="77777777" w:rsidR="003244CE" w:rsidRPr="00A73A1E" w:rsidRDefault="003244CE" w:rsidP="009C40C0">
            <w:pPr>
              <w:pStyle w:val="Tabletext"/>
              <w:jc w:val="center"/>
            </w:pPr>
            <w:r w:rsidRPr="00A73A1E">
              <w:t>1 215.0-</w:t>
            </w:r>
            <w:r w:rsidRPr="00A73A1E">
              <w:br/>
              <w:t>1 300.0</w:t>
            </w:r>
          </w:p>
        </w:tc>
        <w:tc>
          <w:tcPr>
            <w:tcW w:w="609" w:type="pct"/>
            <w:vAlign w:val="center"/>
          </w:tcPr>
          <w:p w14:paraId="370DA1CF" w14:textId="77777777" w:rsidR="003244CE" w:rsidRPr="00A73A1E" w:rsidRDefault="003244CE" w:rsidP="009C40C0">
            <w:pPr>
              <w:pStyle w:val="Tabletext"/>
              <w:jc w:val="center"/>
            </w:pPr>
            <w:r w:rsidRPr="00A73A1E">
              <w:t>1 215.0-</w:t>
            </w:r>
            <w:r w:rsidRPr="00A73A1E">
              <w:br/>
              <w:t>1 300.0</w:t>
            </w:r>
          </w:p>
        </w:tc>
      </w:tr>
      <w:tr w:rsidR="003244CE" w:rsidRPr="00A73A1E" w14:paraId="784964BE" w14:textId="77777777" w:rsidTr="00C04629">
        <w:trPr>
          <w:cantSplit/>
          <w:jc w:val="center"/>
        </w:trPr>
        <w:tc>
          <w:tcPr>
            <w:tcW w:w="1470" w:type="pct"/>
          </w:tcPr>
          <w:p w14:paraId="62C5FE8A" w14:textId="77777777" w:rsidR="003244CE" w:rsidRPr="00A73A1E" w:rsidRDefault="003244CE" w:rsidP="002C7DA3">
            <w:pPr>
              <w:pStyle w:val="Tabletext"/>
              <w:jc w:val="left"/>
            </w:pPr>
            <w:r w:rsidRPr="00A73A1E">
              <w:t xml:space="preserve">Peak </w:t>
            </w:r>
            <w:r w:rsidRPr="00A73A1E">
              <w:rPr>
                <w:lang w:eastAsia="ja-JP"/>
              </w:rPr>
              <w:t>transmitter</w:t>
            </w:r>
            <w:r w:rsidRPr="00A73A1E">
              <w:t xml:space="preserve"> power (</w:t>
            </w:r>
            <w:proofErr w:type="spellStart"/>
            <w:r w:rsidRPr="00A73A1E">
              <w:t>dBW</w:t>
            </w:r>
            <w:proofErr w:type="spellEnd"/>
            <w:r w:rsidRPr="00A73A1E">
              <w:t>)</w:t>
            </w:r>
          </w:p>
        </w:tc>
        <w:tc>
          <w:tcPr>
            <w:tcW w:w="481" w:type="pct"/>
            <w:vAlign w:val="center"/>
          </w:tcPr>
          <w:p w14:paraId="60C2E4D3" w14:textId="77777777" w:rsidR="003244CE" w:rsidRPr="00A73A1E" w:rsidRDefault="003244CE" w:rsidP="009C40C0">
            <w:pPr>
              <w:pStyle w:val="Tabletext"/>
              <w:jc w:val="center"/>
              <w:rPr>
                <w:color w:val="000000"/>
              </w:rPr>
            </w:pPr>
            <w:r w:rsidRPr="00A73A1E">
              <w:rPr>
                <w:color w:val="000000"/>
              </w:rPr>
              <w:t>35.1</w:t>
            </w:r>
          </w:p>
        </w:tc>
        <w:tc>
          <w:tcPr>
            <w:tcW w:w="610" w:type="pct"/>
            <w:vAlign w:val="center"/>
          </w:tcPr>
          <w:p w14:paraId="2FD153B0" w14:textId="77777777" w:rsidR="003244CE" w:rsidRPr="00A73A1E" w:rsidRDefault="003244CE" w:rsidP="009C40C0">
            <w:pPr>
              <w:pStyle w:val="Tabletext"/>
              <w:jc w:val="center"/>
              <w:rPr>
                <w:color w:val="000000"/>
              </w:rPr>
            </w:pPr>
            <w:r w:rsidRPr="00A73A1E">
              <w:rPr>
                <w:color w:val="000000"/>
              </w:rPr>
              <w:t>30.8</w:t>
            </w:r>
          </w:p>
        </w:tc>
        <w:tc>
          <w:tcPr>
            <w:tcW w:w="610" w:type="pct"/>
            <w:vAlign w:val="center"/>
          </w:tcPr>
          <w:p w14:paraId="0C844309" w14:textId="77777777" w:rsidR="003244CE" w:rsidRPr="00A73A1E" w:rsidRDefault="003244CE" w:rsidP="009C40C0">
            <w:pPr>
              <w:pStyle w:val="Tabletext"/>
              <w:jc w:val="center"/>
              <w:rPr>
                <w:color w:val="000000"/>
              </w:rPr>
            </w:pPr>
            <w:r w:rsidRPr="00A73A1E">
              <w:rPr>
                <w:color w:val="000000"/>
              </w:rPr>
              <w:t>35.1</w:t>
            </w:r>
          </w:p>
        </w:tc>
        <w:tc>
          <w:tcPr>
            <w:tcW w:w="610" w:type="pct"/>
            <w:vAlign w:val="center"/>
          </w:tcPr>
          <w:p w14:paraId="490C574F" w14:textId="77777777" w:rsidR="003244CE" w:rsidRPr="00A73A1E" w:rsidRDefault="003244CE" w:rsidP="009C40C0">
            <w:pPr>
              <w:pStyle w:val="Tabletext"/>
              <w:jc w:val="center"/>
              <w:rPr>
                <w:color w:val="000000"/>
              </w:rPr>
            </w:pPr>
            <w:r w:rsidRPr="00A73A1E">
              <w:rPr>
                <w:color w:val="000000"/>
              </w:rPr>
              <w:t>36.0</w:t>
            </w:r>
          </w:p>
        </w:tc>
        <w:tc>
          <w:tcPr>
            <w:tcW w:w="610" w:type="pct"/>
            <w:vAlign w:val="center"/>
          </w:tcPr>
          <w:p w14:paraId="797E3D86" w14:textId="77777777" w:rsidR="003244CE" w:rsidRPr="00A73A1E" w:rsidRDefault="003244CE" w:rsidP="009C40C0">
            <w:pPr>
              <w:pStyle w:val="Tabletext"/>
              <w:jc w:val="center"/>
              <w:rPr>
                <w:color w:val="000000"/>
              </w:rPr>
            </w:pPr>
            <w:r w:rsidRPr="00A73A1E">
              <w:rPr>
                <w:color w:val="000000"/>
              </w:rPr>
              <w:t>37.9</w:t>
            </w:r>
          </w:p>
        </w:tc>
        <w:tc>
          <w:tcPr>
            <w:tcW w:w="609" w:type="pct"/>
            <w:vAlign w:val="center"/>
          </w:tcPr>
          <w:p w14:paraId="7B0B36FC" w14:textId="77777777" w:rsidR="003244CE" w:rsidRPr="00A73A1E" w:rsidRDefault="003244CE" w:rsidP="009C40C0">
            <w:pPr>
              <w:pStyle w:val="Tabletext"/>
              <w:jc w:val="center"/>
              <w:rPr>
                <w:color w:val="000000"/>
              </w:rPr>
            </w:pPr>
            <w:r w:rsidRPr="00A73A1E">
              <w:rPr>
                <w:color w:val="000000"/>
              </w:rPr>
              <w:t>37.9</w:t>
            </w:r>
          </w:p>
        </w:tc>
      </w:tr>
      <w:tr w:rsidR="003244CE" w:rsidRPr="00A73A1E" w14:paraId="4F13932A" w14:textId="77777777" w:rsidTr="00C04629">
        <w:trPr>
          <w:cantSplit/>
          <w:jc w:val="center"/>
        </w:trPr>
        <w:tc>
          <w:tcPr>
            <w:tcW w:w="1470" w:type="pct"/>
          </w:tcPr>
          <w:p w14:paraId="32AACF53" w14:textId="77777777" w:rsidR="003244CE" w:rsidRPr="00A73A1E" w:rsidRDefault="003244CE" w:rsidP="002C7DA3">
            <w:pPr>
              <w:pStyle w:val="Tabletext"/>
              <w:jc w:val="left"/>
            </w:pPr>
            <w:r w:rsidRPr="00A73A1E">
              <w:t>Transmitter antenna gain (dB)</w:t>
            </w:r>
          </w:p>
        </w:tc>
        <w:tc>
          <w:tcPr>
            <w:tcW w:w="481" w:type="pct"/>
            <w:vAlign w:val="center"/>
          </w:tcPr>
          <w:p w14:paraId="5DE07832" w14:textId="77777777" w:rsidR="003244CE" w:rsidRPr="00A73A1E" w:rsidRDefault="003244CE" w:rsidP="009C40C0">
            <w:pPr>
              <w:pStyle w:val="Tabletext"/>
              <w:jc w:val="center"/>
              <w:rPr>
                <w:color w:val="000000"/>
              </w:rPr>
            </w:pPr>
            <w:r w:rsidRPr="00A73A1E">
              <w:rPr>
                <w:color w:val="000000"/>
              </w:rPr>
              <w:t>36.4</w:t>
            </w:r>
          </w:p>
        </w:tc>
        <w:tc>
          <w:tcPr>
            <w:tcW w:w="610" w:type="pct"/>
            <w:vAlign w:val="center"/>
          </w:tcPr>
          <w:p w14:paraId="076FF63A" w14:textId="77777777" w:rsidR="003244CE" w:rsidRPr="00A73A1E" w:rsidRDefault="003244CE" w:rsidP="009C40C0">
            <w:pPr>
              <w:pStyle w:val="Tabletext"/>
              <w:jc w:val="center"/>
              <w:rPr>
                <w:color w:val="000000"/>
              </w:rPr>
            </w:pPr>
            <w:r w:rsidRPr="00A73A1E">
              <w:rPr>
                <w:color w:val="000000"/>
              </w:rPr>
              <w:t>33.0</w:t>
            </w:r>
          </w:p>
        </w:tc>
        <w:tc>
          <w:tcPr>
            <w:tcW w:w="610" w:type="pct"/>
            <w:vAlign w:val="center"/>
          </w:tcPr>
          <w:p w14:paraId="6D45BD4C" w14:textId="77777777" w:rsidR="003244CE" w:rsidRPr="00A73A1E" w:rsidRDefault="003244CE" w:rsidP="009C40C0">
            <w:pPr>
              <w:pStyle w:val="Tabletext"/>
              <w:jc w:val="center"/>
              <w:rPr>
                <w:color w:val="000000"/>
              </w:rPr>
            </w:pPr>
            <w:r w:rsidRPr="00A73A1E">
              <w:rPr>
                <w:color w:val="000000"/>
              </w:rPr>
              <w:t>33.4</w:t>
            </w:r>
          </w:p>
        </w:tc>
        <w:tc>
          <w:tcPr>
            <w:tcW w:w="610" w:type="pct"/>
            <w:vAlign w:val="center"/>
          </w:tcPr>
          <w:p w14:paraId="277C0F96" w14:textId="77777777" w:rsidR="003244CE" w:rsidRPr="00A73A1E" w:rsidRDefault="003244CE" w:rsidP="009C40C0">
            <w:pPr>
              <w:pStyle w:val="Tabletext"/>
              <w:jc w:val="center"/>
              <w:rPr>
                <w:color w:val="000000"/>
              </w:rPr>
            </w:pPr>
            <w:r w:rsidRPr="00A73A1E">
              <w:rPr>
                <w:color w:val="000000"/>
              </w:rPr>
              <w:t>34.7</w:t>
            </w:r>
          </w:p>
        </w:tc>
        <w:tc>
          <w:tcPr>
            <w:tcW w:w="610" w:type="pct"/>
            <w:vAlign w:val="center"/>
          </w:tcPr>
          <w:p w14:paraId="5D6EB473" w14:textId="77777777" w:rsidR="003244CE" w:rsidRPr="00A73A1E" w:rsidRDefault="003244CE" w:rsidP="009C40C0">
            <w:pPr>
              <w:pStyle w:val="Tabletext"/>
              <w:jc w:val="center"/>
              <w:rPr>
                <w:color w:val="000000"/>
              </w:rPr>
            </w:pPr>
            <w:r w:rsidRPr="00A73A1E">
              <w:rPr>
                <w:color w:val="000000"/>
              </w:rPr>
              <w:t>36.6</w:t>
            </w:r>
          </w:p>
        </w:tc>
        <w:tc>
          <w:tcPr>
            <w:tcW w:w="609" w:type="pct"/>
            <w:vAlign w:val="center"/>
          </w:tcPr>
          <w:p w14:paraId="7B0D7A23" w14:textId="77777777" w:rsidR="003244CE" w:rsidRPr="00A73A1E" w:rsidRDefault="003244CE" w:rsidP="009C40C0">
            <w:pPr>
              <w:pStyle w:val="Tabletext"/>
              <w:jc w:val="center"/>
              <w:rPr>
                <w:color w:val="000000"/>
              </w:rPr>
            </w:pPr>
            <w:r w:rsidRPr="00A73A1E">
              <w:rPr>
                <w:color w:val="000000"/>
                <w:lang w:eastAsia="ja-JP"/>
              </w:rPr>
              <w:t>36.6</w:t>
            </w:r>
          </w:p>
        </w:tc>
      </w:tr>
      <w:tr w:rsidR="003244CE" w:rsidRPr="00A73A1E" w14:paraId="12737432" w14:textId="77777777" w:rsidTr="00C04629">
        <w:trPr>
          <w:cantSplit/>
          <w:jc w:val="center"/>
        </w:trPr>
        <w:tc>
          <w:tcPr>
            <w:tcW w:w="1470" w:type="pct"/>
          </w:tcPr>
          <w:p w14:paraId="3D01953D" w14:textId="77777777" w:rsidR="003244CE" w:rsidRPr="00A73A1E" w:rsidRDefault="003244CE" w:rsidP="002C7DA3">
            <w:pPr>
              <w:pStyle w:val="Tabletext"/>
              <w:jc w:val="left"/>
            </w:pPr>
            <w:r w:rsidRPr="00A73A1E">
              <w:t>Distance (km)</w:t>
            </w:r>
          </w:p>
        </w:tc>
        <w:tc>
          <w:tcPr>
            <w:tcW w:w="481" w:type="pct"/>
            <w:vAlign w:val="center"/>
          </w:tcPr>
          <w:p w14:paraId="00C71CFB" w14:textId="77777777" w:rsidR="003244CE" w:rsidRPr="00A73A1E" w:rsidRDefault="003244CE" w:rsidP="009C40C0">
            <w:pPr>
              <w:pStyle w:val="Tabletext"/>
              <w:jc w:val="center"/>
              <w:rPr>
                <w:color w:val="000000"/>
              </w:rPr>
            </w:pPr>
            <w:r w:rsidRPr="00A73A1E">
              <w:rPr>
                <w:color w:val="000000"/>
              </w:rPr>
              <w:t>427.5</w:t>
            </w:r>
          </w:p>
        </w:tc>
        <w:tc>
          <w:tcPr>
            <w:tcW w:w="610" w:type="pct"/>
            <w:vAlign w:val="center"/>
          </w:tcPr>
          <w:p w14:paraId="71AF7829" w14:textId="77777777" w:rsidR="003244CE" w:rsidRPr="00A73A1E" w:rsidRDefault="003244CE" w:rsidP="009C40C0">
            <w:pPr>
              <w:pStyle w:val="Tabletext"/>
              <w:jc w:val="center"/>
              <w:rPr>
                <w:color w:val="000000"/>
              </w:rPr>
            </w:pPr>
            <w:r w:rsidRPr="00A73A1E">
              <w:rPr>
                <w:color w:val="000000"/>
              </w:rPr>
              <w:t>710.8</w:t>
            </w:r>
          </w:p>
        </w:tc>
        <w:tc>
          <w:tcPr>
            <w:tcW w:w="610" w:type="pct"/>
            <w:vAlign w:val="center"/>
          </w:tcPr>
          <w:p w14:paraId="73A1B8D3" w14:textId="77777777" w:rsidR="003244CE" w:rsidRPr="00A73A1E" w:rsidRDefault="003244CE" w:rsidP="009C40C0">
            <w:pPr>
              <w:pStyle w:val="Tabletext"/>
              <w:jc w:val="center"/>
              <w:rPr>
                <w:color w:val="000000"/>
              </w:rPr>
            </w:pPr>
            <w:r w:rsidRPr="00A73A1E">
              <w:rPr>
                <w:color w:val="000000"/>
              </w:rPr>
              <w:t>898.5</w:t>
            </w:r>
          </w:p>
        </w:tc>
        <w:tc>
          <w:tcPr>
            <w:tcW w:w="610" w:type="pct"/>
            <w:vAlign w:val="center"/>
          </w:tcPr>
          <w:p w14:paraId="1E3C6CAB" w14:textId="77777777" w:rsidR="003244CE" w:rsidRPr="00A73A1E" w:rsidRDefault="003244CE" w:rsidP="009C40C0">
            <w:pPr>
              <w:pStyle w:val="Tabletext"/>
              <w:jc w:val="center"/>
              <w:rPr>
                <w:color w:val="000000"/>
              </w:rPr>
            </w:pPr>
            <w:r w:rsidRPr="00A73A1E">
              <w:rPr>
                <w:color w:val="000000"/>
              </w:rPr>
              <w:t>637.8</w:t>
            </w:r>
          </w:p>
        </w:tc>
        <w:tc>
          <w:tcPr>
            <w:tcW w:w="610" w:type="pct"/>
            <w:vAlign w:val="center"/>
          </w:tcPr>
          <w:p w14:paraId="0F2192E6" w14:textId="77777777" w:rsidR="003244CE" w:rsidRPr="00A73A1E" w:rsidRDefault="003244CE" w:rsidP="009C40C0">
            <w:pPr>
              <w:pStyle w:val="Tabletext"/>
              <w:jc w:val="center"/>
              <w:rPr>
                <w:color w:val="000000"/>
                <w:lang w:eastAsia="ja-JP"/>
              </w:rPr>
            </w:pPr>
            <w:r w:rsidRPr="00A73A1E">
              <w:rPr>
                <w:color w:val="000000"/>
              </w:rPr>
              <w:t>63</w:t>
            </w:r>
            <w:r w:rsidRPr="00A73A1E">
              <w:rPr>
                <w:color w:val="000000"/>
                <w:lang w:eastAsia="ja-JP"/>
              </w:rPr>
              <w:t>6.65</w:t>
            </w:r>
          </w:p>
        </w:tc>
        <w:tc>
          <w:tcPr>
            <w:tcW w:w="609" w:type="pct"/>
            <w:vAlign w:val="center"/>
          </w:tcPr>
          <w:p w14:paraId="160D2C91" w14:textId="77777777" w:rsidR="003244CE" w:rsidRPr="00A73A1E" w:rsidRDefault="003244CE" w:rsidP="009C40C0">
            <w:pPr>
              <w:pStyle w:val="Tabletext"/>
              <w:jc w:val="center"/>
              <w:rPr>
                <w:color w:val="000000"/>
                <w:lang w:eastAsia="ja-JP"/>
              </w:rPr>
            </w:pPr>
            <w:r w:rsidRPr="00A73A1E">
              <w:rPr>
                <w:color w:val="000000"/>
              </w:rPr>
              <w:t>63</w:t>
            </w:r>
            <w:r w:rsidRPr="00A73A1E">
              <w:rPr>
                <w:color w:val="000000"/>
                <w:lang w:eastAsia="ja-JP"/>
              </w:rPr>
              <w:t>9.53</w:t>
            </w:r>
          </w:p>
        </w:tc>
      </w:tr>
      <w:tr w:rsidR="003244CE" w:rsidRPr="00A73A1E" w14:paraId="13C6FAC5" w14:textId="77777777" w:rsidTr="00C04629">
        <w:trPr>
          <w:cantSplit/>
          <w:jc w:val="center"/>
        </w:trPr>
        <w:tc>
          <w:tcPr>
            <w:tcW w:w="1470" w:type="pct"/>
          </w:tcPr>
          <w:p w14:paraId="723D5A82" w14:textId="77777777" w:rsidR="003244CE" w:rsidRPr="00A73A1E" w:rsidRDefault="003244CE" w:rsidP="002C7DA3">
            <w:pPr>
              <w:pStyle w:val="Tabletext"/>
              <w:jc w:val="left"/>
            </w:pPr>
            <w:r w:rsidRPr="00A73A1E">
              <w:rPr>
                <w:lang w:eastAsia="ja-JP"/>
              </w:rPr>
              <w:t xml:space="preserve">Free </w:t>
            </w:r>
            <w:r w:rsidRPr="00A73A1E">
              <w:t>space loss (dB)</w:t>
            </w:r>
          </w:p>
        </w:tc>
        <w:tc>
          <w:tcPr>
            <w:tcW w:w="481" w:type="pct"/>
            <w:vAlign w:val="center"/>
          </w:tcPr>
          <w:p w14:paraId="36C61DD8" w14:textId="77777777" w:rsidR="003244CE" w:rsidRPr="00A73A1E" w:rsidRDefault="003244CE" w:rsidP="009C40C0">
            <w:pPr>
              <w:pStyle w:val="Tabletext"/>
              <w:jc w:val="center"/>
              <w:rPr>
                <w:color w:val="000000"/>
              </w:rPr>
            </w:pPr>
            <w:r w:rsidRPr="00A73A1E">
              <w:rPr>
                <w:color w:val="000000"/>
              </w:rPr>
              <w:t>147.0</w:t>
            </w:r>
          </w:p>
        </w:tc>
        <w:tc>
          <w:tcPr>
            <w:tcW w:w="610" w:type="pct"/>
            <w:vAlign w:val="center"/>
          </w:tcPr>
          <w:p w14:paraId="6973C19B" w14:textId="77777777" w:rsidR="003244CE" w:rsidRPr="00A73A1E" w:rsidRDefault="003244CE" w:rsidP="009C40C0">
            <w:pPr>
              <w:pStyle w:val="Tabletext"/>
              <w:jc w:val="center"/>
              <w:rPr>
                <w:color w:val="000000"/>
              </w:rPr>
            </w:pPr>
            <w:r w:rsidRPr="00A73A1E">
              <w:rPr>
                <w:color w:val="000000"/>
              </w:rPr>
              <w:t>151.5</w:t>
            </w:r>
          </w:p>
        </w:tc>
        <w:tc>
          <w:tcPr>
            <w:tcW w:w="610" w:type="pct"/>
            <w:vAlign w:val="center"/>
          </w:tcPr>
          <w:p w14:paraId="18D744DB" w14:textId="77777777" w:rsidR="003244CE" w:rsidRPr="00A73A1E" w:rsidRDefault="003244CE" w:rsidP="009C40C0">
            <w:pPr>
              <w:pStyle w:val="Tabletext"/>
              <w:jc w:val="center"/>
              <w:rPr>
                <w:color w:val="000000"/>
              </w:rPr>
            </w:pPr>
            <w:r w:rsidRPr="00A73A1E">
              <w:rPr>
                <w:color w:val="000000"/>
              </w:rPr>
              <w:t>153.4</w:t>
            </w:r>
          </w:p>
        </w:tc>
        <w:tc>
          <w:tcPr>
            <w:tcW w:w="610" w:type="pct"/>
            <w:vAlign w:val="center"/>
          </w:tcPr>
          <w:p w14:paraId="15794E77" w14:textId="77777777" w:rsidR="003244CE" w:rsidRPr="00A73A1E" w:rsidRDefault="003244CE" w:rsidP="009C40C0">
            <w:pPr>
              <w:pStyle w:val="Tabletext"/>
              <w:jc w:val="center"/>
              <w:rPr>
                <w:color w:val="000000"/>
              </w:rPr>
            </w:pPr>
            <w:r w:rsidRPr="00A73A1E">
              <w:rPr>
                <w:color w:val="000000"/>
              </w:rPr>
              <w:t>150.51</w:t>
            </w:r>
          </w:p>
        </w:tc>
        <w:tc>
          <w:tcPr>
            <w:tcW w:w="610" w:type="pct"/>
            <w:vAlign w:val="center"/>
          </w:tcPr>
          <w:p w14:paraId="69C3FAF4" w14:textId="77777777" w:rsidR="003244CE" w:rsidRPr="00A73A1E" w:rsidRDefault="003244CE" w:rsidP="009C40C0">
            <w:pPr>
              <w:pStyle w:val="Tabletext"/>
              <w:jc w:val="center"/>
              <w:rPr>
                <w:color w:val="000000"/>
                <w:lang w:eastAsia="ja-JP"/>
              </w:rPr>
            </w:pPr>
            <w:r w:rsidRPr="00A73A1E">
              <w:rPr>
                <w:color w:val="000000"/>
              </w:rPr>
              <w:t>150.</w:t>
            </w:r>
            <w:r w:rsidRPr="00A73A1E">
              <w:rPr>
                <w:color w:val="000000"/>
                <w:lang w:eastAsia="ja-JP"/>
              </w:rPr>
              <w:t>5</w:t>
            </w:r>
          </w:p>
        </w:tc>
        <w:tc>
          <w:tcPr>
            <w:tcW w:w="609" w:type="pct"/>
            <w:vAlign w:val="center"/>
          </w:tcPr>
          <w:p w14:paraId="1E7F46AC" w14:textId="77777777" w:rsidR="003244CE" w:rsidRPr="00A73A1E" w:rsidRDefault="003244CE" w:rsidP="009C40C0">
            <w:pPr>
              <w:pStyle w:val="Tabletext"/>
              <w:jc w:val="center"/>
              <w:rPr>
                <w:color w:val="000000"/>
                <w:lang w:eastAsia="ja-JP"/>
              </w:rPr>
            </w:pPr>
            <w:r w:rsidRPr="00A73A1E">
              <w:rPr>
                <w:color w:val="000000"/>
              </w:rPr>
              <w:t>150.</w:t>
            </w:r>
            <w:r w:rsidRPr="00A73A1E">
              <w:rPr>
                <w:color w:val="000000"/>
                <w:lang w:eastAsia="ja-JP"/>
              </w:rPr>
              <w:t>6</w:t>
            </w:r>
          </w:p>
        </w:tc>
      </w:tr>
      <w:tr w:rsidR="003244CE" w:rsidRPr="00A73A1E" w14:paraId="03758578" w14:textId="77777777" w:rsidTr="00C04629">
        <w:trPr>
          <w:cantSplit/>
          <w:jc w:val="center"/>
        </w:trPr>
        <w:tc>
          <w:tcPr>
            <w:tcW w:w="1470" w:type="pct"/>
          </w:tcPr>
          <w:p w14:paraId="538F1994" w14:textId="77777777" w:rsidR="003244CE" w:rsidRPr="00A73A1E" w:rsidRDefault="003244CE" w:rsidP="002C7DA3">
            <w:pPr>
              <w:pStyle w:val="Tabletext"/>
              <w:jc w:val="left"/>
            </w:pPr>
            <w:r w:rsidRPr="00A73A1E">
              <w:t>Receiver antenna gain (dB)</w:t>
            </w:r>
          </w:p>
        </w:tc>
        <w:tc>
          <w:tcPr>
            <w:tcW w:w="481" w:type="pct"/>
            <w:vAlign w:val="center"/>
          </w:tcPr>
          <w:p w14:paraId="33D51D94" w14:textId="77777777" w:rsidR="003244CE" w:rsidRPr="00A73A1E" w:rsidRDefault="003244CE" w:rsidP="009C40C0">
            <w:pPr>
              <w:pStyle w:val="Tabletext"/>
              <w:jc w:val="center"/>
              <w:rPr>
                <w:color w:val="000000"/>
              </w:rPr>
            </w:pPr>
            <w:r w:rsidRPr="00A73A1E">
              <w:rPr>
                <w:color w:val="000000"/>
              </w:rPr>
              <w:t>–2.0</w:t>
            </w:r>
          </w:p>
        </w:tc>
        <w:tc>
          <w:tcPr>
            <w:tcW w:w="610" w:type="pct"/>
            <w:vAlign w:val="center"/>
          </w:tcPr>
          <w:p w14:paraId="11DC964D" w14:textId="77777777" w:rsidR="003244CE" w:rsidRPr="00A73A1E" w:rsidRDefault="003244CE" w:rsidP="009C40C0">
            <w:pPr>
              <w:pStyle w:val="Tabletext"/>
              <w:jc w:val="center"/>
              <w:rPr>
                <w:color w:val="000000"/>
              </w:rPr>
            </w:pPr>
            <w:r w:rsidRPr="00A73A1E">
              <w:rPr>
                <w:color w:val="000000"/>
              </w:rPr>
              <w:t>–2.0</w:t>
            </w:r>
          </w:p>
        </w:tc>
        <w:tc>
          <w:tcPr>
            <w:tcW w:w="610" w:type="pct"/>
            <w:vAlign w:val="center"/>
          </w:tcPr>
          <w:p w14:paraId="567ED227" w14:textId="77777777" w:rsidR="003244CE" w:rsidRPr="00A73A1E" w:rsidRDefault="003244CE" w:rsidP="009C40C0">
            <w:pPr>
              <w:pStyle w:val="Tabletext"/>
              <w:jc w:val="center"/>
              <w:rPr>
                <w:color w:val="000000"/>
              </w:rPr>
            </w:pPr>
            <w:r w:rsidRPr="00A73A1E">
              <w:rPr>
                <w:color w:val="000000"/>
              </w:rPr>
              <w:t>–2.0</w:t>
            </w:r>
          </w:p>
        </w:tc>
        <w:tc>
          <w:tcPr>
            <w:tcW w:w="610" w:type="pct"/>
            <w:vAlign w:val="center"/>
          </w:tcPr>
          <w:p w14:paraId="5A50F543" w14:textId="77777777" w:rsidR="003244CE" w:rsidRPr="00A73A1E" w:rsidRDefault="003244CE" w:rsidP="009C40C0">
            <w:pPr>
              <w:pStyle w:val="Tabletext"/>
              <w:jc w:val="center"/>
              <w:rPr>
                <w:color w:val="000000"/>
              </w:rPr>
            </w:pPr>
            <w:r w:rsidRPr="00A73A1E">
              <w:rPr>
                <w:color w:val="000000"/>
              </w:rPr>
              <w:t>–2.0</w:t>
            </w:r>
          </w:p>
        </w:tc>
        <w:tc>
          <w:tcPr>
            <w:tcW w:w="610" w:type="pct"/>
            <w:vAlign w:val="center"/>
          </w:tcPr>
          <w:p w14:paraId="6EDDF609" w14:textId="77777777" w:rsidR="003244CE" w:rsidRPr="00A73A1E" w:rsidRDefault="003244CE" w:rsidP="009C40C0">
            <w:pPr>
              <w:pStyle w:val="Tabletext"/>
              <w:jc w:val="center"/>
              <w:rPr>
                <w:color w:val="000000"/>
              </w:rPr>
            </w:pPr>
            <w:r w:rsidRPr="00A73A1E">
              <w:rPr>
                <w:color w:val="000000"/>
              </w:rPr>
              <w:t>–2.0</w:t>
            </w:r>
          </w:p>
        </w:tc>
        <w:tc>
          <w:tcPr>
            <w:tcW w:w="609" w:type="pct"/>
            <w:vAlign w:val="center"/>
          </w:tcPr>
          <w:p w14:paraId="5434AA49" w14:textId="77777777" w:rsidR="003244CE" w:rsidRPr="00A73A1E" w:rsidRDefault="003244CE" w:rsidP="009C40C0">
            <w:pPr>
              <w:pStyle w:val="Tabletext"/>
              <w:jc w:val="center"/>
              <w:rPr>
                <w:color w:val="000000"/>
              </w:rPr>
            </w:pPr>
            <w:r w:rsidRPr="00A73A1E">
              <w:rPr>
                <w:color w:val="000000"/>
              </w:rPr>
              <w:t>–2.0</w:t>
            </w:r>
          </w:p>
        </w:tc>
      </w:tr>
      <w:tr w:rsidR="003244CE" w:rsidRPr="00A73A1E" w14:paraId="77FF14E1" w14:textId="77777777" w:rsidTr="00C04629">
        <w:trPr>
          <w:cantSplit/>
          <w:jc w:val="center"/>
        </w:trPr>
        <w:tc>
          <w:tcPr>
            <w:tcW w:w="1470" w:type="pct"/>
          </w:tcPr>
          <w:p w14:paraId="4E8E02FE" w14:textId="77777777" w:rsidR="003244CE" w:rsidRPr="00A73A1E" w:rsidRDefault="003244CE" w:rsidP="002C7DA3">
            <w:pPr>
              <w:pStyle w:val="Tabletext"/>
              <w:jc w:val="left"/>
            </w:pPr>
            <w:r w:rsidRPr="00A73A1E">
              <w:t>Polarization mismatch loss (dB)</w:t>
            </w:r>
            <w:r w:rsidRPr="00CB446C">
              <w:rPr>
                <w:vertAlign w:val="superscript"/>
                <w:lang w:eastAsia="ja-JP"/>
              </w:rPr>
              <w:t xml:space="preserve"> (</w:t>
            </w:r>
            <w:r>
              <w:rPr>
                <w:vertAlign w:val="superscript"/>
                <w:lang w:eastAsia="ja-JP"/>
              </w:rPr>
              <w:t>2</w:t>
            </w:r>
            <w:r w:rsidRPr="00CB446C">
              <w:rPr>
                <w:vertAlign w:val="superscript"/>
                <w:lang w:eastAsia="ja-JP"/>
              </w:rPr>
              <w:t>)</w:t>
            </w:r>
          </w:p>
        </w:tc>
        <w:tc>
          <w:tcPr>
            <w:tcW w:w="481" w:type="pct"/>
            <w:vAlign w:val="center"/>
          </w:tcPr>
          <w:p w14:paraId="39159F2B" w14:textId="77777777" w:rsidR="003244CE" w:rsidRPr="00A73A1E" w:rsidRDefault="003244CE" w:rsidP="009C40C0">
            <w:pPr>
              <w:pStyle w:val="Tabletext"/>
              <w:jc w:val="center"/>
            </w:pPr>
            <w:r w:rsidRPr="00A73A1E">
              <w:rPr>
                <w:lang w:eastAsia="ja-JP"/>
              </w:rPr>
              <w:t>1.46</w:t>
            </w:r>
          </w:p>
        </w:tc>
        <w:tc>
          <w:tcPr>
            <w:tcW w:w="610" w:type="pct"/>
            <w:vAlign w:val="center"/>
          </w:tcPr>
          <w:p w14:paraId="0D8806BF" w14:textId="77777777" w:rsidR="003244CE" w:rsidRPr="00A73A1E" w:rsidRDefault="003244CE" w:rsidP="009C40C0">
            <w:pPr>
              <w:pStyle w:val="Tabletext"/>
              <w:jc w:val="center"/>
            </w:pPr>
            <w:r w:rsidRPr="00A73A1E">
              <w:rPr>
                <w:lang w:eastAsia="ja-JP"/>
              </w:rPr>
              <w:t>1.46</w:t>
            </w:r>
          </w:p>
        </w:tc>
        <w:tc>
          <w:tcPr>
            <w:tcW w:w="610" w:type="pct"/>
            <w:vAlign w:val="center"/>
          </w:tcPr>
          <w:p w14:paraId="367783DC" w14:textId="77777777" w:rsidR="003244CE" w:rsidRPr="00A73A1E" w:rsidRDefault="003244CE" w:rsidP="009C40C0">
            <w:pPr>
              <w:pStyle w:val="Tabletext"/>
              <w:jc w:val="center"/>
            </w:pPr>
            <w:r w:rsidRPr="00A73A1E">
              <w:rPr>
                <w:lang w:eastAsia="ja-JP"/>
              </w:rPr>
              <w:t>1.46</w:t>
            </w:r>
          </w:p>
        </w:tc>
        <w:tc>
          <w:tcPr>
            <w:tcW w:w="610" w:type="pct"/>
            <w:vAlign w:val="center"/>
          </w:tcPr>
          <w:p w14:paraId="220A6AC9" w14:textId="77777777" w:rsidR="003244CE" w:rsidRPr="00A73A1E" w:rsidRDefault="003244CE" w:rsidP="009C40C0">
            <w:pPr>
              <w:pStyle w:val="Tabletext"/>
              <w:jc w:val="center"/>
            </w:pPr>
            <w:r w:rsidRPr="00A73A1E">
              <w:rPr>
                <w:lang w:eastAsia="ja-JP"/>
              </w:rPr>
              <w:t>1.46</w:t>
            </w:r>
          </w:p>
        </w:tc>
        <w:tc>
          <w:tcPr>
            <w:tcW w:w="610" w:type="pct"/>
            <w:vAlign w:val="center"/>
          </w:tcPr>
          <w:p w14:paraId="04AF6F06" w14:textId="77777777" w:rsidR="003244CE" w:rsidRPr="00A73A1E" w:rsidRDefault="003244CE" w:rsidP="009C40C0">
            <w:pPr>
              <w:pStyle w:val="Tabletext"/>
              <w:jc w:val="center"/>
            </w:pPr>
            <w:r w:rsidRPr="00A73A1E">
              <w:rPr>
                <w:lang w:eastAsia="ja-JP"/>
              </w:rPr>
              <w:t>1.46</w:t>
            </w:r>
          </w:p>
        </w:tc>
        <w:tc>
          <w:tcPr>
            <w:tcW w:w="609" w:type="pct"/>
            <w:vAlign w:val="center"/>
          </w:tcPr>
          <w:p w14:paraId="5942F007" w14:textId="77777777" w:rsidR="003244CE" w:rsidRPr="00A73A1E" w:rsidRDefault="003244CE" w:rsidP="009C40C0">
            <w:pPr>
              <w:pStyle w:val="Tabletext"/>
              <w:jc w:val="center"/>
            </w:pPr>
            <w:r w:rsidRPr="00A73A1E">
              <w:rPr>
                <w:lang w:eastAsia="ja-JP"/>
              </w:rPr>
              <w:t>0.0</w:t>
            </w:r>
            <w:r>
              <w:rPr>
                <w:lang w:eastAsia="ja-JP"/>
              </w:rPr>
              <w:t xml:space="preserve"> </w:t>
            </w:r>
            <w:r w:rsidRPr="00CB446C">
              <w:rPr>
                <w:vertAlign w:val="superscript"/>
                <w:lang w:eastAsia="ja-JP"/>
              </w:rPr>
              <w:t>(1)</w:t>
            </w:r>
          </w:p>
        </w:tc>
      </w:tr>
      <w:tr w:rsidR="003244CE" w:rsidRPr="00A73A1E" w14:paraId="55541469" w14:textId="77777777" w:rsidTr="00C04629">
        <w:trPr>
          <w:cantSplit/>
          <w:jc w:val="center"/>
        </w:trPr>
        <w:tc>
          <w:tcPr>
            <w:tcW w:w="1470" w:type="pct"/>
          </w:tcPr>
          <w:p w14:paraId="0FD101DD" w14:textId="77777777" w:rsidR="003244CE" w:rsidRPr="00A73A1E" w:rsidRDefault="003244CE" w:rsidP="002C7DA3">
            <w:pPr>
              <w:pStyle w:val="Tabletext"/>
              <w:jc w:val="left"/>
            </w:pPr>
            <w:r w:rsidRPr="00A73A1E">
              <w:t>Maximum received interference</w:t>
            </w:r>
            <w:r w:rsidRPr="00A73A1E">
              <w:rPr>
                <w:lang w:eastAsia="ja-JP"/>
              </w:rPr>
              <w:t>\</w:t>
            </w:r>
            <w:r w:rsidRPr="00A73A1E">
              <w:t>power (peak) (</w:t>
            </w:r>
            <w:proofErr w:type="spellStart"/>
            <w:r w:rsidRPr="00A73A1E">
              <w:t>dBW</w:t>
            </w:r>
            <w:proofErr w:type="spellEnd"/>
            <w:r w:rsidRPr="00A73A1E">
              <w:t>)</w:t>
            </w:r>
          </w:p>
        </w:tc>
        <w:tc>
          <w:tcPr>
            <w:tcW w:w="481" w:type="pct"/>
            <w:vAlign w:val="center"/>
          </w:tcPr>
          <w:p w14:paraId="60413427" w14:textId="77777777" w:rsidR="003244CE" w:rsidRPr="00A73A1E" w:rsidRDefault="003244CE" w:rsidP="009C40C0">
            <w:pPr>
              <w:pStyle w:val="Tabletext"/>
              <w:jc w:val="center"/>
              <w:rPr>
                <w:lang w:eastAsia="ja-JP"/>
              </w:rPr>
            </w:pPr>
            <w:r w:rsidRPr="00A73A1E">
              <w:t>–</w:t>
            </w:r>
            <w:r w:rsidRPr="00A73A1E">
              <w:rPr>
                <w:lang w:eastAsia="ja-JP"/>
              </w:rPr>
              <w:t>78.96</w:t>
            </w:r>
          </w:p>
        </w:tc>
        <w:tc>
          <w:tcPr>
            <w:tcW w:w="610" w:type="pct"/>
            <w:vAlign w:val="center"/>
          </w:tcPr>
          <w:p w14:paraId="407AB733" w14:textId="77777777" w:rsidR="003244CE" w:rsidRPr="00A73A1E" w:rsidRDefault="003244CE" w:rsidP="009C40C0">
            <w:pPr>
              <w:pStyle w:val="Tabletext"/>
              <w:jc w:val="center"/>
              <w:rPr>
                <w:lang w:eastAsia="ja-JP"/>
              </w:rPr>
            </w:pPr>
            <w:r w:rsidRPr="00A73A1E">
              <w:t>–</w:t>
            </w:r>
            <w:r w:rsidRPr="00A73A1E">
              <w:rPr>
                <w:lang w:eastAsia="ja-JP"/>
              </w:rPr>
              <w:t>91.16</w:t>
            </w:r>
          </w:p>
        </w:tc>
        <w:tc>
          <w:tcPr>
            <w:tcW w:w="610" w:type="pct"/>
            <w:vAlign w:val="center"/>
          </w:tcPr>
          <w:p w14:paraId="3ED3031C" w14:textId="77777777" w:rsidR="003244CE" w:rsidRPr="00A73A1E" w:rsidRDefault="003244CE" w:rsidP="009C40C0">
            <w:pPr>
              <w:pStyle w:val="Tabletext"/>
              <w:jc w:val="center"/>
              <w:rPr>
                <w:lang w:eastAsia="ja-JP"/>
              </w:rPr>
            </w:pPr>
            <w:r w:rsidRPr="00A73A1E">
              <w:t>–</w:t>
            </w:r>
            <w:r w:rsidRPr="00A73A1E">
              <w:rPr>
                <w:lang w:eastAsia="ja-JP"/>
              </w:rPr>
              <w:t>88.36</w:t>
            </w:r>
          </w:p>
        </w:tc>
        <w:tc>
          <w:tcPr>
            <w:tcW w:w="610" w:type="pct"/>
            <w:vAlign w:val="center"/>
          </w:tcPr>
          <w:p w14:paraId="402B0C02" w14:textId="77777777" w:rsidR="003244CE" w:rsidRPr="00A73A1E" w:rsidRDefault="003244CE" w:rsidP="009C40C0">
            <w:pPr>
              <w:pStyle w:val="Tabletext"/>
              <w:jc w:val="center"/>
              <w:rPr>
                <w:lang w:eastAsia="ja-JP"/>
              </w:rPr>
            </w:pPr>
            <w:r w:rsidRPr="00A73A1E">
              <w:t>–</w:t>
            </w:r>
            <w:r w:rsidRPr="00A73A1E">
              <w:rPr>
                <w:lang w:eastAsia="ja-JP"/>
              </w:rPr>
              <w:t>83.29</w:t>
            </w:r>
          </w:p>
        </w:tc>
        <w:tc>
          <w:tcPr>
            <w:tcW w:w="610" w:type="pct"/>
            <w:vAlign w:val="center"/>
          </w:tcPr>
          <w:p w14:paraId="4E788377" w14:textId="77777777" w:rsidR="003244CE" w:rsidRPr="00A73A1E" w:rsidRDefault="003244CE" w:rsidP="009C40C0">
            <w:pPr>
              <w:pStyle w:val="Tabletext"/>
              <w:jc w:val="center"/>
              <w:rPr>
                <w:lang w:eastAsia="ja-JP"/>
              </w:rPr>
            </w:pPr>
            <w:r w:rsidRPr="00A73A1E">
              <w:t>–</w:t>
            </w:r>
            <w:r w:rsidRPr="00A73A1E">
              <w:rPr>
                <w:lang w:eastAsia="ja-JP"/>
              </w:rPr>
              <w:t>79.48</w:t>
            </w:r>
          </w:p>
        </w:tc>
        <w:tc>
          <w:tcPr>
            <w:tcW w:w="609" w:type="pct"/>
            <w:vAlign w:val="center"/>
          </w:tcPr>
          <w:p w14:paraId="005844CD" w14:textId="77777777" w:rsidR="003244CE" w:rsidRPr="00A73A1E" w:rsidRDefault="003244CE" w:rsidP="009C40C0">
            <w:pPr>
              <w:pStyle w:val="Tabletext"/>
              <w:jc w:val="center"/>
              <w:rPr>
                <w:lang w:eastAsia="ja-JP"/>
              </w:rPr>
            </w:pPr>
            <w:r w:rsidRPr="00A73A1E">
              <w:t>–</w:t>
            </w:r>
            <w:r w:rsidRPr="00A73A1E">
              <w:rPr>
                <w:lang w:eastAsia="ja-JP"/>
              </w:rPr>
              <w:t>78.05</w:t>
            </w:r>
          </w:p>
        </w:tc>
      </w:tr>
      <w:tr w:rsidR="003244CE" w:rsidRPr="00A73A1E" w14:paraId="465D153E" w14:textId="77777777" w:rsidTr="00C04629">
        <w:trPr>
          <w:cantSplit/>
          <w:jc w:val="center"/>
        </w:trPr>
        <w:tc>
          <w:tcPr>
            <w:tcW w:w="1470" w:type="pct"/>
          </w:tcPr>
          <w:p w14:paraId="159FD2DF" w14:textId="77777777" w:rsidR="003244CE" w:rsidRPr="00A73A1E" w:rsidRDefault="003244CE" w:rsidP="002C7DA3">
            <w:pPr>
              <w:pStyle w:val="Tabletext"/>
              <w:jc w:val="left"/>
            </w:pPr>
            <w:r w:rsidRPr="00A73A1E">
              <w:t>Receiver input saturation level (</w:t>
            </w:r>
            <w:proofErr w:type="spellStart"/>
            <w:r w:rsidRPr="00A73A1E">
              <w:t>dBW</w:t>
            </w:r>
            <w:proofErr w:type="spellEnd"/>
            <w:r w:rsidRPr="00A73A1E">
              <w:t>)</w:t>
            </w:r>
          </w:p>
        </w:tc>
        <w:tc>
          <w:tcPr>
            <w:tcW w:w="481" w:type="pct"/>
            <w:vAlign w:val="center"/>
          </w:tcPr>
          <w:p w14:paraId="2F6964E4" w14:textId="77777777" w:rsidR="003244CE" w:rsidRPr="00A73A1E" w:rsidRDefault="003244CE" w:rsidP="009C40C0">
            <w:pPr>
              <w:pStyle w:val="Tabletext"/>
              <w:jc w:val="center"/>
              <w:rPr>
                <w:lang w:eastAsia="ja-JP"/>
              </w:rPr>
            </w:pPr>
            <w:r w:rsidRPr="00A73A1E">
              <w:t>–</w:t>
            </w:r>
            <w:r w:rsidRPr="00A73A1E">
              <w:rPr>
                <w:lang w:eastAsia="ja-JP"/>
              </w:rPr>
              <w:t>135</w:t>
            </w:r>
          </w:p>
        </w:tc>
        <w:tc>
          <w:tcPr>
            <w:tcW w:w="610" w:type="pct"/>
            <w:vAlign w:val="center"/>
          </w:tcPr>
          <w:p w14:paraId="79505B49" w14:textId="77777777" w:rsidR="003244CE" w:rsidRPr="00A73A1E" w:rsidRDefault="003244CE" w:rsidP="009C40C0">
            <w:pPr>
              <w:pStyle w:val="Tabletext"/>
              <w:jc w:val="center"/>
            </w:pPr>
            <w:r w:rsidRPr="00A73A1E">
              <w:t>–</w:t>
            </w:r>
            <w:r w:rsidRPr="00A73A1E">
              <w:rPr>
                <w:lang w:eastAsia="ja-JP"/>
              </w:rPr>
              <w:t>135</w:t>
            </w:r>
          </w:p>
        </w:tc>
        <w:tc>
          <w:tcPr>
            <w:tcW w:w="610" w:type="pct"/>
            <w:vAlign w:val="center"/>
          </w:tcPr>
          <w:p w14:paraId="1ACB0545" w14:textId="77777777" w:rsidR="003244CE" w:rsidRPr="00A73A1E" w:rsidRDefault="003244CE" w:rsidP="009C40C0">
            <w:pPr>
              <w:pStyle w:val="Tabletext"/>
              <w:jc w:val="center"/>
            </w:pPr>
            <w:r w:rsidRPr="00A73A1E">
              <w:t>–</w:t>
            </w:r>
            <w:r w:rsidRPr="00A73A1E">
              <w:rPr>
                <w:lang w:eastAsia="ja-JP"/>
              </w:rPr>
              <w:t>135</w:t>
            </w:r>
          </w:p>
        </w:tc>
        <w:tc>
          <w:tcPr>
            <w:tcW w:w="610" w:type="pct"/>
            <w:vAlign w:val="center"/>
          </w:tcPr>
          <w:p w14:paraId="7995E461" w14:textId="77777777" w:rsidR="003244CE" w:rsidRPr="00A73A1E" w:rsidRDefault="003244CE" w:rsidP="009C40C0">
            <w:pPr>
              <w:pStyle w:val="Tabletext"/>
              <w:jc w:val="center"/>
            </w:pPr>
            <w:r w:rsidRPr="00A73A1E">
              <w:t>–</w:t>
            </w:r>
            <w:r w:rsidRPr="00A73A1E">
              <w:rPr>
                <w:lang w:eastAsia="ja-JP"/>
              </w:rPr>
              <w:t>135</w:t>
            </w:r>
          </w:p>
        </w:tc>
        <w:tc>
          <w:tcPr>
            <w:tcW w:w="610" w:type="pct"/>
            <w:vAlign w:val="center"/>
          </w:tcPr>
          <w:p w14:paraId="066765E9" w14:textId="77777777" w:rsidR="003244CE" w:rsidRPr="00A73A1E" w:rsidRDefault="003244CE" w:rsidP="009C40C0">
            <w:pPr>
              <w:pStyle w:val="Tabletext"/>
              <w:jc w:val="center"/>
            </w:pPr>
            <w:r w:rsidRPr="00A73A1E">
              <w:t>–</w:t>
            </w:r>
            <w:r w:rsidRPr="00A73A1E">
              <w:rPr>
                <w:lang w:eastAsia="ja-JP"/>
              </w:rPr>
              <w:t>135</w:t>
            </w:r>
          </w:p>
        </w:tc>
        <w:tc>
          <w:tcPr>
            <w:tcW w:w="609" w:type="pct"/>
            <w:vAlign w:val="center"/>
          </w:tcPr>
          <w:p w14:paraId="47BD5B1C" w14:textId="77777777" w:rsidR="003244CE" w:rsidRPr="00A73A1E" w:rsidRDefault="003244CE" w:rsidP="009C40C0">
            <w:pPr>
              <w:pStyle w:val="Tabletext"/>
              <w:jc w:val="center"/>
            </w:pPr>
            <w:r w:rsidRPr="00A73A1E">
              <w:t>–</w:t>
            </w:r>
            <w:r w:rsidRPr="00A73A1E">
              <w:rPr>
                <w:lang w:eastAsia="ja-JP"/>
              </w:rPr>
              <w:t>135</w:t>
            </w:r>
          </w:p>
        </w:tc>
      </w:tr>
      <w:tr w:rsidR="003244CE" w:rsidRPr="00A73A1E" w14:paraId="2A7D2AE1" w14:textId="77777777" w:rsidTr="004644EA">
        <w:trPr>
          <w:cantSplit/>
          <w:jc w:val="center"/>
        </w:trPr>
        <w:tc>
          <w:tcPr>
            <w:tcW w:w="1470" w:type="pct"/>
            <w:tcBorders>
              <w:bottom w:val="single" w:sz="4" w:space="0" w:color="auto"/>
            </w:tcBorders>
          </w:tcPr>
          <w:p w14:paraId="7C04BDB7" w14:textId="77777777" w:rsidR="003244CE" w:rsidRPr="00A73A1E" w:rsidRDefault="003244CE" w:rsidP="002C7DA3">
            <w:pPr>
              <w:pStyle w:val="Tabletext"/>
              <w:jc w:val="left"/>
            </w:pPr>
            <w:r w:rsidRPr="00A73A1E">
              <w:rPr>
                <w:lang w:eastAsia="ja-JP"/>
              </w:rPr>
              <w:t>Receiver input survival level (</w:t>
            </w:r>
            <w:proofErr w:type="spellStart"/>
            <w:r w:rsidRPr="00A73A1E">
              <w:rPr>
                <w:lang w:eastAsia="ja-JP"/>
              </w:rPr>
              <w:t>dBW</w:t>
            </w:r>
            <w:proofErr w:type="spellEnd"/>
            <w:r w:rsidRPr="00A73A1E">
              <w:rPr>
                <w:lang w:eastAsia="ja-JP"/>
              </w:rPr>
              <w:t>)</w:t>
            </w:r>
          </w:p>
        </w:tc>
        <w:tc>
          <w:tcPr>
            <w:tcW w:w="481" w:type="pct"/>
            <w:tcBorders>
              <w:bottom w:val="single" w:sz="4" w:space="0" w:color="auto"/>
            </w:tcBorders>
            <w:vAlign w:val="center"/>
          </w:tcPr>
          <w:p w14:paraId="5CEF1FA6" w14:textId="77777777" w:rsidR="003244CE" w:rsidRPr="00A73A1E" w:rsidRDefault="003244CE" w:rsidP="009C40C0">
            <w:pPr>
              <w:pStyle w:val="Tabletext"/>
              <w:jc w:val="center"/>
            </w:pPr>
            <w:r w:rsidRPr="00A73A1E">
              <w:t>–10</w:t>
            </w:r>
          </w:p>
        </w:tc>
        <w:tc>
          <w:tcPr>
            <w:tcW w:w="610" w:type="pct"/>
            <w:tcBorders>
              <w:bottom w:val="single" w:sz="4" w:space="0" w:color="auto"/>
            </w:tcBorders>
            <w:vAlign w:val="center"/>
          </w:tcPr>
          <w:p w14:paraId="5C9DFB0B" w14:textId="77777777" w:rsidR="003244CE" w:rsidRPr="00A73A1E" w:rsidRDefault="003244CE" w:rsidP="009C40C0">
            <w:pPr>
              <w:pStyle w:val="Tabletext"/>
              <w:jc w:val="center"/>
            </w:pPr>
            <w:r w:rsidRPr="00A73A1E">
              <w:t>–10</w:t>
            </w:r>
          </w:p>
        </w:tc>
        <w:tc>
          <w:tcPr>
            <w:tcW w:w="610" w:type="pct"/>
            <w:tcBorders>
              <w:bottom w:val="single" w:sz="4" w:space="0" w:color="auto"/>
            </w:tcBorders>
            <w:vAlign w:val="center"/>
          </w:tcPr>
          <w:p w14:paraId="33B4C9BC" w14:textId="77777777" w:rsidR="003244CE" w:rsidRPr="00A73A1E" w:rsidRDefault="003244CE" w:rsidP="009C40C0">
            <w:pPr>
              <w:pStyle w:val="Tabletext"/>
              <w:jc w:val="center"/>
            </w:pPr>
            <w:r w:rsidRPr="00A73A1E">
              <w:t>–10</w:t>
            </w:r>
          </w:p>
        </w:tc>
        <w:tc>
          <w:tcPr>
            <w:tcW w:w="610" w:type="pct"/>
            <w:tcBorders>
              <w:bottom w:val="single" w:sz="4" w:space="0" w:color="auto"/>
            </w:tcBorders>
            <w:vAlign w:val="center"/>
          </w:tcPr>
          <w:p w14:paraId="39AC0AFD" w14:textId="77777777" w:rsidR="003244CE" w:rsidRPr="00A73A1E" w:rsidRDefault="003244CE" w:rsidP="009C40C0">
            <w:pPr>
              <w:pStyle w:val="Tabletext"/>
              <w:jc w:val="center"/>
            </w:pPr>
            <w:r w:rsidRPr="00A73A1E">
              <w:t>–10</w:t>
            </w:r>
          </w:p>
        </w:tc>
        <w:tc>
          <w:tcPr>
            <w:tcW w:w="610" w:type="pct"/>
            <w:tcBorders>
              <w:bottom w:val="single" w:sz="4" w:space="0" w:color="auto"/>
            </w:tcBorders>
            <w:vAlign w:val="center"/>
          </w:tcPr>
          <w:p w14:paraId="182E4FA6" w14:textId="77777777" w:rsidR="003244CE" w:rsidRPr="00A73A1E" w:rsidRDefault="003244CE" w:rsidP="009C40C0">
            <w:pPr>
              <w:pStyle w:val="Tabletext"/>
              <w:jc w:val="center"/>
            </w:pPr>
            <w:r w:rsidRPr="00A73A1E">
              <w:t>–10</w:t>
            </w:r>
          </w:p>
        </w:tc>
        <w:tc>
          <w:tcPr>
            <w:tcW w:w="609" w:type="pct"/>
            <w:tcBorders>
              <w:bottom w:val="single" w:sz="4" w:space="0" w:color="auto"/>
            </w:tcBorders>
            <w:vAlign w:val="center"/>
          </w:tcPr>
          <w:p w14:paraId="43B24E93" w14:textId="77777777" w:rsidR="003244CE" w:rsidRPr="00A73A1E" w:rsidRDefault="003244CE" w:rsidP="009C40C0">
            <w:pPr>
              <w:pStyle w:val="Tabletext"/>
              <w:jc w:val="center"/>
            </w:pPr>
            <w:r w:rsidRPr="00A73A1E">
              <w:t>–10</w:t>
            </w:r>
          </w:p>
        </w:tc>
      </w:tr>
      <w:tr w:rsidR="003244CE" w:rsidRPr="00A73A1E" w14:paraId="4DB20E5B" w14:textId="77777777" w:rsidTr="004644EA">
        <w:trPr>
          <w:cantSplit/>
          <w:jc w:val="center"/>
        </w:trPr>
        <w:tc>
          <w:tcPr>
            <w:tcW w:w="5000" w:type="pct"/>
            <w:gridSpan w:val="7"/>
            <w:tcBorders>
              <w:top w:val="single" w:sz="4" w:space="0" w:color="auto"/>
              <w:left w:val="nil"/>
              <w:bottom w:val="nil"/>
              <w:right w:val="nil"/>
            </w:tcBorders>
            <w:tcMar>
              <w:left w:w="57" w:type="dxa"/>
              <w:right w:w="227" w:type="dxa"/>
            </w:tcMar>
          </w:tcPr>
          <w:p w14:paraId="1EE2CC89" w14:textId="77777777" w:rsidR="003244CE" w:rsidRPr="00A73A1E" w:rsidRDefault="003244CE" w:rsidP="009C40C0">
            <w:pPr>
              <w:pStyle w:val="Tablelegend"/>
              <w:ind w:hanging="284"/>
              <w:rPr>
                <w:lang w:eastAsia="ja-JP"/>
              </w:rPr>
            </w:pPr>
            <w:r w:rsidRPr="00CB446C">
              <w:rPr>
                <w:vertAlign w:val="superscript"/>
                <w:lang w:eastAsia="ja-JP"/>
              </w:rPr>
              <w:t>(1)</w:t>
            </w:r>
            <w:r w:rsidRPr="00A73A1E">
              <w:rPr>
                <w:lang w:eastAsia="ja-JP"/>
              </w:rPr>
              <w:tab/>
              <w:t xml:space="preserve">SAR6 capable of transmitting the circular polarization (RHCP or LHCP is selectable by command), so the worst-case polarization loss for the RHCP receive antenna is assumed to be 0.0 </w:t>
            </w:r>
            <w:proofErr w:type="spellStart"/>
            <w:r w:rsidRPr="00A73A1E">
              <w:rPr>
                <w:lang w:eastAsia="ja-JP"/>
              </w:rPr>
              <w:t>dB.</w:t>
            </w:r>
            <w:proofErr w:type="spellEnd"/>
          </w:p>
          <w:p w14:paraId="7DCD7297" w14:textId="0892F99E" w:rsidR="003244CE" w:rsidRPr="00A73A1E" w:rsidRDefault="003244CE" w:rsidP="007E359E">
            <w:pPr>
              <w:pStyle w:val="Tablelegend"/>
              <w:ind w:hanging="284"/>
              <w:rPr>
                <w:lang w:eastAsia="ja-JP"/>
              </w:rPr>
            </w:pPr>
            <w:r w:rsidRPr="00CB446C">
              <w:rPr>
                <w:vertAlign w:val="superscript"/>
                <w:lang w:eastAsia="ja-JP"/>
              </w:rPr>
              <w:t>(</w:t>
            </w:r>
            <w:r>
              <w:rPr>
                <w:vertAlign w:val="superscript"/>
                <w:lang w:eastAsia="ja-JP"/>
              </w:rPr>
              <w:t>2</w:t>
            </w:r>
            <w:r w:rsidRPr="00CB446C">
              <w:rPr>
                <w:vertAlign w:val="superscript"/>
                <w:lang w:eastAsia="ja-JP"/>
              </w:rPr>
              <w:t>)</w:t>
            </w:r>
            <w:r w:rsidRPr="00A73A1E">
              <w:rPr>
                <w:lang w:eastAsia="ja-JP"/>
              </w:rPr>
              <w:tab/>
              <w:t xml:space="preserve">Polarization mismatch loss is defined in </w:t>
            </w:r>
            <w:r w:rsidR="004644EA" w:rsidRPr="00A73A1E">
              <w:rPr>
                <w:lang w:eastAsia="ja-JP"/>
              </w:rPr>
              <w:t>§ 2.</w:t>
            </w:r>
            <w:r w:rsidR="004644EA">
              <w:rPr>
                <w:lang w:eastAsia="ja-JP"/>
              </w:rPr>
              <w:t>2</w:t>
            </w:r>
            <w:r w:rsidR="004644EA" w:rsidRPr="00A73A1E">
              <w:rPr>
                <w:lang w:eastAsia="ja-JP"/>
              </w:rPr>
              <w:t xml:space="preserve">.3 of Appendix </w:t>
            </w:r>
            <w:r w:rsidR="004644EA" w:rsidRPr="007E359E">
              <w:rPr>
                <w:b/>
                <w:bCs/>
                <w:lang w:eastAsia="ja-JP"/>
              </w:rPr>
              <w:t>8 (Rev.WRC-03)</w:t>
            </w:r>
            <w:r w:rsidR="004644EA" w:rsidRPr="00A73A1E">
              <w:rPr>
                <w:lang w:eastAsia="ja-JP"/>
              </w:rPr>
              <w:t xml:space="preserve"> of the Radio Regulations</w:t>
            </w:r>
            <w:r w:rsidR="004644EA">
              <w:rPr>
                <w:lang w:eastAsia="ja-JP"/>
              </w:rPr>
              <w:t xml:space="preserve"> (</w:t>
            </w:r>
            <w:r w:rsidR="007E359E">
              <w:rPr>
                <w:lang w:eastAsia="ja-JP"/>
              </w:rPr>
              <w:t xml:space="preserve">Edition </w:t>
            </w:r>
            <w:r w:rsidR="004644EA">
              <w:rPr>
                <w:lang w:eastAsia="ja-JP"/>
              </w:rPr>
              <w:t>2004)</w:t>
            </w:r>
            <w:r w:rsidR="004644EA" w:rsidRPr="00A73A1E">
              <w:rPr>
                <w:lang w:eastAsia="ja-JP"/>
              </w:rPr>
              <w:t>.</w:t>
            </w:r>
          </w:p>
        </w:tc>
      </w:tr>
    </w:tbl>
    <w:p w14:paraId="42DD8A81" w14:textId="77777777" w:rsidR="003244CE" w:rsidRPr="00A73A1E" w:rsidRDefault="003244CE" w:rsidP="003244CE">
      <w:pPr>
        <w:pStyle w:val="Tablefin"/>
      </w:pPr>
    </w:p>
    <w:p w14:paraId="481761B6" w14:textId="77777777" w:rsidR="003244CE" w:rsidRPr="00A73A1E" w:rsidRDefault="003244CE" w:rsidP="003244CE">
      <w:r w:rsidRPr="00A73A1E">
        <w:t xml:space="preserve">Since all the cells in the Table </w:t>
      </w:r>
      <w:r>
        <w:t>11</w:t>
      </w:r>
      <w:r w:rsidRPr="00A73A1E">
        <w:t xml:space="preserve"> row of maximum received interference peak power values are below the receiver input survival level, these representative systems do not exceed the allowable interference criteria from a peak power standpoint with the SBAS ground reference receiver. However, since all of the maximum received peak power results are well above the receiver input saturation level, further interference evaluation analysis using the method of Annex 1</w:t>
      </w:r>
      <w:r>
        <w:t>,</w:t>
      </w:r>
      <w:r w:rsidRPr="00A73A1E">
        <w:t xml:space="preserve"> </w:t>
      </w:r>
      <w:r>
        <w:t>§</w:t>
      </w:r>
      <w:r w:rsidRPr="00A73A1E">
        <w:t xml:space="preserve"> 4.2 is needed. Section 3 below contains an example calculation.</w:t>
      </w:r>
    </w:p>
    <w:p w14:paraId="440C5DB5" w14:textId="3404FB42" w:rsidR="003244CE" w:rsidRPr="00A73A1E" w:rsidRDefault="003244CE" w:rsidP="003244CE">
      <w:pPr>
        <w:pStyle w:val="TableNo"/>
      </w:pPr>
      <w:r w:rsidRPr="00A73A1E">
        <w:t>T</w:t>
      </w:r>
      <w:r w:rsidR="002C7DA3">
        <w:t>ABLE</w:t>
      </w:r>
      <w:r w:rsidRPr="00A73A1E">
        <w:t xml:space="preserve"> </w:t>
      </w:r>
      <w:r>
        <w:t>1</w:t>
      </w:r>
      <w:r w:rsidRPr="00A73A1E">
        <w:t>2</w:t>
      </w:r>
    </w:p>
    <w:p w14:paraId="2973B362" w14:textId="77777777" w:rsidR="003244CE" w:rsidRPr="00A73A1E" w:rsidRDefault="003244CE" w:rsidP="003244CE">
      <w:pPr>
        <w:pStyle w:val="Tabletitle"/>
      </w:pPr>
      <w:r w:rsidRPr="00A73A1E">
        <w:t>Maximum received peak RFI power for (GLONASS) air navigation receivers</w:t>
      </w:r>
    </w:p>
    <w:tbl>
      <w:tblPr>
        <w:tblW w:w="9622" w:type="dxa"/>
        <w:jc w:val="center"/>
        <w:tblCellMar>
          <w:left w:w="107" w:type="dxa"/>
          <w:right w:w="107" w:type="dxa"/>
        </w:tblCellMar>
        <w:tblLook w:val="0000" w:firstRow="0" w:lastRow="0" w:firstColumn="0" w:lastColumn="0" w:noHBand="0" w:noVBand="0"/>
      </w:tblPr>
      <w:tblGrid>
        <w:gridCol w:w="3180"/>
        <w:gridCol w:w="1073"/>
        <w:gridCol w:w="1073"/>
        <w:gridCol w:w="1074"/>
        <w:gridCol w:w="1074"/>
        <w:gridCol w:w="1074"/>
        <w:gridCol w:w="1074"/>
      </w:tblGrid>
      <w:tr w:rsidR="007E359E" w:rsidRPr="00A73A1E" w14:paraId="69362D0E" w14:textId="77777777" w:rsidTr="007E359E">
        <w:trPr>
          <w:cantSplit/>
          <w:tblHeader/>
          <w:jc w:val="center"/>
        </w:trPr>
        <w:tc>
          <w:tcPr>
            <w:tcW w:w="3180" w:type="dxa"/>
            <w:tcBorders>
              <w:top w:val="single" w:sz="6" w:space="0" w:color="auto"/>
              <w:left w:val="single" w:sz="6" w:space="0" w:color="auto"/>
              <w:bottom w:val="single" w:sz="6" w:space="0" w:color="auto"/>
              <w:right w:val="single" w:sz="6" w:space="0" w:color="auto"/>
            </w:tcBorders>
          </w:tcPr>
          <w:p w14:paraId="56B58D25" w14:textId="77777777" w:rsidR="003244CE" w:rsidRPr="00A73A1E" w:rsidRDefault="003244CE" w:rsidP="009C40C0">
            <w:pPr>
              <w:pStyle w:val="Tablehead"/>
              <w:rPr>
                <w:rFonts w:eastAsia="SimSun"/>
              </w:rPr>
            </w:pPr>
            <w:r w:rsidRPr="00A73A1E">
              <w:t>Parameter</w:t>
            </w:r>
          </w:p>
        </w:tc>
        <w:tc>
          <w:tcPr>
            <w:tcW w:w="1073" w:type="dxa"/>
            <w:tcBorders>
              <w:top w:val="single" w:sz="6" w:space="0" w:color="auto"/>
              <w:left w:val="single" w:sz="6" w:space="0" w:color="auto"/>
              <w:bottom w:val="single" w:sz="6" w:space="0" w:color="auto"/>
              <w:right w:val="single" w:sz="6" w:space="0" w:color="auto"/>
            </w:tcBorders>
          </w:tcPr>
          <w:p w14:paraId="0DF4966B" w14:textId="77777777" w:rsidR="003244CE" w:rsidRPr="00A73A1E" w:rsidRDefault="003244CE" w:rsidP="009C40C0">
            <w:pPr>
              <w:pStyle w:val="Tablehead"/>
              <w:rPr>
                <w:rFonts w:eastAsia="SimSun"/>
              </w:rPr>
            </w:pPr>
            <w:r w:rsidRPr="00A73A1E">
              <w:rPr>
                <w:rFonts w:eastAsia="SimSun"/>
              </w:rPr>
              <w:t>SAR1</w:t>
            </w:r>
          </w:p>
        </w:tc>
        <w:tc>
          <w:tcPr>
            <w:tcW w:w="1073" w:type="dxa"/>
            <w:tcBorders>
              <w:top w:val="single" w:sz="6" w:space="0" w:color="auto"/>
              <w:left w:val="single" w:sz="6" w:space="0" w:color="auto"/>
              <w:bottom w:val="single" w:sz="6" w:space="0" w:color="auto"/>
              <w:right w:val="single" w:sz="6" w:space="0" w:color="auto"/>
            </w:tcBorders>
          </w:tcPr>
          <w:p w14:paraId="7B3B2F67" w14:textId="77777777" w:rsidR="003244CE" w:rsidRPr="00A73A1E" w:rsidRDefault="003244CE" w:rsidP="009C40C0">
            <w:pPr>
              <w:pStyle w:val="Tablehead"/>
              <w:rPr>
                <w:rFonts w:eastAsia="SimSun"/>
              </w:rPr>
            </w:pPr>
            <w:r w:rsidRPr="00A73A1E">
              <w:rPr>
                <w:rFonts w:eastAsia="SimSun"/>
              </w:rPr>
              <w:t>SAR2</w:t>
            </w:r>
          </w:p>
        </w:tc>
        <w:tc>
          <w:tcPr>
            <w:tcW w:w="1074" w:type="dxa"/>
            <w:tcBorders>
              <w:top w:val="single" w:sz="6" w:space="0" w:color="auto"/>
              <w:left w:val="single" w:sz="6" w:space="0" w:color="auto"/>
              <w:bottom w:val="single" w:sz="6" w:space="0" w:color="auto"/>
              <w:right w:val="single" w:sz="6" w:space="0" w:color="auto"/>
            </w:tcBorders>
          </w:tcPr>
          <w:p w14:paraId="28968CE3" w14:textId="77777777" w:rsidR="003244CE" w:rsidRPr="00A73A1E" w:rsidRDefault="003244CE" w:rsidP="009C40C0">
            <w:pPr>
              <w:pStyle w:val="Tablehead"/>
              <w:rPr>
                <w:rFonts w:eastAsia="SimSun"/>
                <w:lang w:eastAsia="ja-JP"/>
              </w:rPr>
            </w:pPr>
            <w:r w:rsidRPr="00A73A1E">
              <w:rPr>
                <w:rFonts w:eastAsia="SimSun"/>
                <w:lang w:eastAsia="ja-JP"/>
              </w:rPr>
              <w:t>SAR3</w:t>
            </w:r>
          </w:p>
        </w:tc>
        <w:tc>
          <w:tcPr>
            <w:tcW w:w="1074" w:type="dxa"/>
            <w:tcBorders>
              <w:top w:val="single" w:sz="6" w:space="0" w:color="auto"/>
              <w:left w:val="single" w:sz="6" w:space="0" w:color="auto"/>
              <w:bottom w:val="single" w:sz="6" w:space="0" w:color="auto"/>
              <w:right w:val="single" w:sz="6" w:space="0" w:color="auto"/>
            </w:tcBorders>
          </w:tcPr>
          <w:p w14:paraId="32A7ADB8" w14:textId="77777777" w:rsidR="003244CE" w:rsidRPr="00A73A1E" w:rsidRDefault="003244CE" w:rsidP="009C40C0">
            <w:pPr>
              <w:pStyle w:val="Tablehead"/>
              <w:rPr>
                <w:rFonts w:eastAsia="SimSun"/>
                <w:lang w:eastAsia="ja-JP"/>
              </w:rPr>
            </w:pPr>
            <w:r w:rsidRPr="00A73A1E">
              <w:rPr>
                <w:rFonts w:eastAsia="SimSun"/>
                <w:lang w:eastAsia="ja-JP"/>
              </w:rPr>
              <w:t>SAR4</w:t>
            </w:r>
          </w:p>
        </w:tc>
        <w:tc>
          <w:tcPr>
            <w:tcW w:w="1074" w:type="dxa"/>
            <w:tcBorders>
              <w:top w:val="single" w:sz="6" w:space="0" w:color="auto"/>
              <w:left w:val="single" w:sz="6" w:space="0" w:color="auto"/>
              <w:bottom w:val="single" w:sz="6" w:space="0" w:color="auto"/>
              <w:right w:val="single" w:sz="6" w:space="0" w:color="auto"/>
            </w:tcBorders>
          </w:tcPr>
          <w:p w14:paraId="65C029BC" w14:textId="77777777" w:rsidR="003244CE" w:rsidRPr="00A73A1E" w:rsidRDefault="003244CE" w:rsidP="009C40C0">
            <w:pPr>
              <w:pStyle w:val="Tablehead"/>
              <w:rPr>
                <w:rFonts w:eastAsia="SimSun"/>
                <w:lang w:eastAsia="ja-JP"/>
              </w:rPr>
            </w:pPr>
            <w:r w:rsidRPr="00A73A1E">
              <w:rPr>
                <w:rFonts w:eastAsia="SimSun"/>
                <w:lang w:eastAsia="ja-JP"/>
              </w:rPr>
              <w:t>SAR5</w:t>
            </w:r>
            <w:r>
              <w:rPr>
                <w:rFonts w:eastAsia="SimSun"/>
                <w:lang w:eastAsia="ja-JP"/>
              </w:rPr>
              <w:t xml:space="preserve"> </w:t>
            </w:r>
            <w:r w:rsidRPr="00CB446C">
              <w:rPr>
                <w:vertAlign w:val="superscript"/>
                <w:lang w:eastAsia="ja-JP"/>
              </w:rPr>
              <w:t>(</w:t>
            </w:r>
            <w:r>
              <w:rPr>
                <w:vertAlign w:val="superscript"/>
                <w:lang w:eastAsia="ja-JP"/>
              </w:rPr>
              <w:t>3</w:t>
            </w:r>
            <w:r w:rsidRPr="00CB446C">
              <w:rPr>
                <w:vertAlign w:val="superscript"/>
                <w:lang w:eastAsia="ja-JP"/>
              </w:rPr>
              <w:t>)</w:t>
            </w:r>
          </w:p>
        </w:tc>
        <w:tc>
          <w:tcPr>
            <w:tcW w:w="1074" w:type="dxa"/>
            <w:tcBorders>
              <w:top w:val="single" w:sz="6" w:space="0" w:color="auto"/>
              <w:left w:val="single" w:sz="6" w:space="0" w:color="auto"/>
              <w:bottom w:val="single" w:sz="6" w:space="0" w:color="auto"/>
              <w:right w:val="single" w:sz="6" w:space="0" w:color="auto"/>
            </w:tcBorders>
          </w:tcPr>
          <w:p w14:paraId="180DEC7D" w14:textId="77777777" w:rsidR="003244CE" w:rsidRPr="00A73A1E" w:rsidRDefault="003244CE" w:rsidP="009C40C0">
            <w:pPr>
              <w:pStyle w:val="Tablehead"/>
              <w:rPr>
                <w:rFonts w:eastAsia="SimSun"/>
                <w:lang w:eastAsia="ja-JP"/>
              </w:rPr>
            </w:pPr>
            <w:r w:rsidRPr="00A73A1E">
              <w:rPr>
                <w:rFonts w:eastAsia="SimSun"/>
                <w:lang w:eastAsia="ja-JP"/>
              </w:rPr>
              <w:t>SAR6</w:t>
            </w:r>
            <w:r>
              <w:rPr>
                <w:rFonts w:eastAsia="SimSun"/>
                <w:lang w:eastAsia="ja-JP"/>
              </w:rPr>
              <w:t xml:space="preserve"> </w:t>
            </w:r>
            <w:r w:rsidRPr="00CB446C">
              <w:rPr>
                <w:vertAlign w:val="superscript"/>
                <w:lang w:eastAsia="ja-JP"/>
              </w:rPr>
              <w:t>(</w:t>
            </w:r>
            <w:r>
              <w:rPr>
                <w:vertAlign w:val="superscript"/>
                <w:lang w:eastAsia="ja-JP"/>
              </w:rPr>
              <w:t>3</w:t>
            </w:r>
            <w:r w:rsidRPr="00CB446C">
              <w:rPr>
                <w:vertAlign w:val="superscript"/>
                <w:lang w:eastAsia="ja-JP"/>
              </w:rPr>
              <w:t>)</w:t>
            </w:r>
          </w:p>
        </w:tc>
      </w:tr>
      <w:tr w:rsidR="007E359E" w:rsidRPr="00A73A1E" w14:paraId="75BC4D52" w14:textId="77777777" w:rsidTr="007E359E">
        <w:trPr>
          <w:cantSplit/>
          <w:jc w:val="center"/>
        </w:trPr>
        <w:tc>
          <w:tcPr>
            <w:tcW w:w="3180" w:type="dxa"/>
            <w:tcBorders>
              <w:top w:val="single" w:sz="6" w:space="0" w:color="auto"/>
              <w:left w:val="single" w:sz="6" w:space="0" w:color="auto"/>
              <w:bottom w:val="single" w:sz="6" w:space="0" w:color="auto"/>
              <w:right w:val="single" w:sz="6" w:space="0" w:color="auto"/>
            </w:tcBorders>
            <w:vAlign w:val="center"/>
          </w:tcPr>
          <w:p w14:paraId="5E6B7462" w14:textId="77777777" w:rsidR="003244CE" w:rsidRPr="00A73A1E" w:rsidRDefault="003244CE" w:rsidP="002C7DA3">
            <w:pPr>
              <w:pStyle w:val="Tabletext"/>
              <w:keepNext/>
              <w:keepLines/>
              <w:jc w:val="left"/>
              <w:rPr>
                <w:rFonts w:eastAsia="SimSun"/>
              </w:rPr>
            </w:pPr>
            <w:r w:rsidRPr="00A73A1E">
              <w:t>Centre frequency (MHz)</w:t>
            </w:r>
          </w:p>
        </w:tc>
        <w:tc>
          <w:tcPr>
            <w:tcW w:w="1073" w:type="dxa"/>
            <w:tcBorders>
              <w:top w:val="single" w:sz="6" w:space="0" w:color="auto"/>
              <w:left w:val="single" w:sz="6" w:space="0" w:color="auto"/>
              <w:bottom w:val="single" w:sz="6" w:space="0" w:color="auto"/>
              <w:right w:val="single" w:sz="6" w:space="0" w:color="auto"/>
            </w:tcBorders>
            <w:vAlign w:val="center"/>
          </w:tcPr>
          <w:p w14:paraId="5B5CCEEF" w14:textId="77777777" w:rsidR="003244CE" w:rsidRPr="00A73A1E" w:rsidRDefault="003244CE" w:rsidP="002C7DA3">
            <w:pPr>
              <w:pStyle w:val="Tabletext"/>
              <w:keepNext/>
              <w:keepLines/>
              <w:jc w:val="center"/>
              <w:rPr>
                <w:rFonts w:eastAsia="SimSun"/>
                <w:color w:val="000000"/>
              </w:rPr>
            </w:pPr>
            <w:r w:rsidRPr="00A73A1E">
              <w:rPr>
                <w:rFonts w:eastAsia="SimSun"/>
                <w:color w:val="000000"/>
              </w:rPr>
              <w:t>1 257.5</w:t>
            </w:r>
          </w:p>
        </w:tc>
        <w:tc>
          <w:tcPr>
            <w:tcW w:w="1073" w:type="dxa"/>
            <w:tcBorders>
              <w:top w:val="single" w:sz="6" w:space="0" w:color="auto"/>
              <w:left w:val="single" w:sz="6" w:space="0" w:color="auto"/>
              <w:bottom w:val="single" w:sz="6" w:space="0" w:color="auto"/>
              <w:right w:val="single" w:sz="6" w:space="0" w:color="auto"/>
            </w:tcBorders>
            <w:vAlign w:val="center"/>
          </w:tcPr>
          <w:p w14:paraId="127B7FEB" w14:textId="77777777" w:rsidR="003244CE" w:rsidRPr="00A73A1E" w:rsidRDefault="003244CE" w:rsidP="002C7DA3">
            <w:pPr>
              <w:pStyle w:val="Tabletext"/>
              <w:keepNext/>
              <w:keepLines/>
              <w:jc w:val="center"/>
              <w:rPr>
                <w:rFonts w:eastAsia="SimSun"/>
                <w:color w:val="000000"/>
              </w:rPr>
            </w:pPr>
            <w:r w:rsidRPr="00A73A1E">
              <w:rPr>
                <w:rFonts w:eastAsia="SimSun"/>
                <w:color w:val="000000"/>
              </w:rPr>
              <w:t>1 257.5</w:t>
            </w:r>
          </w:p>
        </w:tc>
        <w:tc>
          <w:tcPr>
            <w:tcW w:w="1074" w:type="dxa"/>
            <w:tcBorders>
              <w:top w:val="single" w:sz="6" w:space="0" w:color="auto"/>
              <w:left w:val="single" w:sz="6" w:space="0" w:color="auto"/>
              <w:bottom w:val="single" w:sz="6" w:space="0" w:color="auto"/>
              <w:right w:val="single" w:sz="6" w:space="0" w:color="auto"/>
            </w:tcBorders>
            <w:vAlign w:val="center"/>
          </w:tcPr>
          <w:p w14:paraId="26E70CBA" w14:textId="77777777" w:rsidR="003244CE" w:rsidRPr="00A73A1E" w:rsidRDefault="003244CE" w:rsidP="002C7DA3">
            <w:pPr>
              <w:pStyle w:val="Tabletext"/>
              <w:keepNext/>
              <w:keepLines/>
              <w:jc w:val="center"/>
              <w:rPr>
                <w:rFonts w:eastAsia="SimSun"/>
                <w:color w:val="000000"/>
              </w:rPr>
            </w:pPr>
            <w:r w:rsidRPr="00A73A1E">
              <w:rPr>
                <w:rFonts w:eastAsia="SimSun"/>
                <w:color w:val="000000"/>
              </w:rPr>
              <w:t>1 250</w:t>
            </w:r>
          </w:p>
        </w:tc>
        <w:tc>
          <w:tcPr>
            <w:tcW w:w="1074" w:type="dxa"/>
            <w:tcBorders>
              <w:top w:val="single" w:sz="6" w:space="0" w:color="auto"/>
              <w:left w:val="single" w:sz="6" w:space="0" w:color="auto"/>
              <w:bottom w:val="single" w:sz="6" w:space="0" w:color="auto"/>
              <w:right w:val="single" w:sz="6" w:space="0" w:color="auto"/>
            </w:tcBorders>
            <w:vAlign w:val="center"/>
          </w:tcPr>
          <w:p w14:paraId="08DFF173" w14:textId="77777777" w:rsidR="003244CE" w:rsidRPr="00A73A1E" w:rsidRDefault="003244CE" w:rsidP="002C7DA3">
            <w:pPr>
              <w:pStyle w:val="Tabletext"/>
              <w:keepNext/>
              <w:keepLines/>
              <w:jc w:val="center"/>
              <w:rPr>
                <w:rFonts w:eastAsia="SimSun"/>
                <w:color w:val="000000"/>
              </w:rPr>
            </w:pPr>
            <w:r w:rsidRPr="00A73A1E">
              <w:rPr>
                <w:rFonts w:eastAsia="SimSun"/>
              </w:rPr>
              <w:t>1 257.5</w:t>
            </w:r>
          </w:p>
        </w:tc>
        <w:tc>
          <w:tcPr>
            <w:tcW w:w="1074" w:type="dxa"/>
            <w:tcBorders>
              <w:top w:val="single" w:sz="6" w:space="0" w:color="auto"/>
              <w:left w:val="single" w:sz="6" w:space="0" w:color="auto"/>
              <w:bottom w:val="single" w:sz="6" w:space="0" w:color="auto"/>
              <w:right w:val="single" w:sz="6" w:space="0" w:color="auto"/>
            </w:tcBorders>
            <w:vAlign w:val="center"/>
          </w:tcPr>
          <w:p w14:paraId="123E6CE5" w14:textId="77777777" w:rsidR="003244CE" w:rsidRPr="00A73A1E" w:rsidRDefault="003244CE" w:rsidP="002C7DA3">
            <w:pPr>
              <w:pStyle w:val="Tabletext"/>
              <w:keepNext/>
              <w:keepLines/>
              <w:jc w:val="center"/>
              <w:rPr>
                <w:rFonts w:eastAsia="SimSun"/>
                <w:color w:val="000000"/>
              </w:rPr>
            </w:pPr>
            <w:r w:rsidRPr="00A73A1E">
              <w:rPr>
                <w:rFonts w:eastAsia="SimSun"/>
                <w:color w:val="000000"/>
              </w:rPr>
              <w:t>1 250</w:t>
            </w:r>
          </w:p>
        </w:tc>
        <w:tc>
          <w:tcPr>
            <w:tcW w:w="1074" w:type="dxa"/>
            <w:tcBorders>
              <w:top w:val="single" w:sz="6" w:space="0" w:color="auto"/>
              <w:left w:val="single" w:sz="6" w:space="0" w:color="auto"/>
              <w:bottom w:val="single" w:sz="6" w:space="0" w:color="auto"/>
              <w:right w:val="single" w:sz="6" w:space="0" w:color="auto"/>
            </w:tcBorders>
            <w:vAlign w:val="center"/>
          </w:tcPr>
          <w:p w14:paraId="7FE455CB" w14:textId="77777777" w:rsidR="003244CE" w:rsidRPr="00A73A1E" w:rsidRDefault="003244CE" w:rsidP="002C7DA3">
            <w:pPr>
              <w:pStyle w:val="Tabletext"/>
              <w:keepNext/>
              <w:keepLines/>
              <w:jc w:val="center"/>
              <w:rPr>
                <w:rFonts w:eastAsia="SimSun"/>
                <w:color w:val="000000"/>
              </w:rPr>
            </w:pPr>
            <w:r w:rsidRPr="00A73A1E">
              <w:rPr>
                <w:rFonts w:eastAsia="SimSun"/>
                <w:color w:val="000000"/>
              </w:rPr>
              <w:t>1 250</w:t>
            </w:r>
          </w:p>
        </w:tc>
      </w:tr>
      <w:tr w:rsidR="007E359E" w:rsidRPr="00A73A1E" w14:paraId="7CC46E64" w14:textId="77777777" w:rsidTr="007E359E">
        <w:trPr>
          <w:cantSplit/>
          <w:trHeight w:val="493"/>
          <w:jc w:val="center"/>
        </w:trPr>
        <w:tc>
          <w:tcPr>
            <w:tcW w:w="3180" w:type="dxa"/>
            <w:tcBorders>
              <w:top w:val="single" w:sz="6" w:space="0" w:color="auto"/>
              <w:left w:val="single" w:sz="6" w:space="0" w:color="auto"/>
              <w:bottom w:val="single" w:sz="6" w:space="0" w:color="auto"/>
              <w:right w:val="single" w:sz="6" w:space="0" w:color="auto"/>
            </w:tcBorders>
            <w:vAlign w:val="center"/>
          </w:tcPr>
          <w:p w14:paraId="53EF374D" w14:textId="77777777" w:rsidR="003244CE" w:rsidRPr="00A73A1E" w:rsidRDefault="003244CE" w:rsidP="002C7DA3">
            <w:pPr>
              <w:pStyle w:val="Tabletext"/>
              <w:keepNext/>
              <w:keepLines/>
              <w:jc w:val="left"/>
              <w:rPr>
                <w:rFonts w:eastAsia="SimSun"/>
              </w:rPr>
            </w:pPr>
            <w:r w:rsidRPr="00A73A1E">
              <w:t xml:space="preserve">Peak </w:t>
            </w:r>
            <w:r w:rsidRPr="00A73A1E">
              <w:rPr>
                <w:lang w:eastAsia="ja-JP"/>
              </w:rPr>
              <w:t>transmitter</w:t>
            </w:r>
            <w:r w:rsidRPr="00A73A1E">
              <w:t xml:space="preserve"> power (</w:t>
            </w:r>
            <w:proofErr w:type="spellStart"/>
            <w:r w:rsidRPr="00A73A1E">
              <w:t>dBW</w:t>
            </w:r>
            <w:proofErr w:type="spellEnd"/>
            <w:r w:rsidRPr="00A73A1E">
              <w:t>)</w:t>
            </w:r>
          </w:p>
        </w:tc>
        <w:tc>
          <w:tcPr>
            <w:tcW w:w="1073" w:type="dxa"/>
            <w:tcBorders>
              <w:top w:val="single" w:sz="6" w:space="0" w:color="auto"/>
              <w:left w:val="single" w:sz="6" w:space="0" w:color="auto"/>
              <w:bottom w:val="single" w:sz="6" w:space="0" w:color="auto"/>
              <w:right w:val="single" w:sz="6" w:space="0" w:color="auto"/>
            </w:tcBorders>
            <w:vAlign w:val="center"/>
          </w:tcPr>
          <w:p w14:paraId="1B297033" w14:textId="77777777" w:rsidR="003244CE" w:rsidRPr="00A73A1E" w:rsidRDefault="003244CE" w:rsidP="002C7DA3">
            <w:pPr>
              <w:pStyle w:val="Tabletext"/>
              <w:keepNext/>
              <w:keepLines/>
              <w:jc w:val="center"/>
              <w:rPr>
                <w:rFonts w:eastAsia="SimSun"/>
                <w:color w:val="000000"/>
              </w:rPr>
            </w:pPr>
            <w:r w:rsidRPr="00A73A1E">
              <w:rPr>
                <w:rFonts w:eastAsia="SimSun"/>
                <w:color w:val="000000"/>
              </w:rPr>
              <w:t>35.1</w:t>
            </w:r>
          </w:p>
        </w:tc>
        <w:tc>
          <w:tcPr>
            <w:tcW w:w="1073" w:type="dxa"/>
            <w:tcBorders>
              <w:top w:val="single" w:sz="6" w:space="0" w:color="auto"/>
              <w:left w:val="single" w:sz="6" w:space="0" w:color="auto"/>
              <w:bottom w:val="single" w:sz="6" w:space="0" w:color="auto"/>
              <w:right w:val="single" w:sz="6" w:space="0" w:color="auto"/>
            </w:tcBorders>
            <w:vAlign w:val="center"/>
          </w:tcPr>
          <w:p w14:paraId="1FC2053C" w14:textId="77777777" w:rsidR="003244CE" w:rsidRPr="00A73A1E" w:rsidRDefault="003244CE" w:rsidP="002C7DA3">
            <w:pPr>
              <w:pStyle w:val="Tabletext"/>
              <w:keepNext/>
              <w:keepLines/>
              <w:jc w:val="center"/>
              <w:rPr>
                <w:rFonts w:eastAsia="SimSun"/>
                <w:color w:val="000000"/>
              </w:rPr>
            </w:pPr>
            <w:r w:rsidRPr="00A73A1E">
              <w:rPr>
                <w:rFonts w:eastAsia="SimSun"/>
                <w:color w:val="000000"/>
              </w:rPr>
              <w:t>30.8</w:t>
            </w:r>
          </w:p>
        </w:tc>
        <w:tc>
          <w:tcPr>
            <w:tcW w:w="1074" w:type="dxa"/>
            <w:tcBorders>
              <w:top w:val="single" w:sz="6" w:space="0" w:color="auto"/>
              <w:left w:val="single" w:sz="6" w:space="0" w:color="auto"/>
              <w:bottom w:val="single" w:sz="6" w:space="0" w:color="auto"/>
              <w:right w:val="single" w:sz="6" w:space="0" w:color="auto"/>
            </w:tcBorders>
            <w:vAlign w:val="center"/>
          </w:tcPr>
          <w:p w14:paraId="714F84D1" w14:textId="77777777" w:rsidR="003244CE" w:rsidRPr="00A73A1E" w:rsidRDefault="003244CE" w:rsidP="002C7DA3">
            <w:pPr>
              <w:pStyle w:val="Tabletext"/>
              <w:keepNext/>
              <w:keepLines/>
              <w:jc w:val="center"/>
              <w:rPr>
                <w:rFonts w:eastAsia="SimSun"/>
                <w:color w:val="000000"/>
              </w:rPr>
            </w:pPr>
            <w:r w:rsidRPr="00A73A1E">
              <w:rPr>
                <w:rFonts w:eastAsia="SimSun"/>
                <w:color w:val="000000"/>
              </w:rPr>
              <w:t>35.1</w:t>
            </w:r>
          </w:p>
        </w:tc>
        <w:tc>
          <w:tcPr>
            <w:tcW w:w="1074" w:type="dxa"/>
            <w:tcBorders>
              <w:top w:val="single" w:sz="6" w:space="0" w:color="auto"/>
              <w:left w:val="single" w:sz="6" w:space="0" w:color="auto"/>
              <w:bottom w:val="single" w:sz="6" w:space="0" w:color="auto"/>
              <w:right w:val="single" w:sz="6" w:space="0" w:color="auto"/>
            </w:tcBorders>
            <w:vAlign w:val="center"/>
          </w:tcPr>
          <w:p w14:paraId="12A744B5" w14:textId="77777777" w:rsidR="003244CE" w:rsidRPr="00A73A1E" w:rsidRDefault="003244CE" w:rsidP="002C7DA3">
            <w:pPr>
              <w:pStyle w:val="Tabletext"/>
              <w:keepNext/>
              <w:keepLines/>
              <w:jc w:val="center"/>
              <w:rPr>
                <w:rFonts w:eastAsia="SimSun"/>
                <w:color w:val="000000"/>
              </w:rPr>
            </w:pPr>
            <w:r w:rsidRPr="00A73A1E">
              <w:rPr>
                <w:rFonts w:eastAsia="SimSun"/>
                <w:color w:val="000000"/>
              </w:rPr>
              <w:t>36.0</w:t>
            </w:r>
          </w:p>
        </w:tc>
        <w:tc>
          <w:tcPr>
            <w:tcW w:w="1074" w:type="dxa"/>
            <w:tcBorders>
              <w:top w:val="single" w:sz="6" w:space="0" w:color="auto"/>
              <w:left w:val="single" w:sz="6" w:space="0" w:color="auto"/>
              <w:bottom w:val="single" w:sz="6" w:space="0" w:color="auto"/>
              <w:right w:val="single" w:sz="6" w:space="0" w:color="auto"/>
            </w:tcBorders>
            <w:vAlign w:val="center"/>
          </w:tcPr>
          <w:p w14:paraId="3603941E" w14:textId="77777777" w:rsidR="003244CE" w:rsidRPr="00A73A1E" w:rsidRDefault="003244CE" w:rsidP="002C7DA3">
            <w:pPr>
              <w:pStyle w:val="Tabletext"/>
              <w:keepNext/>
              <w:keepLines/>
              <w:jc w:val="center"/>
              <w:rPr>
                <w:rFonts w:eastAsia="SimSun"/>
                <w:color w:val="000000"/>
              </w:rPr>
            </w:pPr>
            <w:r w:rsidRPr="00A73A1E">
              <w:rPr>
                <w:rFonts w:eastAsia="SimSun"/>
                <w:color w:val="000000"/>
              </w:rPr>
              <w:t>37.9</w:t>
            </w:r>
          </w:p>
        </w:tc>
        <w:tc>
          <w:tcPr>
            <w:tcW w:w="1074" w:type="dxa"/>
            <w:tcBorders>
              <w:top w:val="single" w:sz="6" w:space="0" w:color="auto"/>
              <w:left w:val="single" w:sz="6" w:space="0" w:color="auto"/>
              <w:bottom w:val="single" w:sz="6" w:space="0" w:color="auto"/>
              <w:right w:val="single" w:sz="6" w:space="0" w:color="auto"/>
            </w:tcBorders>
            <w:vAlign w:val="center"/>
          </w:tcPr>
          <w:p w14:paraId="42561DDD" w14:textId="77777777" w:rsidR="003244CE" w:rsidRPr="00A73A1E" w:rsidRDefault="003244CE" w:rsidP="002C7DA3">
            <w:pPr>
              <w:pStyle w:val="Tabletext"/>
              <w:keepNext/>
              <w:keepLines/>
              <w:jc w:val="center"/>
              <w:rPr>
                <w:rFonts w:eastAsia="SimSun"/>
                <w:color w:val="000000"/>
              </w:rPr>
            </w:pPr>
            <w:r w:rsidRPr="00A73A1E">
              <w:rPr>
                <w:rFonts w:eastAsia="SimSun"/>
                <w:color w:val="000000"/>
              </w:rPr>
              <w:t>37.9</w:t>
            </w:r>
          </w:p>
        </w:tc>
      </w:tr>
      <w:tr w:rsidR="007E359E" w:rsidRPr="00A73A1E" w14:paraId="2F46E04C" w14:textId="77777777" w:rsidTr="007E359E">
        <w:trPr>
          <w:cantSplit/>
          <w:jc w:val="center"/>
        </w:trPr>
        <w:tc>
          <w:tcPr>
            <w:tcW w:w="3180" w:type="dxa"/>
            <w:tcBorders>
              <w:top w:val="single" w:sz="6" w:space="0" w:color="auto"/>
              <w:left w:val="single" w:sz="6" w:space="0" w:color="auto"/>
              <w:bottom w:val="single" w:sz="6" w:space="0" w:color="auto"/>
              <w:right w:val="single" w:sz="6" w:space="0" w:color="auto"/>
            </w:tcBorders>
            <w:vAlign w:val="center"/>
          </w:tcPr>
          <w:p w14:paraId="16CBDAA2" w14:textId="77777777" w:rsidR="003244CE" w:rsidRPr="00A73A1E" w:rsidRDefault="003244CE" w:rsidP="002C7DA3">
            <w:pPr>
              <w:pStyle w:val="Tabletext"/>
              <w:keepNext/>
              <w:keepLines/>
              <w:jc w:val="left"/>
              <w:rPr>
                <w:rFonts w:eastAsia="SimSun"/>
              </w:rPr>
            </w:pPr>
            <w:r w:rsidRPr="00A73A1E">
              <w:t>Transmitter antenna gain (dB)</w:t>
            </w:r>
          </w:p>
        </w:tc>
        <w:tc>
          <w:tcPr>
            <w:tcW w:w="1073" w:type="dxa"/>
            <w:tcBorders>
              <w:top w:val="single" w:sz="6" w:space="0" w:color="auto"/>
              <w:left w:val="single" w:sz="6" w:space="0" w:color="auto"/>
              <w:bottom w:val="single" w:sz="6" w:space="0" w:color="auto"/>
              <w:right w:val="single" w:sz="6" w:space="0" w:color="auto"/>
            </w:tcBorders>
            <w:vAlign w:val="center"/>
          </w:tcPr>
          <w:p w14:paraId="258F2656" w14:textId="77777777" w:rsidR="003244CE" w:rsidRPr="00A73A1E" w:rsidRDefault="003244CE" w:rsidP="002C7DA3">
            <w:pPr>
              <w:pStyle w:val="Tabletext"/>
              <w:keepNext/>
              <w:keepLines/>
              <w:jc w:val="center"/>
              <w:rPr>
                <w:rFonts w:eastAsia="SimSun"/>
                <w:color w:val="000000"/>
              </w:rPr>
            </w:pPr>
            <w:r w:rsidRPr="00A73A1E">
              <w:rPr>
                <w:rFonts w:eastAsia="SimSun"/>
                <w:color w:val="000000"/>
              </w:rPr>
              <w:t>36.4</w:t>
            </w:r>
          </w:p>
        </w:tc>
        <w:tc>
          <w:tcPr>
            <w:tcW w:w="1073" w:type="dxa"/>
            <w:tcBorders>
              <w:top w:val="single" w:sz="6" w:space="0" w:color="auto"/>
              <w:left w:val="single" w:sz="6" w:space="0" w:color="auto"/>
              <w:bottom w:val="single" w:sz="6" w:space="0" w:color="auto"/>
              <w:right w:val="single" w:sz="6" w:space="0" w:color="auto"/>
            </w:tcBorders>
            <w:vAlign w:val="center"/>
          </w:tcPr>
          <w:p w14:paraId="7FBE6E88" w14:textId="77777777" w:rsidR="003244CE" w:rsidRPr="00A73A1E" w:rsidRDefault="003244CE" w:rsidP="002C7DA3">
            <w:pPr>
              <w:pStyle w:val="Tabletext"/>
              <w:keepNext/>
              <w:keepLines/>
              <w:jc w:val="center"/>
              <w:rPr>
                <w:rFonts w:eastAsia="SimSun"/>
                <w:color w:val="000000"/>
              </w:rPr>
            </w:pPr>
            <w:r w:rsidRPr="00A73A1E">
              <w:rPr>
                <w:rFonts w:eastAsia="SimSun"/>
                <w:color w:val="000000"/>
              </w:rPr>
              <w:t>33.0</w:t>
            </w:r>
          </w:p>
        </w:tc>
        <w:tc>
          <w:tcPr>
            <w:tcW w:w="1074" w:type="dxa"/>
            <w:tcBorders>
              <w:top w:val="single" w:sz="6" w:space="0" w:color="auto"/>
              <w:left w:val="single" w:sz="6" w:space="0" w:color="auto"/>
              <w:bottom w:val="single" w:sz="6" w:space="0" w:color="auto"/>
              <w:right w:val="single" w:sz="6" w:space="0" w:color="auto"/>
            </w:tcBorders>
            <w:vAlign w:val="center"/>
          </w:tcPr>
          <w:p w14:paraId="47A34793" w14:textId="77777777" w:rsidR="003244CE" w:rsidRPr="00A73A1E" w:rsidRDefault="003244CE" w:rsidP="002C7DA3">
            <w:pPr>
              <w:pStyle w:val="Tabletext"/>
              <w:keepNext/>
              <w:keepLines/>
              <w:jc w:val="center"/>
              <w:rPr>
                <w:rFonts w:eastAsia="SimSun"/>
                <w:color w:val="000000"/>
              </w:rPr>
            </w:pPr>
            <w:r w:rsidRPr="00A73A1E">
              <w:rPr>
                <w:rFonts w:eastAsia="SimSun"/>
                <w:color w:val="000000"/>
              </w:rPr>
              <w:t>33.4</w:t>
            </w:r>
          </w:p>
        </w:tc>
        <w:tc>
          <w:tcPr>
            <w:tcW w:w="1074" w:type="dxa"/>
            <w:tcBorders>
              <w:top w:val="single" w:sz="6" w:space="0" w:color="auto"/>
              <w:left w:val="single" w:sz="6" w:space="0" w:color="auto"/>
              <w:bottom w:val="single" w:sz="6" w:space="0" w:color="auto"/>
              <w:right w:val="single" w:sz="6" w:space="0" w:color="auto"/>
            </w:tcBorders>
            <w:vAlign w:val="center"/>
          </w:tcPr>
          <w:p w14:paraId="5DFDA918" w14:textId="77777777" w:rsidR="003244CE" w:rsidRPr="00A73A1E" w:rsidRDefault="003244CE" w:rsidP="002C7DA3">
            <w:pPr>
              <w:pStyle w:val="Tabletext"/>
              <w:keepNext/>
              <w:keepLines/>
              <w:jc w:val="center"/>
              <w:rPr>
                <w:rFonts w:eastAsia="SimSun"/>
                <w:color w:val="000000"/>
              </w:rPr>
            </w:pPr>
            <w:r w:rsidRPr="00A73A1E">
              <w:rPr>
                <w:rFonts w:eastAsia="SimSun"/>
                <w:color w:val="000000"/>
              </w:rPr>
              <w:t>34.7</w:t>
            </w:r>
          </w:p>
        </w:tc>
        <w:tc>
          <w:tcPr>
            <w:tcW w:w="1074" w:type="dxa"/>
            <w:tcBorders>
              <w:top w:val="single" w:sz="6" w:space="0" w:color="auto"/>
              <w:left w:val="single" w:sz="6" w:space="0" w:color="auto"/>
              <w:bottom w:val="single" w:sz="6" w:space="0" w:color="auto"/>
              <w:right w:val="single" w:sz="6" w:space="0" w:color="auto"/>
            </w:tcBorders>
            <w:vAlign w:val="center"/>
          </w:tcPr>
          <w:p w14:paraId="674CDDA0" w14:textId="77777777" w:rsidR="003244CE" w:rsidRPr="00A73A1E" w:rsidRDefault="003244CE" w:rsidP="002C7DA3">
            <w:pPr>
              <w:pStyle w:val="Tabletext"/>
              <w:keepNext/>
              <w:keepLines/>
              <w:jc w:val="center"/>
              <w:rPr>
                <w:rFonts w:eastAsia="SimSun"/>
                <w:color w:val="000000"/>
              </w:rPr>
            </w:pPr>
            <w:r w:rsidRPr="00A73A1E">
              <w:rPr>
                <w:rFonts w:eastAsia="SimSun"/>
                <w:color w:val="000000"/>
              </w:rPr>
              <w:t>36.6</w:t>
            </w:r>
          </w:p>
        </w:tc>
        <w:tc>
          <w:tcPr>
            <w:tcW w:w="1074" w:type="dxa"/>
            <w:tcBorders>
              <w:top w:val="single" w:sz="6" w:space="0" w:color="auto"/>
              <w:left w:val="single" w:sz="6" w:space="0" w:color="auto"/>
              <w:bottom w:val="single" w:sz="6" w:space="0" w:color="auto"/>
              <w:right w:val="single" w:sz="6" w:space="0" w:color="auto"/>
            </w:tcBorders>
            <w:vAlign w:val="center"/>
          </w:tcPr>
          <w:p w14:paraId="0ADF3026" w14:textId="77777777" w:rsidR="003244CE" w:rsidRPr="00A73A1E" w:rsidRDefault="003244CE" w:rsidP="002C7DA3">
            <w:pPr>
              <w:pStyle w:val="Tabletext"/>
              <w:keepNext/>
              <w:keepLines/>
              <w:jc w:val="center"/>
              <w:rPr>
                <w:rFonts w:eastAsia="SimSun"/>
                <w:color w:val="000000"/>
              </w:rPr>
            </w:pPr>
            <w:r w:rsidRPr="00A73A1E">
              <w:rPr>
                <w:rFonts w:eastAsia="SimSun"/>
                <w:color w:val="000000"/>
                <w:lang w:eastAsia="ja-JP"/>
              </w:rPr>
              <w:t>36.6</w:t>
            </w:r>
          </w:p>
        </w:tc>
      </w:tr>
      <w:tr w:rsidR="007E359E" w:rsidRPr="00A73A1E" w14:paraId="48EB9AFC" w14:textId="77777777" w:rsidTr="007E359E">
        <w:trPr>
          <w:cantSplit/>
          <w:jc w:val="center"/>
        </w:trPr>
        <w:tc>
          <w:tcPr>
            <w:tcW w:w="3180" w:type="dxa"/>
            <w:tcBorders>
              <w:top w:val="single" w:sz="6" w:space="0" w:color="auto"/>
              <w:left w:val="single" w:sz="6" w:space="0" w:color="auto"/>
              <w:bottom w:val="single" w:sz="6" w:space="0" w:color="auto"/>
              <w:right w:val="single" w:sz="6" w:space="0" w:color="auto"/>
            </w:tcBorders>
            <w:vAlign w:val="center"/>
          </w:tcPr>
          <w:p w14:paraId="4D1789D1" w14:textId="77777777" w:rsidR="003244CE" w:rsidRPr="00A73A1E" w:rsidRDefault="003244CE" w:rsidP="002C7DA3">
            <w:pPr>
              <w:pStyle w:val="Tabletext"/>
              <w:keepNext/>
              <w:keepLines/>
              <w:jc w:val="left"/>
              <w:rPr>
                <w:rFonts w:eastAsia="SimSun"/>
              </w:rPr>
            </w:pPr>
            <w:r w:rsidRPr="00A73A1E">
              <w:t>Distance (km)</w:t>
            </w:r>
          </w:p>
        </w:tc>
        <w:tc>
          <w:tcPr>
            <w:tcW w:w="1073" w:type="dxa"/>
            <w:tcBorders>
              <w:top w:val="single" w:sz="6" w:space="0" w:color="auto"/>
              <w:left w:val="single" w:sz="6" w:space="0" w:color="auto"/>
              <w:bottom w:val="single" w:sz="6" w:space="0" w:color="auto"/>
              <w:right w:val="single" w:sz="6" w:space="0" w:color="auto"/>
            </w:tcBorders>
            <w:vAlign w:val="center"/>
          </w:tcPr>
          <w:p w14:paraId="1B0EF856" w14:textId="77777777" w:rsidR="003244CE" w:rsidRPr="00A73A1E" w:rsidRDefault="003244CE" w:rsidP="002C7DA3">
            <w:pPr>
              <w:pStyle w:val="Tabletext"/>
              <w:keepNext/>
              <w:keepLines/>
              <w:jc w:val="center"/>
              <w:rPr>
                <w:rFonts w:eastAsia="SimSun"/>
                <w:color w:val="000000"/>
              </w:rPr>
            </w:pPr>
            <w:r w:rsidRPr="00A73A1E">
              <w:rPr>
                <w:rFonts w:eastAsia="SimSun"/>
                <w:color w:val="000000"/>
              </w:rPr>
              <w:t>427.5</w:t>
            </w:r>
          </w:p>
        </w:tc>
        <w:tc>
          <w:tcPr>
            <w:tcW w:w="1073" w:type="dxa"/>
            <w:tcBorders>
              <w:top w:val="single" w:sz="6" w:space="0" w:color="auto"/>
              <w:left w:val="single" w:sz="6" w:space="0" w:color="auto"/>
              <w:bottom w:val="single" w:sz="6" w:space="0" w:color="auto"/>
              <w:right w:val="single" w:sz="6" w:space="0" w:color="auto"/>
            </w:tcBorders>
            <w:vAlign w:val="center"/>
          </w:tcPr>
          <w:p w14:paraId="2859B3D1" w14:textId="77777777" w:rsidR="003244CE" w:rsidRPr="00A73A1E" w:rsidRDefault="003244CE" w:rsidP="002C7DA3">
            <w:pPr>
              <w:pStyle w:val="Tabletext"/>
              <w:keepNext/>
              <w:keepLines/>
              <w:jc w:val="center"/>
              <w:rPr>
                <w:rFonts w:eastAsia="SimSun"/>
                <w:color w:val="000000"/>
              </w:rPr>
            </w:pPr>
            <w:r w:rsidRPr="00A73A1E">
              <w:rPr>
                <w:rFonts w:eastAsia="SimSun"/>
                <w:color w:val="000000"/>
              </w:rPr>
              <w:t>710.8</w:t>
            </w:r>
          </w:p>
        </w:tc>
        <w:tc>
          <w:tcPr>
            <w:tcW w:w="1074" w:type="dxa"/>
            <w:tcBorders>
              <w:top w:val="single" w:sz="6" w:space="0" w:color="auto"/>
              <w:left w:val="single" w:sz="6" w:space="0" w:color="auto"/>
              <w:bottom w:val="single" w:sz="6" w:space="0" w:color="auto"/>
              <w:right w:val="single" w:sz="6" w:space="0" w:color="auto"/>
            </w:tcBorders>
            <w:vAlign w:val="center"/>
          </w:tcPr>
          <w:p w14:paraId="145411B9" w14:textId="77777777" w:rsidR="003244CE" w:rsidRPr="00A73A1E" w:rsidRDefault="003244CE" w:rsidP="002C7DA3">
            <w:pPr>
              <w:pStyle w:val="Tabletext"/>
              <w:keepNext/>
              <w:keepLines/>
              <w:jc w:val="center"/>
              <w:rPr>
                <w:rFonts w:eastAsia="SimSun"/>
                <w:color w:val="000000"/>
              </w:rPr>
            </w:pPr>
            <w:r w:rsidRPr="00A73A1E">
              <w:rPr>
                <w:rFonts w:eastAsia="SimSun"/>
                <w:color w:val="000000"/>
              </w:rPr>
              <w:t>898.5</w:t>
            </w:r>
          </w:p>
        </w:tc>
        <w:tc>
          <w:tcPr>
            <w:tcW w:w="1074" w:type="dxa"/>
            <w:tcBorders>
              <w:top w:val="single" w:sz="6" w:space="0" w:color="auto"/>
              <w:left w:val="single" w:sz="6" w:space="0" w:color="auto"/>
              <w:bottom w:val="single" w:sz="6" w:space="0" w:color="auto"/>
              <w:right w:val="single" w:sz="6" w:space="0" w:color="auto"/>
            </w:tcBorders>
            <w:vAlign w:val="center"/>
          </w:tcPr>
          <w:p w14:paraId="7838B3E8" w14:textId="77777777" w:rsidR="003244CE" w:rsidRPr="00A73A1E" w:rsidRDefault="003244CE" w:rsidP="002C7DA3">
            <w:pPr>
              <w:pStyle w:val="Tabletext"/>
              <w:keepNext/>
              <w:keepLines/>
              <w:jc w:val="center"/>
              <w:rPr>
                <w:rFonts w:eastAsia="SimSun"/>
                <w:color w:val="000000"/>
              </w:rPr>
            </w:pPr>
            <w:r w:rsidRPr="00A73A1E">
              <w:rPr>
                <w:rFonts w:eastAsia="SimSun"/>
                <w:color w:val="000000"/>
              </w:rPr>
              <w:t>637.8</w:t>
            </w:r>
          </w:p>
        </w:tc>
        <w:tc>
          <w:tcPr>
            <w:tcW w:w="1074" w:type="dxa"/>
            <w:tcBorders>
              <w:top w:val="single" w:sz="6" w:space="0" w:color="auto"/>
              <w:left w:val="single" w:sz="6" w:space="0" w:color="auto"/>
              <w:bottom w:val="single" w:sz="6" w:space="0" w:color="auto"/>
              <w:right w:val="single" w:sz="6" w:space="0" w:color="auto"/>
            </w:tcBorders>
            <w:vAlign w:val="center"/>
          </w:tcPr>
          <w:p w14:paraId="325AB2FC" w14:textId="77777777" w:rsidR="003244CE" w:rsidRPr="00A73A1E" w:rsidRDefault="003244CE" w:rsidP="002C7DA3">
            <w:pPr>
              <w:pStyle w:val="Tabletext"/>
              <w:keepNext/>
              <w:keepLines/>
              <w:jc w:val="center"/>
              <w:rPr>
                <w:rFonts w:eastAsia="SimSun"/>
                <w:color w:val="000000"/>
              </w:rPr>
            </w:pPr>
            <w:r w:rsidRPr="00A73A1E">
              <w:rPr>
                <w:rFonts w:eastAsia="SimSun"/>
                <w:color w:val="000000"/>
                <w:lang w:eastAsia="ja-JP"/>
              </w:rPr>
              <w:t>636.65</w:t>
            </w:r>
          </w:p>
        </w:tc>
        <w:tc>
          <w:tcPr>
            <w:tcW w:w="1074" w:type="dxa"/>
            <w:tcBorders>
              <w:top w:val="single" w:sz="6" w:space="0" w:color="auto"/>
              <w:left w:val="single" w:sz="6" w:space="0" w:color="auto"/>
              <w:bottom w:val="single" w:sz="6" w:space="0" w:color="auto"/>
              <w:right w:val="single" w:sz="6" w:space="0" w:color="auto"/>
            </w:tcBorders>
            <w:vAlign w:val="center"/>
          </w:tcPr>
          <w:p w14:paraId="5C913002" w14:textId="77777777" w:rsidR="003244CE" w:rsidRPr="00A73A1E" w:rsidRDefault="003244CE" w:rsidP="002C7DA3">
            <w:pPr>
              <w:pStyle w:val="Tabletext"/>
              <w:keepNext/>
              <w:keepLines/>
              <w:jc w:val="center"/>
              <w:rPr>
                <w:rFonts w:eastAsia="SimSun"/>
                <w:color w:val="000000"/>
              </w:rPr>
            </w:pPr>
            <w:r w:rsidRPr="00A73A1E">
              <w:rPr>
                <w:rFonts w:eastAsia="SimSun"/>
                <w:color w:val="000000"/>
                <w:lang w:eastAsia="ja-JP"/>
              </w:rPr>
              <w:t>639.53</w:t>
            </w:r>
          </w:p>
        </w:tc>
      </w:tr>
      <w:tr w:rsidR="007E359E" w:rsidRPr="00A73A1E" w14:paraId="1CA96418" w14:textId="77777777" w:rsidTr="007E359E">
        <w:trPr>
          <w:cantSplit/>
          <w:jc w:val="center"/>
        </w:trPr>
        <w:tc>
          <w:tcPr>
            <w:tcW w:w="3180" w:type="dxa"/>
            <w:tcBorders>
              <w:top w:val="single" w:sz="6" w:space="0" w:color="auto"/>
              <w:left w:val="single" w:sz="6" w:space="0" w:color="auto"/>
              <w:bottom w:val="single" w:sz="6" w:space="0" w:color="auto"/>
              <w:right w:val="single" w:sz="6" w:space="0" w:color="auto"/>
            </w:tcBorders>
            <w:vAlign w:val="center"/>
          </w:tcPr>
          <w:p w14:paraId="11A5A2B8" w14:textId="77777777" w:rsidR="003244CE" w:rsidRPr="00A73A1E" w:rsidRDefault="003244CE" w:rsidP="002C7DA3">
            <w:pPr>
              <w:pStyle w:val="Tabletext"/>
              <w:jc w:val="left"/>
              <w:rPr>
                <w:rFonts w:eastAsia="SimSun"/>
              </w:rPr>
            </w:pPr>
            <w:r w:rsidRPr="00A73A1E">
              <w:rPr>
                <w:lang w:eastAsia="ja-JP"/>
              </w:rPr>
              <w:t xml:space="preserve">Free </w:t>
            </w:r>
            <w:r w:rsidRPr="00A73A1E">
              <w:t>space loss (dB)</w:t>
            </w:r>
          </w:p>
        </w:tc>
        <w:tc>
          <w:tcPr>
            <w:tcW w:w="1073" w:type="dxa"/>
            <w:tcBorders>
              <w:top w:val="single" w:sz="6" w:space="0" w:color="auto"/>
              <w:left w:val="single" w:sz="6" w:space="0" w:color="auto"/>
              <w:bottom w:val="single" w:sz="6" w:space="0" w:color="auto"/>
              <w:right w:val="single" w:sz="6" w:space="0" w:color="auto"/>
            </w:tcBorders>
            <w:vAlign w:val="center"/>
          </w:tcPr>
          <w:p w14:paraId="1A603946" w14:textId="77777777" w:rsidR="003244CE" w:rsidRPr="00A73A1E" w:rsidRDefault="003244CE" w:rsidP="009C40C0">
            <w:pPr>
              <w:pStyle w:val="Tabletext"/>
              <w:jc w:val="center"/>
              <w:rPr>
                <w:rFonts w:eastAsia="SimSun"/>
                <w:color w:val="000000"/>
              </w:rPr>
            </w:pPr>
            <w:r w:rsidRPr="00A73A1E">
              <w:rPr>
                <w:rFonts w:eastAsia="SimSun"/>
                <w:color w:val="000000"/>
              </w:rPr>
              <w:t>147.0</w:t>
            </w:r>
          </w:p>
        </w:tc>
        <w:tc>
          <w:tcPr>
            <w:tcW w:w="1073" w:type="dxa"/>
            <w:tcBorders>
              <w:top w:val="single" w:sz="6" w:space="0" w:color="auto"/>
              <w:left w:val="single" w:sz="6" w:space="0" w:color="auto"/>
              <w:bottom w:val="single" w:sz="6" w:space="0" w:color="auto"/>
              <w:right w:val="single" w:sz="6" w:space="0" w:color="auto"/>
            </w:tcBorders>
            <w:vAlign w:val="center"/>
          </w:tcPr>
          <w:p w14:paraId="7881F064" w14:textId="77777777" w:rsidR="003244CE" w:rsidRPr="00A73A1E" w:rsidRDefault="003244CE" w:rsidP="009C40C0">
            <w:pPr>
              <w:pStyle w:val="Tabletext"/>
              <w:jc w:val="center"/>
              <w:rPr>
                <w:rFonts w:eastAsia="SimSun"/>
                <w:color w:val="000000"/>
              </w:rPr>
            </w:pPr>
            <w:r w:rsidRPr="00A73A1E">
              <w:rPr>
                <w:rFonts w:eastAsia="SimSun"/>
                <w:color w:val="000000"/>
              </w:rPr>
              <w:t>151.5</w:t>
            </w:r>
          </w:p>
        </w:tc>
        <w:tc>
          <w:tcPr>
            <w:tcW w:w="1074" w:type="dxa"/>
            <w:tcBorders>
              <w:top w:val="single" w:sz="6" w:space="0" w:color="auto"/>
              <w:left w:val="single" w:sz="6" w:space="0" w:color="auto"/>
              <w:bottom w:val="single" w:sz="6" w:space="0" w:color="auto"/>
              <w:right w:val="single" w:sz="6" w:space="0" w:color="auto"/>
            </w:tcBorders>
            <w:vAlign w:val="center"/>
          </w:tcPr>
          <w:p w14:paraId="2BF034D9" w14:textId="77777777" w:rsidR="003244CE" w:rsidRPr="00A73A1E" w:rsidRDefault="003244CE" w:rsidP="009C40C0">
            <w:pPr>
              <w:pStyle w:val="Tabletext"/>
              <w:jc w:val="center"/>
              <w:rPr>
                <w:rFonts w:eastAsia="SimSun"/>
                <w:color w:val="000000"/>
              </w:rPr>
            </w:pPr>
            <w:r w:rsidRPr="00A73A1E">
              <w:rPr>
                <w:rFonts w:eastAsia="SimSun"/>
                <w:color w:val="000000"/>
              </w:rPr>
              <w:t>153.4</w:t>
            </w:r>
          </w:p>
        </w:tc>
        <w:tc>
          <w:tcPr>
            <w:tcW w:w="1074" w:type="dxa"/>
            <w:tcBorders>
              <w:top w:val="single" w:sz="6" w:space="0" w:color="auto"/>
              <w:left w:val="single" w:sz="6" w:space="0" w:color="auto"/>
              <w:bottom w:val="single" w:sz="6" w:space="0" w:color="auto"/>
              <w:right w:val="single" w:sz="6" w:space="0" w:color="auto"/>
            </w:tcBorders>
            <w:vAlign w:val="center"/>
          </w:tcPr>
          <w:p w14:paraId="392840E0" w14:textId="77777777" w:rsidR="003244CE" w:rsidRPr="00A73A1E" w:rsidRDefault="003244CE" w:rsidP="009C40C0">
            <w:pPr>
              <w:pStyle w:val="Tabletext"/>
              <w:jc w:val="center"/>
              <w:rPr>
                <w:rFonts w:eastAsia="SimSun"/>
                <w:color w:val="000000"/>
                <w:lang w:eastAsia="ja-JP"/>
              </w:rPr>
            </w:pPr>
            <w:r w:rsidRPr="00A73A1E">
              <w:rPr>
                <w:rFonts w:eastAsia="SimSun"/>
                <w:color w:val="000000"/>
              </w:rPr>
              <w:t>150.51</w:t>
            </w:r>
          </w:p>
        </w:tc>
        <w:tc>
          <w:tcPr>
            <w:tcW w:w="1074" w:type="dxa"/>
            <w:tcBorders>
              <w:top w:val="single" w:sz="6" w:space="0" w:color="auto"/>
              <w:left w:val="single" w:sz="6" w:space="0" w:color="auto"/>
              <w:bottom w:val="single" w:sz="6" w:space="0" w:color="auto"/>
              <w:right w:val="single" w:sz="6" w:space="0" w:color="auto"/>
            </w:tcBorders>
            <w:vAlign w:val="center"/>
          </w:tcPr>
          <w:p w14:paraId="584D9542" w14:textId="77777777" w:rsidR="003244CE" w:rsidRPr="00A73A1E" w:rsidRDefault="003244CE" w:rsidP="009C40C0">
            <w:pPr>
              <w:pStyle w:val="Tabletext"/>
              <w:jc w:val="center"/>
              <w:rPr>
                <w:rFonts w:eastAsia="SimSun"/>
                <w:color w:val="000000"/>
              </w:rPr>
            </w:pPr>
            <w:r w:rsidRPr="00A73A1E">
              <w:rPr>
                <w:rFonts w:eastAsia="SimSun"/>
                <w:color w:val="000000"/>
              </w:rPr>
              <w:t>150.</w:t>
            </w:r>
            <w:r w:rsidRPr="00A73A1E">
              <w:rPr>
                <w:rFonts w:eastAsia="SimSun"/>
                <w:color w:val="000000"/>
                <w:lang w:eastAsia="ja-JP"/>
              </w:rPr>
              <w:t>5</w:t>
            </w:r>
          </w:p>
        </w:tc>
        <w:tc>
          <w:tcPr>
            <w:tcW w:w="1074" w:type="dxa"/>
            <w:tcBorders>
              <w:top w:val="single" w:sz="6" w:space="0" w:color="auto"/>
              <w:left w:val="single" w:sz="6" w:space="0" w:color="auto"/>
              <w:bottom w:val="single" w:sz="6" w:space="0" w:color="auto"/>
              <w:right w:val="single" w:sz="6" w:space="0" w:color="auto"/>
            </w:tcBorders>
            <w:vAlign w:val="center"/>
          </w:tcPr>
          <w:p w14:paraId="3363F48C" w14:textId="77777777" w:rsidR="003244CE" w:rsidRPr="00A73A1E" w:rsidRDefault="003244CE" w:rsidP="009C40C0">
            <w:pPr>
              <w:pStyle w:val="Tabletext"/>
              <w:jc w:val="center"/>
              <w:rPr>
                <w:rFonts w:eastAsia="SimSun"/>
                <w:color w:val="000000"/>
              </w:rPr>
            </w:pPr>
            <w:r w:rsidRPr="00A73A1E">
              <w:rPr>
                <w:rFonts w:eastAsia="SimSun"/>
                <w:color w:val="000000"/>
              </w:rPr>
              <w:t>150.</w:t>
            </w:r>
            <w:r w:rsidRPr="00A73A1E">
              <w:rPr>
                <w:rFonts w:eastAsia="SimSun"/>
                <w:color w:val="000000"/>
                <w:lang w:eastAsia="ja-JP"/>
              </w:rPr>
              <w:t>6</w:t>
            </w:r>
          </w:p>
        </w:tc>
      </w:tr>
    </w:tbl>
    <w:p w14:paraId="4939BF74" w14:textId="77777777" w:rsidR="003244CE" w:rsidRDefault="003244CE" w:rsidP="003244CE">
      <w:pPr>
        <w:pStyle w:val="Tablefin"/>
        <w:rPr>
          <w:rFonts w:eastAsia="MS Mincho"/>
        </w:rPr>
      </w:pPr>
    </w:p>
    <w:p w14:paraId="0D41293A" w14:textId="22772D29" w:rsidR="007E359E" w:rsidRPr="00A73A1E" w:rsidRDefault="007E359E" w:rsidP="007E359E">
      <w:pPr>
        <w:pStyle w:val="TableNo"/>
      </w:pPr>
      <w:r w:rsidRPr="00A73A1E">
        <w:lastRenderedPageBreak/>
        <w:t>T</w:t>
      </w:r>
      <w:r>
        <w:t>ABLE</w:t>
      </w:r>
      <w:r w:rsidRPr="00A73A1E">
        <w:t xml:space="preserve"> </w:t>
      </w:r>
      <w:r>
        <w:t>1</w:t>
      </w:r>
      <w:r w:rsidRPr="00A73A1E">
        <w:t>2</w:t>
      </w:r>
      <w:r>
        <w:t xml:space="preserve"> </w:t>
      </w:r>
      <w:r w:rsidRPr="007E359E">
        <w:rPr>
          <w:i/>
          <w:iCs/>
        </w:rPr>
        <w:t>(cont.)</w:t>
      </w:r>
    </w:p>
    <w:tbl>
      <w:tblPr>
        <w:tblW w:w="9622" w:type="dxa"/>
        <w:jc w:val="center"/>
        <w:tblCellMar>
          <w:left w:w="107" w:type="dxa"/>
          <w:right w:w="107" w:type="dxa"/>
        </w:tblCellMar>
        <w:tblLook w:val="0000" w:firstRow="0" w:lastRow="0" w:firstColumn="0" w:lastColumn="0" w:noHBand="0" w:noVBand="0"/>
      </w:tblPr>
      <w:tblGrid>
        <w:gridCol w:w="3180"/>
        <w:gridCol w:w="1073"/>
        <w:gridCol w:w="1073"/>
        <w:gridCol w:w="1074"/>
        <w:gridCol w:w="1074"/>
        <w:gridCol w:w="1074"/>
        <w:gridCol w:w="1074"/>
      </w:tblGrid>
      <w:tr w:rsidR="007E359E" w:rsidRPr="00A73A1E" w14:paraId="60DBA6D3" w14:textId="77777777" w:rsidTr="007E359E">
        <w:trPr>
          <w:cantSplit/>
          <w:tblHeader/>
          <w:jc w:val="center"/>
        </w:trPr>
        <w:tc>
          <w:tcPr>
            <w:tcW w:w="3180" w:type="dxa"/>
            <w:tcBorders>
              <w:top w:val="single" w:sz="6" w:space="0" w:color="auto"/>
              <w:left w:val="single" w:sz="6" w:space="0" w:color="auto"/>
              <w:bottom w:val="single" w:sz="6" w:space="0" w:color="auto"/>
              <w:right w:val="single" w:sz="6" w:space="0" w:color="auto"/>
            </w:tcBorders>
          </w:tcPr>
          <w:p w14:paraId="76AA927C" w14:textId="77777777" w:rsidR="007E359E" w:rsidRPr="00A73A1E" w:rsidRDefault="007E359E" w:rsidP="00BA4B6C">
            <w:pPr>
              <w:pStyle w:val="Tablehead"/>
              <w:rPr>
                <w:rFonts w:eastAsia="SimSun"/>
              </w:rPr>
            </w:pPr>
            <w:r w:rsidRPr="00A73A1E">
              <w:t>Parameter</w:t>
            </w:r>
          </w:p>
        </w:tc>
        <w:tc>
          <w:tcPr>
            <w:tcW w:w="1073" w:type="dxa"/>
            <w:tcBorders>
              <w:top w:val="single" w:sz="6" w:space="0" w:color="auto"/>
              <w:left w:val="single" w:sz="6" w:space="0" w:color="auto"/>
              <w:bottom w:val="single" w:sz="6" w:space="0" w:color="auto"/>
              <w:right w:val="single" w:sz="6" w:space="0" w:color="auto"/>
            </w:tcBorders>
          </w:tcPr>
          <w:p w14:paraId="08C29357" w14:textId="77777777" w:rsidR="007E359E" w:rsidRPr="00A73A1E" w:rsidRDefault="007E359E" w:rsidP="00BA4B6C">
            <w:pPr>
              <w:pStyle w:val="Tablehead"/>
              <w:rPr>
                <w:rFonts w:eastAsia="SimSun"/>
              </w:rPr>
            </w:pPr>
            <w:r w:rsidRPr="00A73A1E">
              <w:rPr>
                <w:rFonts w:eastAsia="SimSun"/>
              </w:rPr>
              <w:t>SAR1</w:t>
            </w:r>
          </w:p>
        </w:tc>
        <w:tc>
          <w:tcPr>
            <w:tcW w:w="1073" w:type="dxa"/>
            <w:tcBorders>
              <w:top w:val="single" w:sz="6" w:space="0" w:color="auto"/>
              <w:left w:val="single" w:sz="6" w:space="0" w:color="auto"/>
              <w:bottom w:val="single" w:sz="6" w:space="0" w:color="auto"/>
              <w:right w:val="single" w:sz="6" w:space="0" w:color="auto"/>
            </w:tcBorders>
          </w:tcPr>
          <w:p w14:paraId="2B9B207C" w14:textId="77777777" w:rsidR="007E359E" w:rsidRPr="00A73A1E" w:rsidRDefault="007E359E" w:rsidP="00BA4B6C">
            <w:pPr>
              <w:pStyle w:val="Tablehead"/>
              <w:rPr>
                <w:rFonts w:eastAsia="SimSun"/>
              </w:rPr>
            </w:pPr>
            <w:r w:rsidRPr="00A73A1E">
              <w:rPr>
                <w:rFonts w:eastAsia="SimSun"/>
              </w:rPr>
              <w:t>SAR2</w:t>
            </w:r>
          </w:p>
        </w:tc>
        <w:tc>
          <w:tcPr>
            <w:tcW w:w="1074" w:type="dxa"/>
            <w:tcBorders>
              <w:top w:val="single" w:sz="6" w:space="0" w:color="auto"/>
              <w:left w:val="single" w:sz="6" w:space="0" w:color="auto"/>
              <w:bottom w:val="single" w:sz="6" w:space="0" w:color="auto"/>
              <w:right w:val="single" w:sz="6" w:space="0" w:color="auto"/>
            </w:tcBorders>
          </w:tcPr>
          <w:p w14:paraId="793A1181" w14:textId="77777777" w:rsidR="007E359E" w:rsidRPr="00A73A1E" w:rsidRDefault="007E359E" w:rsidP="00BA4B6C">
            <w:pPr>
              <w:pStyle w:val="Tablehead"/>
              <w:rPr>
                <w:rFonts w:eastAsia="SimSun"/>
                <w:lang w:eastAsia="ja-JP"/>
              </w:rPr>
            </w:pPr>
            <w:r w:rsidRPr="00A73A1E">
              <w:rPr>
                <w:rFonts w:eastAsia="SimSun"/>
                <w:lang w:eastAsia="ja-JP"/>
              </w:rPr>
              <w:t>SAR3</w:t>
            </w:r>
          </w:p>
        </w:tc>
        <w:tc>
          <w:tcPr>
            <w:tcW w:w="1074" w:type="dxa"/>
            <w:tcBorders>
              <w:top w:val="single" w:sz="6" w:space="0" w:color="auto"/>
              <w:left w:val="single" w:sz="6" w:space="0" w:color="auto"/>
              <w:bottom w:val="single" w:sz="6" w:space="0" w:color="auto"/>
              <w:right w:val="single" w:sz="6" w:space="0" w:color="auto"/>
            </w:tcBorders>
          </w:tcPr>
          <w:p w14:paraId="43BE879C" w14:textId="77777777" w:rsidR="007E359E" w:rsidRPr="00A73A1E" w:rsidRDefault="007E359E" w:rsidP="00BA4B6C">
            <w:pPr>
              <w:pStyle w:val="Tablehead"/>
              <w:rPr>
                <w:rFonts w:eastAsia="SimSun"/>
                <w:lang w:eastAsia="ja-JP"/>
              </w:rPr>
            </w:pPr>
            <w:r w:rsidRPr="00A73A1E">
              <w:rPr>
                <w:rFonts w:eastAsia="SimSun"/>
                <w:lang w:eastAsia="ja-JP"/>
              </w:rPr>
              <w:t>SAR4</w:t>
            </w:r>
          </w:p>
        </w:tc>
        <w:tc>
          <w:tcPr>
            <w:tcW w:w="1074" w:type="dxa"/>
            <w:tcBorders>
              <w:top w:val="single" w:sz="6" w:space="0" w:color="auto"/>
              <w:left w:val="single" w:sz="6" w:space="0" w:color="auto"/>
              <w:bottom w:val="single" w:sz="6" w:space="0" w:color="auto"/>
              <w:right w:val="single" w:sz="6" w:space="0" w:color="auto"/>
            </w:tcBorders>
          </w:tcPr>
          <w:p w14:paraId="7F654E59" w14:textId="77777777" w:rsidR="007E359E" w:rsidRPr="00A73A1E" w:rsidRDefault="007E359E" w:rsidP="00BA4B6C">
            <w:pPr>
              <w:pStyle w:val="Tablehead"/>
              <w:rPr>
                <w:rFonts w:eastAsia="SimSun"/>
                <w:lang w:eastAsia="ja-JP"/>
              </w:rPr>
            </w:pPr>
            <w:r w:rsidRPr="00A73A1E">
              <w:rPr>
                <w:rFonts w:eastAsia="SimSun"/>
                <w:lang w:eastAsia="ja-JP"/>
              </w:rPr>
              <w:t>SAR5</w:t>
            </w:r>
            <w:r>
              <w:rPr>
                <w:rFonts w:eastAsia="SimSun"/>
                <w:lang w:eastAsia="ja-JP"/>
              </w:rPr>
              <w:t xml:space="preserve"> </w:t>
            </w:r>
            <w:r w:rsidRPr="00CB446C">
              <w:rPr>
                <w:vertAlign w:val="superscript"/>
                <w:lang w:eastAsia="ja-JP"/>
              </w:rPr>
              <w:t>(</w:t>
            </w:r>
            <w:r>
              <w:rPr>
                <w:vertAlign w:val="superscript"/>
                <w:lang w:eastAsia="ja-JP"/>
              </w:rPr>
              <w:t>3</w:t>
            </w:r>
            <w:r w:rsidRPr="00CB446C">
              <w:rPr>
                <w:vertAlign w:val="superscript"/>
                <w:lang w:eastAsia="ja-JP"/>
              </w:rPr>
              <w:t>)</w:t>
            </w:r>
          </w:p>
        </w:tc>
        <w:tc>
          <w:tcPr>
            <w:tcW w:w="1074" w:type="dxa"/>
            <w:tcBorders>
              <w:top w:val="single" w:sz="6" w:space="0" w:color="auto"/>
              <w:left w:val="single" w:sz="6" w:space="0" w:color="auto"/>
              <w:bottom w:val="single" w:sz="6" w:space="0" w:color="auto"/>
              <w:right w:val="single" w:sz="6" w:space="0" w:color="auto"/>
            </w:tcBorders>
          </w:tcPr>
          <w:p w14:paraId="6C7BB500" w14:textId="77777777" w:rsidR="007E359E" w:rsidRPr="00A73A1E" w:rsidRDefault="007E359E" w:rsidP="00BA4B6C">
            <w:pPr>
              <w:pStyle w:val="Tablehead"/>
              <w:rPr>
                <w:rFonts w:eastAsia="SimSun"/>
                <w:lang w:eastAsia="ja-JP"/>
              </w:rPr>
            </w:pPr>
            <w:r w:rsidRPr="00A73A1E">
              <w:rPr>
                <w:rFonts w:eastAsia="SimSun"/>
                <w:lang w:eastAsia="ja-JP"/>
              </w:rPr>
              <w:t>SAR6</w:t>
            </w:r>
            <w:r>
              <w:rPr>
                <w:rFonts w:eastAsia="SimSun"/>
                <w:lang w:eastAsia="ja-JP"/>
              </w:rPr>
              <w:t xml:space="preserve"> </w:t>
            </w:r>
            <w:r w:rsidRPr="00CB446C">
              <w:rPr>
                <w:vertAlign w:val="superscript"/>
                <w:lang w:eastAsia="ja-JP"/>
              </w:rPr>
              <w:t>(</w:t>
            </w:r>
            <w:r>
              <w:rPr>
                <w:vertAlign w:val="superscript"/>
                <w:lang w:eastAsia="ja-JP"/>
              </w:rPr>
              <w:t>3</w:t>
            </w:r>
            <w:r w:rsidRPr="00CB446C">
              <w:rPr>
                <w:vertAlign w:val="superscript"/>
                <w:lang w:eastAsia="ja-JP"/>
              </w:rPr>
              <w:t>)</w:t>
            </w:r>
          </w:p>
        </w:tc>
      </w:tr>
      <w:tr w:rsidR="007E359E" w:rsidRPr="00A73A1E" w14:paraId="18755DA3" w14:textId="77777777" w:rsidTr="007E359E">
        <w:trPr>
          <w:cantSplit/>
          <w:jc w:val="center"/>
        </w:trPr>
        <w:tc>
          <w:tcPr>
            <w:tcW w:w="3180" w:type="dxa"/>
            <w:tcBorders>
              <w:top w:val="single" w:sz="6" w:space="0" w:color="auto"/>
              <w:left w:val="single" w:sz="6" w:space="0" w:color="auto"/>
              <w:bottom w:val="single" w:sz="6" w:space="0" w:color="auto"/>
              <w:right w:val="single" w:sz="6" w:space="0" w:color="auto"/>
            </w:tcBorders>
            <w:vAlign w:val="center"/>
          </w:tcPr>
          <w:p w14:paraId="136DF1BA" w14:textId="77777777" w:rsidR="007E359E" w:rsidRPr="00A73A1E" w:rsidRDefault="007E359E" w:rsidP="00BA4B6C">
            <w:pPr>
              <w:pStyle w:val="Tabletext"/>
              <w:jc w:val="left"/>
              <w:rPr>
                <w:rFonts w:eastAsia="SimSun"/>
              </w:rPr>
            </w:pPr>
            <w:r w:rsidRPr="00A73A1E">
              <w:t>Receiver antenna gain (dB)</w:t>
            </w:r>
          </w:p>
        </w:tc>
        <w:tc>
          <w:tcPr>
            <w:tcW w:w="1073" w:type="dxa"/>
            <w:tcBorders>
              <w:top w:val="single" w:sz="6" w:space="0" w:color="auto"/>
              <w:left w:val="single" w:sz="6" w:space="0" w:color="auto"/>
              <w:bottom w:val="single" w:sz="6" w:space="0" w:color="auto"/>
              <w:right w:val="single" w:sz="6" w:space="0" w:color="auto"/>
            </w:tcBorders>
            <w:vAlign w:val="center"/>
          </w:tcPr>
          <w:p w14:paraId="7BDF2FC7" w14:textId="77777777" w:rsidR="007E359E" w:rsidRPr="00A73A1E" w:rsidRDefault="007E359E" w:rsidP="00BA4B6C">
            <w:pPr>
              <w:pStyle w:val="Tabletext"/>
              <w:jc w:val="center"/>
              <w:rPr>
                <w:rFonts w:eastAsia="SimSun"/>
                <w:color w:val="000000"/>
              </w:rPr>
            </w:pPr>
            <w:r w:rsidRPr="00A73A1E">
              <w:rPr>
                <w:rFonts w:eastAsia="SimSun"/>
                <w:color w:val="000000"/>
              </w:rPr>
              <w:t>7.0</w:t>
            </w:r>
          </w:p>
        </w:tc>
        <w:tc>
          <w:tcPr>
            <w:tcW w:w="1073" w:type="dxa"/>
            <w:tcBorders>
              <w:top w:val="single" w:sz="6" w:space="0" w:color="auto"/>
              <w:left w:val="single" w:sz="6" w:space="0" w:color="auto"/>
              <w:bottom w:val="single" w:sz="6" w:space="0" w:color="auto"/>
              <w:right w:val="single" w:sz="6" w:space="0" w:color="auto"/>
            </w:tcBorders>
            <w:vAlign w:val="center"/>
          </w:tcPr>
          <w:p w14:paraId="3C38E2E0" w14:textId="77777777" w:rsidR="007E359E" w:rsidRPr="00A73A1E" w:rsidRDefault="007E359E" w:rsidP="00BA4B6C">
            <w:pPr>
              <w:pStyle w:val="Tabletext"/>
              <w:jc w:val="center"/>
              <w:rPr>
                <w:rFonts w:eastAsia="SimSun"/>
                <w:color w:val="000000"/>
              </w:rPr>
            </w:pPr>
            <w:r w:rsidRPr="00A73A1E">
              <w:rPr>
                <w:rFonts w:eastAsia="SimSun"/>
                <w:color w:val="000000"/>
              </w:rPr>
              <w:t>7.0</w:t>
            </w:r>
          </w:p>
        </w:tc>
        <w:tc>
          <w:tcPr>
            <w:tcW w:w="1074" w:type="dxa"/>
            <w:tcBorders>
              <w:top w:val="single" w:sz="6" w:space="0" w:color="auto"/>
              <w:left w:val="single" w:sz="6" w:space="0" w:color="auto"/>
              <w:bottom w:val="single" w:sz="6" w:space="0" w:color="auto"/>
              <w:right w:val="single" w:sz="6" w:space="0" w:color="auto"/>
            </w:tcBorders>
            <w:vAlign w:val="center"/>
          </w:tcPr>
          <w:p w14:paraId="6D646F55" w14:textId="77777777" w:rsidR="007E359E" w:rsidRPr="00A73A1E" w:rsidRDefault="007E359E" w:rsidP="00BA4B6C">
            <w:pPr>
              <w:pStyle w:val="Tabletext"/>
              <w:jc w:val="center"/>
              <w:rPr>
                <w:rFonts w:eastAsia="SimSun"/>
                <w:color w:val="000000"/>
              </w:rPr>
            </w:pPr>
            <w:r w:rsidRPr="00A73A1E">
              <w:rPr>
                <w:rFonts w:eastAsia="SimSun"/>
                <w:color w:val="000000"/>
              </w:rPr>
              <w:t>7.0</w:t>
            </w:r>
          </w:p>
        </w:tc>
        <w:tc>
          <w:tcPr>
            <w:tcW w:w="1074" w:type="dxa"/>
            <w:tcBorders>
              <w:top w:val="single" w:sz="6" w:space="0" w:color="auto"/>
              <w:left w:val="single" w:sz="6" w:space="0" w:color="auto"/>
              <w:bottom w:val="single" w:sz="6" w:space="0" w:color="auto"/>
              <w:right w:val="single" w:sz="6" w:space="0" w:color="auto"/>
            </w:tcBorders>
            <w:vAlign w:val="center"/>
          </w:tcPr>
          <w:p w14:paraId="4110066A" w14:textId="77777777" w:rsidR="007E359E" w:rsidRPr="00A73A1E" w:rsidRDefault="007E359E" w:rsidP="00BA4B6C">
            <w:pPr>
              <w:pStyle w:val="Tabletext"/>
              <w:jc w:val="center"/>
              <w:rPr>
                <w:rFonts w:eastAsia="SimSun"/>
                <w:color w:val="000000"/>
              </w:rPr>
            </w:pPr>
            <w:r w:rsidRPr="00A73A1E">
              <w:rPr>
                <w:rFonts w:eastAsia="SimSun"/>
                <w:color w:val="000000"/>
              </w:rPr>
              <w:t>7.0</w:t>
            </w:r>
          </w:p>
        </w:tc>
        <w:tc>
          <w:tcPr>
            <w:tcW w:w="1074" w:type="dxa"/>
            <w:tcBorders>
              <w:top w:val="single" w:sz="6" w:space="0" w:color="auto"/>
              <w:left w:val="single" w:sz="6" w:space="0" w:color="auto"/>
              <w:bottom w:val="single" w:sz="6" w:space="0" w:color="auto"/>
              <w:right w:val="single" w:sz="6" w:space="0" w:color="auto"/>
            </w:tcBorders>
            <w:vAlign w:val="center"/>
          </w:tcPr>
          <w:p w14:paraId="1ED2F823" w14:textId="77777777" w:rsidR="007E359E" w:rsidRPr="00A73A1E" w:rsidRDefault="007E359E" w:rsidP="00BA4B6C">
            <w:pPr>
              <w:pStyle w:val="Tabletext"/>
              <w:jc w:val="center"/>
              <w:rPr>
                <w:rFonts w:eastAsia="SimSun"/>
                <w:color w:val="000000"/>
              </w:rPr>
            </w:pPr>
            <w:r w:rsidRPr="00A73A1E">
              <w:rPr>
                <w:rFonts w:eastAsia="SimSun"/>
                <w:color w:val="000000"/>
              </w:rPr>
              <w:t>7.0</w:t>
            </w:r>
          </w:p>
        </w:tc>
        <w:tc>
          <w:tcPr>
            <w:tcW w:w="1074" w:type="dxa"/>
            <w:tcBorders>
              <w:top w:val="single" w:sz="6" w:space="0" w:color="auto"/>
              <w:left w:val="single" w:sz="6" w:space="0" w:color="auto"/>
              <w:bottom w:val="single" w:sz="6" w:space="0" w:color="auto"/>
              <w:right w:val="single" w:sz="6" w:space="0" w:color="auto"/>
            </w:tcBorders>
            <w:vAlign w:val="center"/>
          </w:tcPr>
          <w:p w14:paraId="1E861236" w14:textId="77777777" w:rsidR="007E359E" w:rsidRPr="00A73A1E" w:rsidRDefault="007E359E" w:rsidP="00BA4B6C">
            <w:pPr>
              <w:pStyle w:val="Tabletext"/>
              <w:jc w:val="center"/>
              <w:rPr>
                <w:rFonts w:eastAsia="SimSun"/>
                <w:color w:val="000000"/>
              </w:rPr>
            </w:pPr>
            <w:r w:rsidRPr="00A73A1E">
              <w:rPr>
                <w:rFonts w:eastAsia="SimSun"/>
                <w:color w:val="000000"/>
              </w:rPr>
              <w:t>7.0</w:t>
            </w:r>
          </w:p>
        </w:tc>
      </w:tr>
      <w:tr w:rsidR="007E359E" w:rsidRPr="00A73A1E" w14:paraId="2657DD79" w14:textId="77777777" w:rsidTr="007E359E">
        <w:trPr>
          <w:cantSplit/>
          <w:jc w:val="center"/>
        </w:trPr>
        <w:tc>
          <w:tcPr>
            <w:tcW w:w="3180" w:type="dxa"/>
            <w:tcBorders>
              <w:top w:val="single" w:sz="6" w:space="0" w:color="auto"/>
              <w:left w:val="single" w:sz="6" w:space="0" w:color="auto"/>
              <w:bottom w:val="single" w:sz="6" w:space="0" w:color="auto"/>
              <w:right w:val="single" w:sz="6" w:space="0" w:color="auto"/>
            </w:tcBorders>
            <w:shd w:val="clear" w:color="auto" w:fill="auto"/>
            <w:vAlign w:val="center"/>
          </w:tcPr>
          <w:p w14:paraId="6995FCA5" w14:textId="77777777" w:rsidR="007E359E" w:rsidRPr="00A73A1E" w:rsidRDefault="007E359E" w:rsidP="00BA4B6C">
            <w:pPr>
              <w:pStyle w:val="Tabletext"/>
              <w:jc w:val="left"/>
              <w:rPr>
                <w:rFonts w:eastAsia="SimSun"/>
                <w:lang w:eastAsia="ja-JP"/>
              </w:rPr>
            </w:pPr>
            <w:r w:rsidRPr="00A73A1E">
              <w:t>Polarization mismatch loss (dB)</w:t>
            </w:r>
            <w:r>
              <w:t xml:space="preserve"> </w:t>
            </w:r>
            <w:r w:rsidRPr="00CB446C">
              <w:rPr>
                <w:vertAlign w:val="superscript"/>
                <w:lang w:eastAsia="ja-JP"/>
              </w:rPr>
              <w:t>(</w:t>
            </w:r>
            <w:r>
              <w:rPr>
                <w:vertAlign w:val="superscript"/>
                <w:lang w:eastAsia="ja-JP"/>
              </w:rPr>
              <w:t>2</w:t>
            </w:r>
            <w:r w:rsidRPr="00CB446C">
              <w:rPr>
                <w:vertAlign w:val="superscript"/>
                <w:lang w:eastAsia="ja-JP"/>
              </w:rPr>
              <w:t>)</w:t>
            </w:r>
          </w:p>
        </w:tc>
        <w:tc>
          <w:tcPr>
            <w:tcW w:w="1073" w:type="dxa"/>
            <w:tcBorders>
              <w:top w:val="single" w:sz="6" w:space="0" w:color="auto"/>
              <w:left w:val="single" w:sz="6" w:space="0" w:color="auto"/>
              <w:bottom w:val="single" w:sz="6" w:space="0" w:color="auto"/>
              <w:right w:val="single" w:sz="6" w:space="0" w:color="auto"/>
            </w:tcBorders>
            <w:shd w:val="clear" w:color="auto" w:fill="auto"/>
            <w:vAlign w:val="center"/>
          </w:tcPr>
          <w:p w14:paraId="3A0A3C41" w14:textId="77777777" w:rsidR="007E359E" w:rsidRPr="00A73A1E" w:rsidRDefault="007E359E" w:rsidP="00BA4B6C">
            <w:pPr>
              <w:pStyle w:val="Tabletext"/>
              <w:jc w:val="center"/>
              <w:rPr>
                <w:rFonts w:eastAsia="SimSun"/>
                <w:color w:val="000000"/>
              </w:rPr>
            </w:pPr>
            <w:r w:rsidRPr="00A73A1E">
              <w:rPr>
                <w:rFonts w:eastAsia="SimSun"/>
                <w:color w:val="000000"/>
                <w:lang w:eastAsia="ja-JP"/>
              </w:rPr>
              <w:t>1.46</w:t>
            </w:r>
          </w:p>
        </w:tc>
        <w:tc>
          <w:tcPr>
            <w:tcW w:w="1073" w:type="dxa"/>
            <w:tcBorders>
              <w:top w:val="single" w:sz="6" w:space="0" w:color="auto"/>
              <w:left w:val="single" w:sz="6" w:space="0" w:color="auto"/>
              <w:bottom w:val="single" w:sz="6" w:space="0" w:color="auto"/>
              <w:right w:val="single" w:sz="6" w:space="0" w:color="auto"/>
            </w:tcBorders>
            <w:shd w:val="clear" w:color="auto" w:fill="auto"/>
            <w:vAlign w:val="center"/>
          </w:tcPr>
          <w:p w14:paraId="35B65C2F" w14:textId="77777777" w:rsidR="007E359E" w:rsidRPr="00A73A1E" w:rsidRDefault="007E359E" w:rsidP="00BA4B6C">
            <w:pPr>
              <w:pStyle w:val="Tabletext"/>
              <w:jc w:val="center"/>
              <w:rPr>
                <w:rFonts w:eastAsia="SimSun"/>
                <w:color w:val="000000"/>
              </w:rPr>
            </w:pPr>
            <w:r w:rsidRPr="00A73A1E">
              <w:rPr>
                <w:rFonts w:eastAsia="SimSun"/>
                <w:color w:val="000000"/>
                <w:lang w:eastAsia="ja-JP"/>
              </w:rPr>
              <w:t>1.46</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14:paraId="2FFB575C" w14:textId="77777777" w:rsidR="007E359E" w:rsidRPr="00A73A1E" w:rsidRDefault="007E359E" w:rsidP="00BA4B6C">
            <w:pPr>
              <w:pStyle w:val="Tabletext"/>
              <w:jc w:val="center"/>
              <w:rPr>
                <w:rFonts w:eastAsia="SimSun"/>
                <w:color w:val="000000"/>
              </w:rPr>
            </w:pPr>
            <w:r w:rsidRPr="00A73A1E">
              <w:rPr>
                <w:rFonts w:eastAsia="SimSun"/>
                <w:color w:val="000000"/>
                <w:lang w:eastAsia="ja-JP"/>
              </w:rPr>
              <w:t>1.46</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14:paraId="5853278E" w14:textId="77777777" w:rsidR="007E359E" w:rsidRPr="00A73A1E" w:rsidRDefault="007E359E" w:rsidP="00BA4B6C">
            <w:pPr>
              <w:pStyle w:val="Tabletext"/>
              <w:jc w:val="center"/>
              <w:rPr>
                <w:rFonts w:eastAsia="SimSun"/>
                <w:color w:val="000000"/>
              </w:rPr>
            </w:pPr>
            <w:r w:rsidRPr="00A73A1E">
              <w:rPr>
                <w:rFonts w:eastAsia="SimSun"/>
                <w:color w:val="000000"/>
                <w:lang w:eastAsia="ja-JP"/>
              </w:rPr>
              <w:t>1.46</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14:paraId="09216933" w14:textId="77777777" w:rsidR="007E359E" w:rsidRPr="00A73A1E" w:rsidRDefault="007E359E" w:rsidP="00BA4B6C">
            <w:pPr>
              <w:pStyle w:val="Tabletext"/>
              <w:jc w:val="center"/>
              <w:rPr>
                <w:rFonts w:eastAsia="SimSun"/>
                <w:color w:val="000000"/>
              </w:rPr>
            </w:pPr>
            <w:r w:rsidRPr="00A73A1E">
              <w:rPr>
                <w:rFonts w:eastAsia="SimSun"/>
                <w:color w:val="000000"/>
                <w:lang w:eastAsia="ja-JP"/>
              </w:rPr>
              <w:t>1.46</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14:paraId="61CD919B" w14:textId="77777777" w:rsidR="007E359E" w:rsidRPr="00A73A1E" w:rsidRDefault="007E359E" w:rsidP="00BA4B6C">
            <w:pPr>
              <w:pStyle w:val="Tabletext"/>
              <w:jc w:val="center"/>
              <w:rPr>
                <w:rFonts w:eastAsia="SimSun"/>
                <w:color w:val="000000"/>
              </w:rPr>
            </w:pPr>
            <w:r w:rsidRPr="00A73A1E">
              <w:rPr>
                <w:rFonts w:eastAsia="SimSun"/>
                <w:color w:val="000000"/>
              </w:rPr>
              <w:t>0.0</w:t>
            </w:r>
            <w:r>
              <w:rPr>
                <w:rFonts w:eastAsia="SimSun"/>
                <w:color w:val="000000"/>
              </w:rPr>
              <w:t xml:space="preserve"> </w:t>
            </w:r>
            <w:r w:rsidRPr="00CB446C">
              <w:rPr>
                <w:vertAlign w:val="superscript"/>
                <w:lang w:eastAsia="ja-JP"/>
              </w:rPr>
              <w:t>(1)</w:t>
            </w:r>
          </w:p>
        </w:tc>
      </w:tr>
      <w:tr w:rsidR="007E359E" w:rsidRPr="00A73A1E" w14:paraId="52E0ED1B" w14:textId="77777777" w:rsidTr="007E359E">
        <w:trPr>
          <w:cantSplit/>
          <w:jc w:val="center"/>
        </w:trPr>
        <w:tc>
          <w:tcPr>
            <w:tcW w:w="3180" w:type="dxa"/>
            <w:tcBorders>
              <w:top w:val="single" w:sz="6" w:space="0" w:color="auto"/>
              <w:left w:val="single" w:sz="6" w:space="0" w:color="auto"/>
              <w:bottom w:val="single" w:sz="6" w:space="0" w:color="auto"/>
              <w:right w:val="single" w:sz="6" w:space="0" w:color="auto"/>
            </w:tcBorders>
            <w:vAlign w:val="center"/>
          </w:tcPr>
          <w:p w14:paraId="13D82F98" w14:textId="77777777" w:rsidR="007E359E" w:rsidRPr="00A73A1E" w:rsidRDefault="007E359E" w:rsidP="00BA4B6C">
            <w:pPr>
              <w:pStyle w:val="Tabletext"/>
              <w:jc w:val="left"/>
              <w:rPr>
                <w:rFonts w:eastAsia="SimSun"/>
              </w:rPr>
            </w:pPr>
            <w:r w:rsidRPr="00A73A1E">
              <w:t>Maximum received interference</w:t>
            </w:r>
            <w:r>
              <w:t>/</w:t>
            </w:r>
            <w:r w:rsidRPr="00A73A1E">
              <w:t>power (peak) (</w:t>
            </w:r>
            <w:proofErr w:type="spellStart"/>
            <w:r w:rsidRPr="00A73A1E">
              <w:t>dBW</w:t>
            </w:r>
            <w:proofErr w:type="spellEnd"/>
            <w:r w:rsidRPr="00A73A1E">
              <w:t>)</w:t>
            </w:r>
          </w:p>
        </w:tc>
        <w:tc>
          <w:tcPr>
            <w:tcW w:w="1073" w:type="dxa"/>
            <w:tcBorders>
              <w:top w:val="single" w:sz="6" w:space="0" w:color="auto"/>
              <w:left w:val="single" w:sz="6" w:space="0" w:color="auto"/>
              <w:bottom w:val="single" w:sz="6" w:space="0" w:color="auto"/>
              <w:right w:val="single" w:sz="6" w:space="0" w:color="auto"/>
            </w:tcBorders>
            <w:vAlign w:val="center"/>
          </w:tcPr>
          <w:p w14:paraId="67A69C61" w14:textId="77777777" w:rsidR="007E359E" w:rsidRPr="00A73A1E" w:rsidRDefault="007E359E" w:rsidP="00BA4B6C">
            <w:pPr>
              <w:pStyle w:val="Tabletext"/>
              <w:jc w:val="center"/>
              <w:rPr>
                <w:rFonts w:eastAsia="SimSun"/>
                <w:color w:val="000000"/>
                <w:lang w:eastAsia="ja-JP"/>
              </w:rPr>
            </w:pPr>
            <w:r>
              <w:rPr>
                <w:rFonts w:eastAsia="SimSun"/>
                <w:color w:val="000000"/>
                <w:lang w:eastAsia="ja-JP"/>
              </w:rPr>
              <w:t>−</w:t>
            </w:r>
            <w:r w:rsidRPr="00A73A1E">
              <w:rPr>
                <w:rFonts w:eastAsia="SimSun"/>
                <w:color w:val="000000"/>
                <w:lang w:eastAsia="ja-JP"/>
              </w:rPr>
              <w:t>69.96</w:t>
            </w:r>
          </w:p>
        </w:tc>
        <w:tc>
          <w:tcPr>
            <w:tcW w:w="1073" w:type="dxa"/>
            <w:tcBorders>
              <w:top w:val="single" w:sz="6" w:space="0" w:color="auto"/>
              <w:left w:val="single" w:sz="6" w:space="0" w:color="auto"/>
              <w:bottom w:val="single" w:sz="6" w:space="0" w:color="auto"/>
              <w:right w:val="single" w:sz="6" w:space="0" w:color="auto"/>
            </w:tcBorders>
            <w:vAlign w:val="center"/>
          </w:tcPr>
          <w:p w14:paraId="7DCA1DFC" w14:textId="77777777" w:rsidR="007E359E" w:rsidRPr="00A73A1E" w:rsidRDefault="007E359E" w:rsidP="00BA4B6C">
            <w:pPr>
              <w:pStyle w:val="Tabletext"/>
              <w:jc w:val="center"/>
              <w:rPr>
                <w:rFonts w:eastAsia="SimSun"/>
                <w:color w:val="000000"/>
                <w:lang w:eastAsia="ja-JP"/>
              </w:rPr>
            </w:pPr>
            <w:r>
              <w:rPr>
                <w:rFonts w:eastAsia="SimSun"/>
                <w:color w:val="000000"/>
                <w:lang w:eastAsia="ja-JP"/>
              </w:rPr>
              <w:t>−</w:t>
            </w:r>
            <w:r w:rsidRPr="00A73A1E">
              <w:rPr>
                <w:rFonts w:eastAsia="SimSun"/>
                <w:color w:val="000000"/>
                <w:lang w:eastAsia="ja-JP"/>
              </w:rPr>
              <w:t>82.16</w:t>
            </w:r>
          </w:p>
        </w:tc>
        <w:tc>
          <w:tcPr>
            <w:tcW w:w="1074" w:type="dxa"/>
            <w:tcBorders>
              <w:top w:val="single" w:sz="6" w:space="0" w:color="auto"/>
              <w:left w:val="single" w:sz="6" w:space="0" w:color="auto"/>
              <w:bottom w:val="single" w:sz="6" w:space="0" w:color="auto"/>
              <w:right w:val="single" w:sz="6" w:space="0" w:color="auto"/>
            </w:tcBorders>
            <w:vAlign w:val="center"/>
          </w:tcPr>
          <w:p w14:paraId="4DED4A33" w14:textId="77777777" w:rsidR="007E359E" w:rsidRPr="00A73A1E" w:rsidRDefault="007E359E" w:rsidP="00BA4B6C">
            <w:pPr>
              <w:pStyle w:val="Tabletext"/>
              <w:jc w:val="center"/>
              <w:rPr>
                <w:rFonts w:eastAsia="SimSun"/>
                <w:color w:val="000000"/>
                <w:lang w:eastAsia="ja-JP"/>
              </w:rPr>
            </w:pPr>
            <w:r>
              <w:rPr>
                <w:rFonts w:eastAsia="SimSun"/>
                <w:color w:val="000000"/>
                <w:lang w:eastAsia="ja-JP"/>
              </w:rPr>
              <w:t>−</w:t>
            </w:r>
            <w:r w:rsidRPr="00A73A1E">
              <w:rPr>
                <w:rFonts w:eastAsia="SimSun"/>
                <w:color w:val="000000"/>
                <w:lang w:eastAsia="ja-JP"/>
              </w:rPr>
              <w:t>79.36</w:t>
            </w:r>
          </w:p>
        </w:tc>
        <w:tc>
          <w:tcPr>
            <w:tcW w:w="1074" w:type="dxa"/>
            <w:tcBorders>
              <w:top w:val="single" w:sz="6" w:space="0" w:color="auto"/>
              <w:left w:val="single" w:sz="6" w:space="0" w:color="auto"/>
              <w:bottom w:val="single" w:sz="6" w:space="0" w:color="auto"/>
              <w:right w:val="single" w:sz="6" w:space="0" w:color="auto"/>
            </w:tcBorders>
            <w:vAlign w:val="center"/>
          </w:tcPr>
          <w:p w14:paraId="234477E5" w14:textId="77777777" w:rsidR="007E359E" w:rsidRPr="00A73A1E" w:rsidRDefault="007E359E" w:rsidP="00BA4B6C">
            <w:pPr>
              <w:pStyle w:val="Tabletext"/>
              <w:jc w:val="center"/>
              <w:rPr>
                <w:rFonts w:eastAsia="SimSun"/>
                <w:color w:val="000000"/>
                <w:lang w:eastAsia="ja-JP"/>
              </w:rPr>
            </w:pPr>
            <w:r>
              <w:rPr>
                <w:rFonts w:eastAsia="SimSun"/>
                <w:color w:val="000000"/>
                <w:lang w:eastAsia="ja-JP"/>
              </w:rPr>
              <w:t>−</w:t>
            </w:r>
            <w:r w:rsidRPr="00A73A1E">
              <w:rPr>
                <w:rFonts w:eastAsia="SimSun"/>
                <w:color w:val="000000"/>
                <w:lang w:eastAsia="ja-JP"/>
              </w:rPr>
              <w:t>74.29</w:t>
            </w:r>
          </w:p>
        </w:tc>
        <w:tc>
          <w:tcPr>
            <w:tcW w:w="1074" w:type="dxa"/>
            <w:tcBorders>
              <w:top w:val="single" w:sz="6" w:space="0" w:color="auto"/>
              <w:left w:val="single" w:sz="6" w:space="0" w:color="auto"/>
              <w:bottom w:val="single" w:sz="6" w:space="0" w:color="auto"/>
              <w:right w:val="single" w:sz="6" w:space="0" w:color="auto"/>
            </w:tcBorders>
            <w:vAlign w:val="center"/>
          </w:tcPr>
          <w:p w14:paraId="14B85F37" w14:textId="77777777" w:rsidR="007E359E" w:rsidRPr="00A73A1E" w:rsidRDefault="007E359E" w:rsidP="00BA4B6C">
            <w:pPr>
              <w:pStyle w:val="Tabletext"/>
              <w:jc w:val="center"/>
              <w:rPr>
                <w:rFonts w:eastAsia="SimSun"/>
                <w:color w:val="000000"/>
                <w:lang w:eastAsia="ja-JP"/>
              </w:rPr>
            </w:pPr>
            <w:r>
              <w:rPr>
                <w:rFonts w:eastAsia="SimSun"/>
                <w:color w:val="000000"/>
                <w:lang w:eastAsia="ja-JP"/>
              </w:rPr>
              <w:t>−</w:t>
            </w:r>
            <w:r w:rsidRPr="00A73A1E">
              <w:rPr>
                <w:rFonts w:eastAsia="SimSun"/>
                <w:color w:val="000000"/>
              </w:rPr>
              <w:t>7</w:t>
            </w:r>
            <w:r w:rsidRPr="00A73A1E">
              <w:rPr>
                <w:rFonts w:eastAsia="SimSun"/>
                <w:color w:val="000000"/>
                <w:lang w:eastAsia="ja-JP"/>
              </w:rPr>
              <w:t>0.48</w:t>
            </w:r>
          </w:p>
        </w:tc>
        <w:tc>
          <w:tcPr>
            <w:tcW w:w="1074" w:type="dxa"/>
            <w:tcBorders>
              <w:top w:val="single" w:sz="6" w:space="0" w:color="auto"/>
              <w:left w:val="single" w:sz="6" w:space="0" w:color="auto"/>
              <w:bottom w:val="single" w:sz="6" w:space="0" w:color="auto"/>
              <w:right w:val="single" w:sz="6" w:space="0" w:color="auto"/>
            </w:tcBorders>
            <w:vAlign w:val="center"/>
          </w:tcPr>
          <w:p w14:paraId="00297E5A" w14:textId="77777777" w:rsidR="007E359E" w:rsidRPr="00A73A1E" w:rsidRDefault="007E359E" w:rsidP="00BA4B6C">
            <w:pPr>
              <w:pStyle w:val="Tabletext"/>
              <w:jc w:val="center"/>
              <w:rPr>
                <w:rFonts w:eastAsia="SimSun"/>
                <w:color w:val="000000"/>
              </w:rPr>
            </w:pPr>
            <w:r>
              <w:rPr>
                <w:rFonts w:eastAsia="SimSun"/>
                <w:color w:val="000000"/>
                <w:lang w:eastAsia="ja-JP"/>
              </w:rPr>
              <w:t>−</w:t>
            </w:r>
            <w:r w:rsidRPr="00A73A1E">
              <w:rPr>
                <w:rFonts w:eastAsia="SimSun"/>
                <w:color w:val="000000"/>
                <w:lang w:eastAsia="ja-JP"/>
              </w:rPr>
              <w:t>69</w:t>
            </w:r>
            <w:r w:rsidRPr="00A73A1E">
              <w:rPr>
                <w:rFonts w:eastAsia="SimSun"/>
                <w:color w:val="000000"/>
              </w:rPr>
              <w:t>.</w:t>
            </w:r>
            <w:r w:rsidRPr="00A73A1E">
              <w:rPr>
                <w:rFonts w:eastAsia="SimSun"/>
                <w:color w:val="000000"/>
                <w:lang w:eastAsia="ja-JP"/>
              </w:rPr>
              <w:t>05</w:t>
            </w:r>
          </w:p>
        </w:tc>
      </w:tr>
      <w:tr w:rsidR="007E359E" w:rsidRPr="00A73A1E" w14:paraId="122E3638" w14:textId="77777777" w:rsidTr="007E359E">
        <w:trPr>
          <w:cantSplit/>
          <w:jc w:val="center"/>
        </w:trPr>
        <w:tc>
          <w:tcPr>
            <w:tcW w:w="3180" w:type="dxa"/>
            <w:tcBorders>
              <w:top w:val="single" w:sz="6" w:space="0" w:color="auto"/>
              <w:left w:val="single" w:sz="6" w:space="0" w:color="auto"/>
              <w:bottom w:val="single" w:sz="6" w:space="0" w:color="auto"/>
              <w:right w:val="single" w:sz="6" w:space="0" w:color="auto"/>
            </w:tcBorders>
            <w:vAlign w:val="center"/>
          </w:tcPr>
          <w:p w14:paraId="19F4F74F" w14:textId="77777777" w:rsidR="007E359E" w:rsidRPr="00A73A1E" w:rsidRDefault="007E359E" w:rsidP="00BA4B6C">
            <w:pPr>
              <w:pStyle w:val="Tabletext"/>
              <w:jc w:val="left"/>
              <w:rPr>
                <w:rFonts w:eastAsia="SimSun"/>
              </w:rPr>
            </w:pPr>
            <w:r w:rsidRPr="00A73A1E">
              <w:t>Receiver input saturation level (</w:t>
            </w:r>
            <w:proofErr w:type="spellStart"/>
            <w:r w:rsidRPr="00A73A1E">
              <w:t>dBW</w:t>
            </w:r>
            <w:proofErr w:type="spellEnd"/>
            <w:r w:rsidRPr="00A73A1E">
              <w:t>)</w:t>
            </w:r>
          </w:p>
        </w:tc>
        <w:tc>
          <w:tcPr>
            <w:tcW w:w="1073" w:type="dxa"/>
            <w:tcBorders>
              <w:top w:val="single" w:sz="6" w:space="0" w:color="auto"/>
              <w:left w:val="single" w:sz="6" w:space="0" w:color="auto"/>
              <w:bottom w:val="single" w:sz="6" w:space="0" w:color="auto"/>
              <w:right w:val="single" w:sz="6" w:space="0" w:color="auto"/>
            </w:tcBorders>
            <w:vAlign w:val="center"/>
          </w:tcPr>
          <w:p w14:paraId="65C05309" w14:textId="77777777" w:rsidR="007E359E" w:rsidRPr="00A73A1E" w:rsidRDefault="007E359E" w:rsidP="00BA4B6C">
            <w:pPr>
              <w:pStyle w:val="Tabletext"/>
              <w:jc w:val="center"/>
              <w:rPr>
                <w:rFonts w:eastAsia="SimSun"/>
                <w:color w:val="000000"/>
              </w:rPr>
            </w:pPr>
            <w:r>
              <w:rPr>
                <w:rFonts w:eastAsia="SimSun"/>
                <w:color w:val="000000"/>
                <w:lang w:eastAsia="ja-JP"/>
              </w:rPr>
              <w:t>−</w:t>
            </w:r>
            <w:r w:rsidRPr="00A73A1E">
              <w:rPr>
                <w:rFonts w:eastAsia="SimSun"/>
                <w:color w:val="000000"/>
                <w:lang w:eastAsia="ja-JP"/>
              </w:rPr>
              <w:t>8</w:t>
            </w:r>
            <w:r w:rsidRPr="00A73A1E">
              <w:rPr>
                <w:rFonts w:eastAsia="SimSun"/>
                <w:color w:val="000000"/>
              </w:rPr>
              <w:t>0</w:t>
            </w:r>
          </w:p>
        </w:tc>
        <w:tc>
          <w:tcPr>
            <w:tcW w:w="1073" w:type="dxa"/>
            <w:tcBorders>
              <w:top w:val="single" w:sz="6" w:space="0" w:color="auto"/>
              <w:left w:val="single" w:sz="6" w:space="0" w:color="auto"/>
              <w:bottom w:val="single" w:sz="6" w:space="0" w:color="auto"/>
              <w:right w:val="single" w:sz="6" w:space="0" w:color="auto"/>
            </w:tcBorders>
            <w:vAlign w:val="center"/>
          </w:tcPr>
          <w:p w14:paraId="1E3E6919" w14:textId="77777777" w:rsidR="007E359E" w:rsidRPr="00A73A1E" w:rsidRDefault="007E359E" w:rsidP="00BA4B6C">
            <w:pPr>
              <w:pStyle w:val="Tabletext"/>
              <w:jc w:val="center"/>
              <w:rPr>
                <w:rFonts w:eastAsia="SimSun"/>
                <w:b/>
                <w:color w:val="000000"/>
              </w:rPr>
            </w:pPr>
            <w:r>
              <w:rPr>
                <w:rFonts w:eastAsia="SimSun"/>
                <w:color w:val="000000"/>
                <w:lang w:eastAsia="ja-JP"/>
              </w:rPr>
              <w:t>−</w:t>
            </w:r>
            <w:r w:rsidRPr="00A73A1E">
              <w:rPr>
                <w:rFonts w:eastAsia="SimSun"/>
                <w:color w:val="000000"/>
                <w:lang w:eastAsia="ja-JP"/>
              </w:rPr>
              <w:t>8</w:t>
            </w:r>
            <w:r w:rsidRPr="00A73A1E">
              <w:rPr>
                <w:rFonts w:eastAsia="SimSun"/>
                <w:color w:val="000000"/>
              </w:rPr>
              <w:t>0</w:t>
            </w:r>
          </w:p>
        </w:tc>
        <w:tc>
          <w:tcPr>
            <w:tcW w:w="1074" w:type="dxa"/>
            <w:tcBorders>
              <w:top w:val="single" w:sz="6" w:space="0" w:color="auto"/>
              <w:left w:val="single" w:sz="6" w:space="0" w:color="auto"/>
              <w:bottom w:val="single" w:sz="6" w:space="0" w:color="auto"/>
              <w:right w:val="single" w:sz="6" w:space="0" w:color="auto"/>
            </w:tcBorders>
            <w:vAlign w:val="center"/>
          </w:tcPr>
          <w:p w14:paraId="5B529BFA" w14:textId="77777777" w:rsidR="007E359E" w:rsidRPr="00A73A1E" w:rsidRDefault="007E359E" w:rsidP="00BA4B6C">
            <w:pPr>
              <w:pStyle w:val="Tabletext"/>
              <w:jc w:val="center"/>
              <w:rPr>
                <w:rFonts w:eastAsia="SimSun"/>
                <w:b/>
                <w:color w:val="000000"/>
              </w:rPr>
            </w:pPr>
            <w:r>
              <w:rPr>
                <w:rFonts w:eastAsia="SimSun"/>
                <w:color w:val="000000"/>
                <w:lang w:eastAsia="ja-JP"/>
              </w:rPr>
              <w:t>−</w:t>
            </w:r>
            <w:r w:rsidRPr="00A73A1E">
              <w:rPr>
                <w:rFonts w:eastAsia="SimSun"/>
                <w:color w:val="000000"/>
                <w:lang w:eastAsia="ja-JP"/>
              </w:rPr>
              <w:t>8</w:t>
            </w:r>
            <w:r w:rsidRPr="00A73A1E">
              <w:rPr>
                <w:rFonts w:eastAsia="SimSun"/>
                <w:color w:val="000000"/>
              </w:rPr>
              <w:t>0</w:t>
            </w:r>
          </w:p>
        </w:tc>
        <w:tc>
          <w:tcPr>
            <w:tcW w:w="1074" w:type="dxa"/>
            <w:tcBorders>
              <w:top w:val="single" w:sz="6" w:space="0" w:color="auto"/>
              <w:left w:val="single" w:sz="6" w:space="0" w:color="auto"/>
              <w:bottom w:val="single" w:sz="6" w:space="0" w:color="auto"/>
              <w:right w:val="single" w:sz="6" w:space="0" w:color="auto"/>
            </w:tcBorders>
            <w:vAlign w:val="center"/>
          </w:tcPr>
          <w:p w14:paraId="0B36B2FF" w14:textId="77777777" w:rsidR="007E359E" w:rsidRPr="00A73A1E" w:rsidRDefault="007E359E" w:rsidP="00BA4B6C">
            <w:pPr>
              <w:pStyle w:val="Tabletext"/>
              <w:jc w:val="center"/>
              <w:rPr>
                <w:rFonts w:eastAsia="SimSun"/>
                <w:b/>
                <w:color w:val="000000"/>
              </w:rPr>
            </w:pPr>
            <w:r>
              <w:rPr>
                <w:rFonts w:eastAsia="SimSun"/>
                <w:color w:val="000000"/>
                <w:lang w:eastAsia="ja-JP"/>
              </w:rPr>
              <w:t>−</w:t>
            </w:r>
            <w:r w:rsidRPr="00A73A1E">
              <w:rPr>
                <w:rFonts w:eastAsia="SimSun"/>
                <w:color w:val="000000"/>
                <w:lang w:eastAsia="ja-JP"/>
              </w:rPr>
              <w:t>8</w:t>
            </w:r>
            <w:r w:rsidRPr="00A73A1E">
              <w:rPr>
                <w:rFonts w:eastAsia="SimSun"/>
                <w:color w:val="000000"/>
              </w:rPr>
              <w:t>0</w:t>
            </w:r>
          </w:p>
        </w:tc>
        <w:tc>
          <w:tcPr>
            <w:tcW w:w="1074" w:type="dxa"/>
            <w:tcBorders>
              <w:top w:val="single" w:sz="6" w:space="0" w:color="auto"/>
              <w:left w:val="single" w:sz="6" w:space="0" w:color="auto"/>
              <w:bottom w:val="single" w:sz="6" w:space="0" w:color="auto"/>
              <w:right w:val="single" w:sz="6" w:space="0" w:color="auto"/>
            </w:tcBorders>
            <w:vAlign w:val="center"/>
          </w:tcPr>
          <w:p w14:paraId="4C7D86B3" w14:textId="77777777" w:rsidR="007E359E" w:rsidRPr="00A73A1E" w:rsidRDefault="007E359E" w:rsidP="00BA4B6C">
            <w:pPr>
              <w:pStyle w:val="Tabletext"/>
              <w:jc w:val="center"/>
              <w:rPr>
                <w:rFonts w:eastAsia="SimSun"/>
                <w:b/>
                <w:color w:val="000000"/>
              </w:rPr>
            </w:pPr>
            <w:r>
              <w:rPr>
                <w:rFonts w:eastAsia="SimSun"/>
                <w:color w:val="000000"/>
                <w:lang w:eastAsia="ja-JP"/>
              </w:rPr>
              <w:t>−</w:t>
            </w:r>
            <w:r w:rsidRPr="00A73A1E">
              <w:rPr>
                <w:rFonts w:eastAsia="SimSun"/>
                <w:color w:val="000000"/>
                <w:lang w:eastAsia="ja-JP"/>
              </w:rPr>
              <w:t>8</w:t>
            </w:r>
            <w:r w:rsidRPr="00A73A1E">
              <w:rPr>
                <w:rFonts w:eastAsia="SimSun"/>
                <w:color w:val="000000"/>
              </w:rPr>
              <w:t>0</w:t>
            </w:r>
          </w:p>
        </w:tc>
        <w:tc>
          <w:tcPr>
            <w:tcW w:w="1074" w:type="dxa"/>
            <w:tcBorders>
              <w:top w:val="single" w:sz="6" w:space="0" w:color="auto"/>
              <w:left w:val="single" w:sz="6" w:space="0" w:color="auto"/>
              <w:bottom w:val="single" w:sz="6" w:space="0" w:color="auto"/>
              <w:right w:val="single" w:sz="6" w:space="0" w:color="auto"/>
            </w:tcBorders>
            <w:vAlign w:val="center"/>
          </w:tcPr>
          <w:p w14:paraId="06A5655C" w14:textId="77777777" w:rsidR="007E359E" w:rsidRPr="00A73A1E" w:rsidRDefault="007E359E" w:rsidP="00BA4B6C">
            <w:pPr>
              <w:pStyle w:val="Tabletext"/>
              <w:jc w:val="center"/>
              <w:rPr>
                <w:rFonts w:eastAsia="SimSun"/>
                <w:b/>
                <w:color w:val="000000"/>
              </w:rPr>
            </w:pPr>
            <w:r>
              <w:rPr>
                <w:rFonts w:eastAsia="SimSun"/>
                <w:color w:val="000000"/>
                <w:lang w:eastAsia="ja-JP"/>
              </w:rPr>
              <w:t>−</w:t>
            </w:r>
            <w:r w:rsidRPr="00A73A1E">
              <w:rPr>
                <w:rFonts w:eastAsia="SimSun"/>
                <w:color w:val="000000"/>
                <w:lang w:eastAsia="ja-JP"/>
              </w:rPr>
              <w:t>8</w:t>
            </w:r>
            <w:r w:rsidRPr="00A73A1E">
              <w:rPr>
                <w:rFonts w:eastAsia="SimSun"/>
                <w:color w:val="000000"/>
              </w:rPr>
              <w:t>0</w:t>
            </w:r>
          </w:p>
        </w:tc>
      </w:tr>
      <w:tr w:rsidR="007E359E" w:rsidRPr="00A73A1E" w14:paraId="330D55B5" w14:textId="77777777" w:rsidTr="007E359E">
        <w:trPr>
          <w:cantSplit/>
          <w:jc w:val="center"/>
        </w:trPr>
        <w:tc>
          <w:tcPr>
            <w:tcW w:w="3180" w:type="dxa"/>
            <w:tcBorders>
              <w:top w:val="single" w:sz="6" w:space="0" w:color="auto"/>
              <w:left w:val="single" w:sz="6" w:space="0" w:color="auto"/>
              <w:bottom w:val="single" w:sz="4" w:space="0" w:color="auto"/>
              <w:right w:val="single" w:sz="6" w:space="0" w:color="auto"/>
            </w:tcBorders>
            <w:vAlign w:val="center"/>
          </w:tcPr>
          <w:p w14:paraId="11E2B3E0" w14:textId="77777777" w:rsidR="007E359E" w:rsidRPr="00A73A1E" w:rsidRDefault="007E359E" w:rsidP="00BA4B6C">
            <w:pPr>
              <w:pStyle w:val="Tabletext"/>
              <w:jc w:val="left"/>
            </w:pPr>
            <w:r w:rsidRPr="00A73A1E">
              <w:t>Receiver input survival level (</w:t>
            </w:r>
            <w:proofErr w:type="spellStart"/>
            <w:r w:rsidRPr="00A73A1E">
              <w:t>dBW</w:t>
            </w:r>
            <w:proofErr w:type="spellEnd"/>
            <w:r w:rsidRPr="00A73A1E">
              <w:t>)</w:t>
            </w:r>
          </w:p>
        </w:tc>
        <w:tc>
          <w:tcPr>
            <w:tcW w:w="1073" w:type="dxa"/>
            <w:tcBorders>
              <w:top w:val="single" w:sz="6" w:space="0" w:color="auto"/>
              <w:left w:val="single" w:sz="6" w:space="0" w:color="auto"/>
              <w:bottom w:val="single" w:sz="4" w:space="0" w:color="auto"/>
              <w:right w:val="single" w:sz="6" w:space="0" w:color="auto"/>
            </w:tcBorders>
            <w:vAlign w:val="center"/>
          </w:tcPr>
          <w:p w14:paraId="411B4E53" w14:textId="77777777" w:rsidR="007E359E" w:rsidRPr="00A73A1E" w:rsidRDefault="007E359E" w:rsidP="00BA4B6C">
            <w:pPr>
              <w:pStyle w:val="Tabletext"/>
              <w:jc w:val="center"/>
              <w:rPr>
                <w:rFonts w:eastAsia="SimSun"/>
                <w:color w:val="000000"/>
              </w:rPr>
            </w:pPr>
            <w:r>
              <w:rPr>
                <w:rFonts w:eastAsia="SimSun"/>
                <w:color w:val="000000"/>
                <w:lang w:eastAsia="ja-JP"/>
              </w:rPr>
              <w:t>−</w:t>
            </w:r>
            <w:r w:rsidRPr="00A73A1E">
              <w:rPr>
                <w:rFonts w:eastAsia="SimSun"/>
                <w:color w:val="000000"/>
              </w:rPr>
              <w:t>1</w:t>
            </w:r>
          </w:p>
        </w:tc>
        <w:tc>
          <w:tcPr>
            <w:tcW w:w="1073" w:type="dxa"/>
            <w:tcBorders>
              <w:top w:val="single" w:sz="6" w:space="0" w:color="auto"/>
              <w:left w:val="single" w:sz="6" w:space="0" w:color="auto"/>
              <w:bottom w:val="single" w:sz="4" w:space="0" w:color="auto"/>
              <w:right w:val="single" w:sz="6" w:space="0" w:color="auto"/>
            </w:tcBorders>
            <w:vAlign w:val="center"/>
          </w:tcPr>
          <w:p w14:paraId="4F989799" w14:textId="77777777" w:rsidR="007E359E" w:rsidRPr="00A73A1E" w:rsidRDefault="007E359E" w:rsidP="00BA4B6C">
            <w:pPr>
              <w:pStyle w:val="Tabletext"/>
              <w:jc w:val="center"/>
              <w:rPr>
                <w:rFonts w:eastAsia="SimSun"/>
                <w:color w:val="000000"/>
              </w:rPr>
            </w:pPr>
            <w:r>
              <w:rPr>
                <w:rFonts w:eastAsia="SimSun"/>
                <w:color w:val="000000"/>
                <w:lang w:eastAsia="ja-JP"/>
              </w:rPr>
              <w:t>−</w:t>
            </w:r>
            <w:r w:rsidRPr="00A73A1E">
              <w:rPr>
                <w:rFonts w:eastAsia="SimSun"/>
                <w:color w:val="000000"/>
              </w:rPr>
              <w:t>1</w:t>
            </w:r>
          </w:p>
        </w:tc>
        <w:tc>
          <w:tcPr>
            <w:tcW w:w="1074" w:type="dxa"/>
            <w:tcBorders>
              <w:top w:val="single" w:sz="6" w:space="0" w:color="auto"/>
              <w:left w:val="single" w:sz="6" w:space="0" w:color="auto"/>
              <w:bottom w:val="single" w:sz="4" w:space="0" w:color="auto"/>
              <w:right w:val="single" w:sz="6" w:space="0" w:color="auto"/>
            </w:tcBorders>
            <w:vAlign w:val="center"/>
          </w:tcPr>
          <w:p w14:paraId="2BFCB36E" w14:textId="77777777" w:rsidR="007E359E" w:rsidRPr="00A73A1E" w:rsidRDefault="007E359E" w:rsidP="00BA4B6C">
            <w:pPr>
              <w:pStyle w:val="Tabletext"/>
              <w:jc w:val="center"/>
              <w:rPr>
                <w:rFonts w:eastAsia="SimSun"/>
                <w:color w:val="000000"/>
              </w:rPr>
            </w:pPr>
            <w:r>
              <w:rPr>
                <w:rFonts w:eastAsia="SimSun"/>
                <w:color w:val="000000"/>
                <w:lang w:eastAsia="ja-JP"/>
              </w:rPr>
              <w:t>−</w:t>
            </w:r>
            <w:r w:rsidRPr="00A73A1E">
              <w:rPr>
                <w:rFonts w:eastAsia="SimSun"/>
                <w:color w:val="000000"/>
              </w:rPr>
              <w:t>1</w:t>
            </w:r>
          </w:p>
        </w:tc>
        <w:tc>
          <w:tcPr>
            <w:tcW w:w="1074" w:type="dxa"/>
            <w:tcBorders>
              <w:top w:val="single" w:sz="6" w:space="0" w:color="auto"/>
              <w:left w:val="single" w:sz="6" w:space="0" w:color="auto"/>
              <w:bottom w:val="single" w:sz="4" w:space="0" w:color="auto"/>
              <w:right w:val="single" w:sz="6" w:space="0" w:color="auto"/>
            </w:tcBorders>
            <w:vAlign w:val="center"/>
          </w:tcPr>
          <w:p w14:paraId="187C5D8D" w14:textId="77777777" w:rsidR="007E359E" w:rsidRPr="00A73A1E" w:rsidRDefault="007E359E" w:rsidP="00BA4B6C">
            <w:pPr>
              <w:pStyle w:val="Tabletext"/>
              <w:jc w:val="center"/>
              <w:rPr>
                <w:rFonts w:eastAsia="SimSun"/>
                <w:color w:val="000000"/>
              </w:rPr>
            </w:pPr>
            <w:r>
              <w:rPr>
                <w:rFonts w:eastAsia="SimSun"/>
                <w:color w:val="000000"/>
                <w:lang w:eastAsia="ja-JP"/>
              </w:rPr>
              <w:t>−</w:t>
            </w:r>
            <w:r w:rsidRPr="00A73A1E">
              <w:rPr>
                <w:rFonts w:eastAsia="SimSun"/>
                <w:color w:val="000000"/>
              </w:rPr>
              <w:t>1</w:t>
            </w:r>
          </w:p>
        </w:tc>
        <w:tc>
          <w:tcPr>
            <w:tcW w:w="1074" w:type="dxa"/>
            <w:tcBorders>
              <w:top w:val="single" w:sz="6" w:space="0" w:color="auto"/>
              <w:left w:val="single" w:sz="6" w:space="0" w:color="auto"/>
              <w:bottom w:val="single" w:sz="4" w:space="0" w:color="auto"/>
              <w:right w:val="single" w:sz="6" w:space="0" w:color="auto"/>
            </w:tcBorders>
            <w:vAlign w:val="center"/>
          </w:tcPr>
          <w:p w14:paraId="761DB4D9" w14:textId="77777777" w:rsidR="007E359E" w:rsidRPr="00A73A1E" w:rsidRDefault="007E359E" w:rsidP="00BA4B6C">
            <w:pPr>
              <w:pStyle w:val="Tabletext"/>
              <w:jc w:val="center"/>
              <w:rPr>
                <w:rFonts w:eastAsia="SimSun"/>
                <w:color w:val="000000"/>
              </w:rPr>
            </w:pPr>
            <w:r>
              <w:rPr>
                <w:rFonts w:eastAsia="SimSun"/>
                <w:color w:val="000000"/>
                <w:lang w:eastAsia="ja-JP"/>
              </w:rPr>
              <w:t>−</w:t>
            </w:r>
            <w:r w:rsidRPr="00A73A1E">
              <w:rPr>
                <w:rFonts w:eastAsia="SimSun"/>
                <w:color w:val="000000"/>
              </w:rPr>
              <w:t>1</w:t>
            </w:r>
          </w:p>
        </w:tc>
        <w:tc>
          <w:tcPr>
            <w:tcW w:w="1074" w:type="dxa"/>
            <w:tcBorders>
              <w:top w:val="single" w:sz="6" w:space="0" w:color="auto"/>
              <w:left w:val="single" w:sz="6" w:space="0" w:color="auto"/>
              <w:bottom w:val="single" w:sz="4" w:space="0" w:color="auto"/>
              <w:right w:val="single" w:sz="6" w:space="0" w:color="auto"/>
            </w:tcBorders>
            <w:vAlign w:val="center"/>
          </w:tcPr>
          <w:p w14:paraId="6CAFE5BC" w14:textId="77777777" w:rsidR="007E359E" w:rsidRPr="00A73A1E" w:rsidRDefault="007E359E" w:rsidP="00BA4B6C">
            <w:pPr>
              <w:pStyle w:val="Tabletext"/>
              <w:jc w:val="center"/>
              <w:rPr>
                <w:rFonts w:eastAsia="SimSun"/>
                <w:color w:val="000000"/>
              </w:rPr>
            </w:pPr>
            <w:r>
              <w:rPr>
                <w:rFonts w:eastAsia="SimSun"/>
                <w:color w:val="000000"/>
                <w:lang w:eastAsia="ja-JP"/>
              </w:rPr>
              <w:t>−</w:t>
            </w:r>
            <w:r w:rsidRPr="00A73A1E">
              <w:rPr>
                <w:rFonts w:eastAsia="SimSun"/>
                <w:color w:val="000000"/>
              </w:rPr>
              <w:t>1</w:t>
            </w:r>
          </w:p>
        </w:tc>
      </w:tr>
      <w:tr w:rsidR="007E359E" w:rsidRPr="00A73A1E" w14:paraId="70D0F606" w14:textId="77777777" w:rsidTr="007E359E">
        <w:trPr>
          <w:cantSplit/>
          <w:jc w:val="center"/>
        </w:trPr>
        <w:tc>
          <w:tcPr>
            <w:tcW w:w="9622" w:type="dxa"/>
            <w:gridSpan w:val="7"/>
            <w:tcBorders>
              <w:top w:val="single" w:sz="4" w:space="0" w:color="auto"/>
            </w:tcBorders>
            <w:vAlign w:val="center"/>
          </w:tcPr>
          <w:p w14:paraId="219DD6B3" w14:textId="77777777" w:rsidR="007E359E" w:rsidRPr="00A73A1E" w:rsidRDefault="007E359E" w:rsidP="00BA4B6C">
            <w:pPr>
              <w:pStyle w:val="Tablelegend"/>
              <w:ind w:hanging="284"/>
              <w:rPr>
                <w:lang w:eastAsia="ja-JP"/>
              </w:rPr>
            </w:pPr>
            <w:r w:rsidRPr="00CB446C">
              <w:rPr>
                <w:vertAlign w:val="superscript"/>
                <w:lang w:eastAsia="ja-JP"/>
              </w:rPr>
              <w:t>(1)</w:t>
            </w:r>
            <w:r w:rsidRPr="00A73A1E">
              <w:rPr>
                <w:lang w:eastAsia="ja-JP"/>
              </w:rPr>
              <w:tab/>
              <w:t xml:space="preserve">SAR6 capable of transmitting the circular polarization (RHCP or LHCP is selectable by command), so the worst-case polarization loss for the RHCP receive antenna is assumed to be 0.0 </w:t>
            </w:r>
            <w:proofErr w:type="spellStart"/>
            <w:r w:rsidRPr="00A73A1E">
              <w:rPr>
                <w:lang w:eastAsia="ja-JP"/>
              </w:rPr>
              <w:t>dB.</w:t>
            </w:r>
            <w:proofErr w:type="spellEnd"/>
          </w:p>
          <w:p w14:paraId="3F42519E" w14:textId="2C3D42BD" w:rsidR="007E359E" w:rsidRPr="00A73A1E" w:rsidRDefault="007E359E" w:rsidP="00BA4B6C">
            <w:pPr>
              <w:pStyle w:val="Tablelegend"/>
              <w:ind w:hanging="284"/>
              <w:rPr>
                <w:lang w:eastAsia="ja-JP"/>
              </w:rPr>
            </w:pPr>
            <w:r w:rsidRPr="00CB446C">
              <w:rPr>
                <w:vertAlign w:val="superscript"/>
                <w:lang w:eastAsia="ja-JP"/>
              </w:rPr>
              <w:t>(</w:t>
            </w:r>
            <w:r>
              <w:rPr>
                <w:vertAlign w:val="superscript"/>
                <w:lang w:eastAsia="ja-JP"/>
              </w:rPr>
              <w:t>2</w:t>
            </w:r>
            <w:r w:rsidRPr="00CB446C">
              <w:rPr>
                <w:vertAlign w:val="superscript"/>
                <w:lang w:eastAsia="ja-JP"/>
              </w:rPr>
              <w:t>)</w:t>
            </w:r>
            <w:r w:rsidRPr="00A73A1E">
              <w:rPr>
                <w:lang w:eastAsia="ja-JP"/>
              </w:rPr>
              <w:t xml:space="preserve"> </w:t>
            </w:r>
            <w:r w:rsidRPr="00A73A1E">
              <w:rPr>
                <w:lang w:eastAsia="ja-JP"/>
              </w:rPr>
              <w:tab/>
              <w:t>Polarization mismatch loss is defined in in § 2.</w:t>
            </w:r>
            <w:r>
              <w:rPr>
                <w:lang w:eastAsia="ja-JP"/>
              </w:rPr>
              <w:t>2</w:t>
            </w:r>
            <w:r w:rsidRPr="00A73A1E">
              <w:rPr>
                <w:lang w:eastAsia="ja-JP"/>
              </w:rPr>
              <w:t xml:space="preserve">.3 of Appendix </w:t>
            </w:r>
            <w:r w:rsidRPr="00A73A1E">
              <w:rPr>
                <w:b/>
                <w:bCs/>
                <w:lang w:eastAsia="ja-JP"/>
              </w:rPr>
              <w:t xml:space="preserve">8 </w:t>
            </w:r>
            <w:r w:rsidRPr="007E359E">
              <w:rPr>
                <w:b/>
                <w:bCs/>
                <w:lang w:eastAsia="ja-JP"/>
              </w:rPr>
              <w:t>(Rev.WRC-03)</w:t>
            </w:r>
            <w:r w:rsidRPr="00A73A1E">
              <w:rPr>
                <w:lang w:eastAsia="ja-JP"/>
              </w:rPr>
              <w:t xml:space="preserve"> of the Radio Regulations</w:t>
            </w:r>
            <w:r>
              <w:rPr>
                <w:lang w:eastAsia="ja-JP"/>
              </w:rPr>
              <w:t xml:space="preserve"> (Edition 2004)</w:t>
            </w:r>
            <w:r w:rsidRPr="00A73A1E">
              <w:rPr>
                <w:lang w:eastAsia="ja-JP"/>
              </w:rPr>
              <w:t>.</w:t>
            </w:r>
          </w:p>
          <w:p w14:paraId="6E41E3E7" w14:textId="77777777" w:rsidR="007E359E" w:rsidRPr="00A73A1E" w:rsidRDefault="007E359E" w:rsidP="00BA4B6C">
            <w:pPr>
              <w:pStyle w:val="Tablelegend"/>
              <w:ind w:hanging="284"/>
            </w:pPr>
            <w:r w:rsidRPr="00CB446C">
              <w:rPr>
                <w:vertAlign w:val="superscript"/>
                <w:lang w:eastAsia="ja-JP"/>
              </w:rPr>
              <w:t>(</w:t>
            </w:r>
            <w:r>
              <w:rPr>
                <w:vertAlign w:val="superscript"/>
                <w:lang w:eastAsia="ja-JP"/>
              </w:rPr>
              <w:t>3</w:t>
            </w:r>
            <w:r w:rsidRPr="00CB446C">
              <w:rPr>
                <w:vertAlign w:val="superscript"/>
                <w:lang w:eastAsia="ja-JP"/>
              </w:rPr>
              <w:t>)</w:t>
            </w:r>
            <w:r w:rsidRPr="00A73A1E">
              <w:rPr>
                <w:lang w:eastAsia="ja-JP"/>
              </w:rPr>
              <w:tab/>
              <w:t>The peak power is worst-case analysis, because the size of antenna aperture for SAR 5 and 6 will be small in actual.</w:t>
            </w:r>
          </w:p>
        </w:tc>
      </w:tr>
    </w:tbl>
    <w:p w14:paraId="70F08BB7" w14:textId="77777777" w:rsidR="007E359E" w:rsidRPr="007E359E" w:rsidRDefault="007E359E" w:rsidP="007E359E">
      <w:pPr>
        <w:pStyle w:val="Tablefin"/>
        <w:rPr>
          <w:rFonts w:eastAsia="MS Mincho"/>
        </w:rPr>
      </w:pPr>
    </w:p>
    <w:p w14:paraId="4772940A" w14:textId="77777777" w:rsidR="003244CE" w:rsidRDefault="003244CE" w:rsidP="003244CE">
      <w:r w:rsidRPr="00A73A1E">
        <w:t xml:space="preserve">Since all the cells in the Table </w:t>
      </w:r>
      <w:r>
        <w:t>12</w:t>
      </w:r>
      <w:r w:rsidRPr="00A73A1E">
        <w:t xml:space="preserve"> row of maximum received interference peak power values are below the receiver input survival level, these representative systems do not exceed the allowable interference criteria from a peak power standpoint with the GLONASS receiver. However, since almost all of the maximum received peak power results are above the receiver input saturation level, further interference evaluation analysis using the method of Annex 1</w:t>
      </w:r>
      <w:r>
        <w:t>, § </w:t>
      </w:r>
      <w:r w:rsidRPr="00A73A1E">
        <w:t>4.2 is needed. Section 3 below contains an example calculation.</w:t>
      </w:r>
    </w:p>
    <w:p w14:paraId="11A627BD" w14:textId="77777777" w:rsidR="003244CE" w:rsidRPr="00A73A1E" w:rsidRDefault="003244CE" w:rsidP="003244CE">
      <w:pPr>
        <w:pStyle w:val="Heading1"/>
      </w:pPr>
      <w:bookmarkStart w:id="34" w:name="_Toc102659325"/>
      <w:bookmarkStart w:id="35" w:name="_Toc102659475"/>
      <w:r w:rsidRPr="00A73A1E">
        <w:t>3</w:t>
      </w:r>
      <w:r w:rsidRPr="00A73A1E">
        <w:tab/>
        <w:t>RNSS receiver performance degradation calculation examples using the analytic evaluation method</w:t>
      </w:r>
      <w:bookmarkEnd w:id="34"/>
      <w:bookmarkEnd w:id="35"/>
    </w:p>
    <w:p w14:paraId="2E4F4AEA" w14:textId="77777777" w:rsidR="003244CE" w:rsidRPr="00A73A1E" w:rsidRDefault="003244CE" w:rsidP="003244CE">
      <w:pPr>
        <w:pStyle w:val="Heading2"/>
      </w:pPr>
      <w:bookmarkStart w:id="36" w:name="_Toc102659326"/>
      <w:bookmarkStart w:id="37" w:name="_Toc102659476"/>
      <w:r w:rsidRPr="00A73A1E">
        <w:t>3.1</w:t>
      </w:r>
      <w:r w:rsidRPr="00A73A1E">
        <w:tab/>
        <w:t>SBAS ground reference receiver pulsed RFI evaluation case</w:t>
      </w:r>
      <w:bookmarkEnd w:id="36"/>
      <w:bookmarkEnd w:id="37"/>
    </w:p>
    <w:p w14:paraId="32F9B0E6" w14:textId="77777777" w:rsidR="003244CE" w:rsidRPr="00A73A1E" w:rsidRDefault="003244CE" w:rsidP="003244CE">
      <w:pPr>
        <w:rPr>
          <w:lang w:eastAsia="ja-JP"/>
        </w:rPr>
      </w:pPr>
      <w:r w:rsidRPr="00A73A1E">
        <w:rPr>
          <w:lang w:eastAsia="ja-JP"/>
        </w:rPr>
        <w:t xml:space="preserve">One pulsed RFI analysis case chosen to illustrate the use of the analytic evaluation method is of an SBAS ground reference receiver illuminated by a single EESS SAR5 active sensor. The SBAS receiver is also assumed to be near a ground-based surveillance radar that produces a baseline pulsed RFI condition below the receiver’s tolerance limit. Normally a dynamic link analysis would be done to find the actual time profile of peak received SAR5 power. The dynamic analysis would involve orbital simulation together with the satellite radiated power pattern and the RNSS receiver receive antenna pattern. </w:t>
      </w:r>
    </w:p>
    <w:p w14:paraId="300442BE" w14:textId="77777777" w:rsidR="003244CE" w:rsidRPr="00A73A1E" w:rsidRDefault="003244CE" w:rsidP="003244CE">
      <w:pPr>
        <w:rPr>
          <w:lang w:eastAsia="ja-JP"/>
        </w:rPr>
      </w:pPr>
      <w:r w:rsidRPr="00A73A1E">
        <w:rPr>
          <w:lang w:eastAsia="ja-JP"/>
        </w:rPr>
        <w:t>For this simpler example, however</w:t>
      </w:r>
      <w:r>
        <w:rPr>
          <w:lang w:eastAsia="ja-JP"/>
        </w:rPr>
        <w:t>,</w:t>
      </w:r>
      <w:r w:rsidRPr="00A73A1E">
        <w:rPr>
          <w:lang w:eastAsia="ja-JP"/>
        </w:rPr>
        <w:t xml:space="preserve"> it is assumed that for a certain nominal time period (at least a few minutes), the received SAR5 peak power is sufficiently above the SBAS ground reference receiver input saturation level so that the SBAS receiver is saturated during the pulse duration. With that worst-case assumption, the analytic method in Annex 1</w:t>
      </w:r>
      <w:r>
        <w:rPr>
          <w:lang w:eastAsia="ja-JP"/>
        </w:rPr>
        <w:t>,</w:t>
      </w:r>
      <w:r w:rsidRPr="00A73A1E">
        <w:rPr>
          <w:lang w:eastAsia="ja-JP"/>
        </w:rPr>
        <w:t xml:space="preserve"> </w:t>
      </w:r>
      <w:r>
        <w:rPr>
          <w:lang w:eastAsia="ja-JP"/>
        </w:rPr>
        <w:t>§ </w:t>
      </w:r>
      <w:r w:rsidRPr="00A73A1E">
        <w:rPr>
          <w:lang w:eastAsia="ja-JP"/>
        </w:rPr>
        <w:t>4.2</w:t>
      </w:r>
      <w:r w:rsidRPr="00A73A1E">
        <w:rPr>
          <w:i/>
          <w:lang w:eastAsia="ja-JP"/>
        </w:rPr>
        <w:t xml:space="preserve"> </w:t>
      </w:r>
      <w:r w:rsidRPr="00A73A1E">
        <w:rPr>
          <w:lang w:eastAsia="ja-JP"/>
        </w:rPr>
        <w:t>can be applied to find the SBAS receiver pulsed RFI degradation.</w:t>
      </w:r>
    </w:p>
    <w:p w14:paraId="2E814F09" w14:textId="77777777" w:rsidR="003244CE" w:rsidRPr="00A73A1E" w:rsidRDefault="003244CE" w:rsidP="003244CE">
      <w:pPr>
        <w:pStyle w:val="Heading3"/>
      </w:pPr>
      <w:r w:rsidRPr="00A73A1E">
        <w:t>3.1.1</w:t>
      </w:r>
      <w:r w:rsidRPr="00A73A1E">
        <w:tab/>
        <w:t xml:space="preserve">Computation of the received effective pulsed RFI duty cycle parameter, </w:t>
      </w:r>
      <w:r w:rsidRPr="00A73A1E">
        <w:rPr>
          <w:i/>
        </w:rPr>
        <w:t>PDC</w:t>
      </w:r>
      <w:r w:rsidRPr="00A73A1E">
        <w:rPr>
          <w:i/>
          <w:vertAlign w:val="subscript"/>
        </w:rPr>
        <w:t>LIM</w:t>
      </w:r>
    </w:p>
    <w:p w14:paraId="31C1E835" w14:textId="77777777" w:rsidR="003244CE" w:rsidRPr="00A73A1E" w:rsidRDefault="003244CE" w:rsidP="003244CE">
      <w:pPr>
        <w:rPr>
          <w:lang w:eastAsia="ja-JP"/>
        </w:rPr>
      </w:pPr>
      <w:r w:rsidRPr="00A73A1E">
        <w:rPr>
          <w:lang w:eastAsia="ja-JP"/>
        </w:rPr>
        <w:t>The received peak SAR5 received power effective pulsed RFI duty cycle (</w:t>
      </w:r>
      <w:r w:rsidRPr="00A73A1E">
        <w:rPr>
          <w:i/>
          <w:iCs/>
          <w:lang w:eastAsia="ja-JP"/>
        </w:rPr>
        <w:t>PDC</w:t>
      </w:r>
      <w:r w:rsidRPr="00A73A1E">
        <w:rPr>
          <w:i/>
          <w:iCs/>
          <w:vertAlign w:val="subscript"/>
          <w:lang w:eastAsia="ja-JP"/>
        </w:rPr>
        <w:t>LIM</w:t>
      </w:r>
      <w:r w:rsidRPr="00A73A1E">
        <w:rPr>
          <w:lang w:eastAsia="ja-JP"/>
        </w:rPr>
        <w:t>) is computed for the various SAR5 modes using equation (</w:t>
      </w:r>
      <w:r>
        <w:rPr>
          <w:lang w:eastAsia="ja-JP"/>
        </w:rPr>
        <w:t>5</w:t>
      </w:r>
      <w:r w:rsidRPr="00A73A1E">
        <w:rPr>
          <w:lang w:eastAsia="ja-JP"/>
        </w:rPr>
        <w:t>):</w:t>
      </w:r>
    </w:p>
    <w:p w14:paraId="76F60E38" w14:textId="77777777" w:rsidR="003244CE" w:rsidRDefault="003244CE" w:rsidP="003244CE">
      <w:pPr>
        <w:pStyle w:val="Equation"/>
        <w:rPr>
          <w:lang w:eastAsia="ja-JP"/>
        </w:rPr>
      </w:pPr>
      <w:r w:rsidRPr="00A73A1E">
        <w:rPr>
          <w:lang w:eastAsia="ja-JP"/>
        </w:rPr>
        <w:tab/>
      </w:r>
      <w:r>
        <w:rPr>
          <w:lang w:eastAsia="ja-JP"/>
        </w:rPr>
        <w:tab/>
      </w:r>
      <m:oMath>
        <m:sSub>
          <m:sSubPr>
            <m:ctrlPr>
              <w:rPr>
                <w:rFonts w:ascii="Cambria Math" w:hAnsi="Cambria Math"/>
                <w:i/>
              </w:rPr>
            </m:ctrlPr>
          </m:sSubPr>
          <m:e>
            <m:r>
              <w:rPr>
                <w:rFonts w:ascii="Cambria Math" w:hAnsi="Cambria Math"/>
              </w:rPr>
              <m:t>PDC</m:t>
            </m:r>
          </m:e>
          <m:sub>
            <m:r>
              <w:rPr>
                <w:rFonts w:ascii="Cambria Math" w:hAnsi="Cambria Math"/>
              </w:rPr>
              <m:t>LIM,  5</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PW</m:t>
                </m:r>
              </m:e>
              <m:sub>
                <m:r>
                  <w:rPr>
                    <w:rFonts w:ascii="Cambria Math" w:hAnsi="Cambria Math"/>
                  </w:rPr>
                  <m:t>SAR5,eff</m:t>
                </m:r>
              </m:sub>
            </m:sSub>
            <m:r>
              <w:rPr>
                <w:rFonts w:ascii="Cambria Math" w:hAnsi="Cambria Math"/>
              </w:rPr>
              <m:t>+</m:t>
            </m:r>
            <m:sSub>
              <m:sSubPr>
                <m:ctrlPr>
                  <w:rPr>
                    <w:rFonts w:ascii="Cambria Math" w:hAnsi="Cambria Math"/>
                    <w:i/>
                  </w:rPr>
                </m:ctrlPr>
              </m:sSubPr>
              <m:e>
                <m:r>
                  <m:rPr>
                    <m:sty m:val="p"/>
                  </m:rPr>
                  <w:rPr>
                    <w:rFonts w:ascii="Cambria Math" w:hAnsi="Cambria Math"/>
                  </w:rPr>
                  <m:t>τ</m:t>
                </m:r>
              </m:e>
              <m:sub>
                <m:r>
                  <w:rPr>
                    <w:rFonts w:ascii="Cambria Math" w:hAnsi="Cambria Math"/>
                  </w:rPr>
                  <m:t>r</m:t>
                </m:r>
              </m:sub>
            </m:sSub>
          </m:e>
        </m:d>
        <m:sSub>
          <m:sSubPr>
            <m:ctrlPr>
              <w:rPr>
                <w:rFonts w:ascii="Cambria Math" w:hAnsi="Cambria Math"/>
                <w:i/>
              </w:rPr>
            </m:ctrlPr>
          </m:sSubPr>
          <m:e>
            <m:r>
              <w:rPr>
                <w:rFonts w:ascii="Cambria Math" w:hAnsi="Cambria Math"/>
              </w:rPr>
              <m:t>PRF</m:t>
            </m:r>
          </m:e>
          <m:sub>
            <m:r>
              <w:rPr>
                <w:rFonts w:ascii="Cambria Math" w:hAnsi="Cambria Math"/>
              </w:rPr>
              <m:t>SAR5</m:t>
            </m:r>
          </m:sub>
        </m:sSub>
      </m:oMath>
    </w:p>
    <w:p w14:paraId="588C79CC" w14:textId="77777777" w:rsidR="003244CE" w:rsidRPr="00A73A1E" w:rsidRDefault="003244CE" w:rsidP="003244CE">
      <w:pPr>
        <w:rPr>
          <w:lang w:eastAsia="ja-JP"/>
        </w:rPr>
      </w:pPr>
      <w:r w:rsidRPr="00A73A1E">
        <w:rPr>
          <w:lang w:eastAsia="ja-JP"/>
        </w:rPr>
        <w:lastRenderedPageBreak/>
        <w:t>where:</w:t>
      </w:r>
    </w:p>
    <w:p w14:paraId="20295FE7" w14:textId="77777777" w:rsidR="003244CE" w:rsidRDefault="003244CE" w:rsidP="003244CE">
      <w:pPr>
        <w:pStyle w:val="Equation"/>
        <w:rPr>
          <w:lang w:eastAsia="ja-JP"/>
        </w:rPr>
      </w:pPr>
      <w:r w:rsidRPr="00A73A1E">
        <w:rPr>
          <w:lang w:eastAsia="ja-JP"/>
        </w:rPr>
        <w:tab/>
      </w:r>
      <w:r>
        <w:rPr>
          <w:lang w:eastAsia="ja-JP"/>
        </w:rPr>
        <w:tab/>
      </w:r>
      <m:oMath>
        <m:sSub>
          <m:sSubPr>
            <m:ctrlPr>
              <w:rPr>
                <w:rFonts w:ascii="Cambria Math" w:hAnsi="Cambria Math"/>
                <w:i/>
              </w:rPr>
            </m:ctrlPr>
          </m:sSubPr>
          <m:e>
            <m:r>
              <w:rPr>
                <w:rFonts w:ascii="Cambria Math" w:hAnsi="Cambria Math"/>
              </w:rPr>
              <m:t>PW</m:t>
            </m:r>
          </m:e>
          <m:sub>
            <m:r>
              <w:rPr>
                <w:rFonts w:ascii="Cambria Math" w:hAnsi="Cambria Math"/>
              </w:rPr>
              <m:t>SAR5,eff</m:t>
            </m:r>
          </m:sub>
        </m:sSub>
        <m:r>
          <w:rPr>
            <w:rFonts w:ascii="Cambria Math" w:hAnsi="Cambria Math"/>
            <w:lang w:eastAsia="ja-JP"/>
          </w:rPr>
          <m:t>=</m:t>
        </m:r>
        <m:sSub>
          <m:sSubPr>
            <m:ctrlPr>
              <w:rPr>
                <w:rFonts w:ascii="Cambria Math" w:hAnsi="Cambria Math"/>
                <w:i/>
              </w:rPr>
            </m:ctrlPr>
          </m:sSubPr>
          <m:e>
            <m:r>
              <w:rPr>
                <w:rFonts w:ascii="Cambria Math" w:hAnsi="Cambria Math"/>
              </w:rPr>
              <m:t>PW</m:t>
            </m:r>
          </m:e>
          <m:sub>
            <m:r>
              <w:rPr>
                <w:rFonts w:ascii="Cambria Math" w:hAnsi="Cambria Math"/>
              </w:rPr>
              <m:t>SAR5</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∆f</m:t>
                </m:r>
              </m:num>
              <m:den>
                <m:r>
                  <w:rPr>
                    <w:rFonts w:ascii="Cambria Math" w:hAnsi="Cambria Math"/>
                  </w:rPr>
                  <m:t>Chirpwidth</m:t>
                </m:r>
              </m:den>
            </m:f>
          </m:e>
        </m:d>
      </m:oMath>
    </w:p>
    <w:p w14:paraId="6E50DDC2" w14:textId="77777777" w:rsidR="003244CE" w:rsidRPr="00A73A1E" w:rsidRDefault="003244CE" w:rsidP="003244CE">
      <w:pPr>
        <w:keepLines/>
        <w:rPr>
          <w:szCs w:val="24"/>
          <w:lang w:eastAsia="ja-JP"/>
        </w:rPr>
      </w:pPr>
      <w:r w:rsidRPr="00A73A1E">
        <w:rPr>
          <w:szCs w:val="24"/>
          <w:lang w:eastAsia="ja-JP"/>
        </w:rPr>
        <w:t>From Table 1, it is noted that the transmit pulse width (</w:t>
      </w:r>
      <w:r w:rsidRPr="00A73A1E">
        <w:rPr>
          <w:i/>
          <w:szCs w:val="24"/>
          <w:lang w:eastAsia="ja-JP"/>
        </w:rPr>
        <w:t>PW</w:t>
      </w:r>
      <w:r w:rsidRPr="00A73A1E">
        <w:rPr>
          <w:i/>
          <w:szCs w:val="24"/>
          <w:vertAlign w:val="subscript"/>
          <w:lang w:eastAsia="ja-JP"/>
        </w:rPr>
        <w:t>SAR5</w:t>
      </w:r>
      <w:r w:rsidRPr="00A73A1E">
        <w:rPr>
          <w:szCs w:val="24"/>
          <w:lang w:eastAsia="ja-JP"/>
        </w:rPr>
        <w:t>) and pulse repetition frequency (</w:t>
      </w:r>
      <w:r w:rsidRPr="00A73A1E">
        <w:rPr>
          <w:i/>
          <w:szCs w:val="24"/>
          <w:lang w:eastAsia="ja-JP"/>
        </w:rPr>
        <w:t>PRF</w:t>
      </w:r>
      <w:r w:rsidRPr="00A73A1E">
        <w:rPr>
          <w:i/>
          <w:szCs w:val="24"/>
          <w:vertAlign w:val="subscript"/>
          <w:lang w:eastAsia="ja-JP"/>
        </w:rPr>
        <w:t>SAR5</w:t>
      </w:r>
      <w:r w:rsidRPr="00A73A1E">
        <w:rPr>
          <w:szCs w:val="24"/>
          <w:lang w:eastAsia="ja-JP"/>
        </w:rPr>
        <w:t xml:space="preserve">) vary over a stated range such that the transmit duty cycle is a constant (7%). The chirp width has </w:t>
      </w:r>
      <w:r>
        <w:rPr>
          <w:szCs w:val="24"/>
          <w:lang w:eastAsia="ja-JP"/>
        </w:rPr>
        <w:t>two</w:t>
      </w:r>
      <w:r w:rsidRPr="00A73A1E">
        <w:rPr>
          <w:szCs w:val="24"/>
          <w:lang w:eastAsia="ja-JP"/>
        </w:rPr>
        <w:t xml:space="preserve"> values (14 MHz and 28 MHz</w:t>
      </w:r>
      <w:proofErr w:type="gramStart"/>
      <w:r w:rsidRPr="00A73A1E">
        <w:rPr>
          <w:szCs w:val="24"/>
          <w:lang w:eastAsia="ja-JP"/>
        </w:rPr>
        <w:t>)</w:t>
      </w:r>
      <w:proofErr w:type="gramEnd"/>
      <w:r w:rsidRPr="00A73A1E">
        <w:rPr>
          <w:szCs w:val="24"/>
          <w:lang w:eastAsia="ja-JP"/>
        </w:rPr>
        <w:t xml:space="preserve"> and the chirp centre frequency has </w:t>
      </w:r>
      <w:r>
        <w:rPr>
          <w:szCs w:val="24"/>
          <w:lang w:eastAsia="ja-JP"/>
        </w:rPr>
        <w:t>three</w:t>
      </w:r>
      <w:r w:rsidRPr="00A73A1E">
        <w:rPr>
          <w:szCs w:val="24"/>
          <w:lang w:eastAsia="ja-JP"/>
        </w:rPr>
        <w:t xml:space="preserve"> values (1 236.5 MHz, 1 257.5 MHz, and 1 278.5 MHz). For this example, the effective received pulsed RFI duty cycle is computed for each centre frequency and chirp width (showing the SBAS receiver filtering effect) and two combinations of transmit pulse width and PRF. The assumed SBAS receiver recovery time (</w:t>
      </w:r>
      <w:r w:rsidRPr="00E1575E">
        <w:rPr>
          <w:iCs/>
          <w:szCs w:val="24"/>
          <w:lang w:eastAsia="ja-JP"/>
        </w:rPr>
        <w:sym w:font="Symbol" w:char="F074"/>
      </w:r>
      <w:r w:rsidRPr="00A73A1E">
        <w:rPr>
          <w:i/>
          <w:szCs w:val="24"/>
          <w:vertAlign w:val="subscript"/>
          <w:lang w:eastAsia="ja-JP"/>
        </w:rPr>
        <w:t>R</w:t>
      </w:r>
      <w:r w:rsidRPr="00A73A1E">
        <w:rPr>
          <w:szCs w:val="24"/>
          <w:lang w:eastAsia="ja-JP"/>
        </w:rPr>
        <w:t>) for this example is 1.0 µs and the SBAS receiver pre-correlator filter bandwidth is 20.5 MHz (rectangular)</w:t>
      </w:r>
      <w:r w:rsidRPr="00A73A1E">
        <w:rPr>
          <w:position w:val="6"/>
          <w:sz w:val="18"/>
          <w:szCs w:val="24"/>
          <w:lang w:eastAsia="ja-JP"/>
        </w:rPr>
        <w:footnoteReference w:id="15"/>
      </w:r>
      <w:r w:rsidRPr="00A73A1E">
        <w:rPr>
          <w:szCs w:val="24"/>
          <w:lang w:eastAsia="ja-JP"/>
        </w:rPr>
        <w:t xml:space="preserve"> centred at 1 227.6 </w:t>
      </w:r>
      <w:proofErr w:type="spellStart"/>
      <w:r w:rsidRPr="00A73A1E">
        <w:rPr>
          <w:szCs w:val="24"/>
          <w:lang w:eastAsia="ja-JP"/>
        </w:rPr>
        <w:t>MHz.</w:t>
      </w:r>
      <w:proofErr w:type="spellEnd"/>
      <w:r w:rsidRPr="00A73A1E">
        <w:rPr>
          <w:szCs w:val="24"/>
          <w:lang w:eastAsia="ja-JP"/>
        </w:rPr>
        <w:t xml:space="preserve"> Tables </w:t>
      </w:r>
      <w:r>
        <w:rPr>
          <w:szCs w:val="24"/>
          <w:lang w:eastAsia="ja-JP"/>
        </w:rPr>
        <w:t>13</w:t>
      </w:r>
      <w:r w:rsidRPr="00A73A1E">
        <w:rPr>
          <w:szCs w:val="24"/>
          <w:lang w:eastAsia="ja-JP"/>
        </w:rPr>
        <w:t xml:space="preserve"> and </w:t>
      </w:r>
      <w:r>
        <w:rPr>
          <w:szCs w:val="24"/>
          <w:lang w:eastAsia="ja-JP"/>
        </w:rPr>
        <w:t>14</w:t>
      </w:r>
      <w:r w:rsidRPr="00A73A1E">
        <w:rPr>
          <w:szCs w:val="24"/>
          <w:lang w:eastAsia="ja-JP"/>
        </w:rPr>
        <w:t xml:space="preserve"> show the results for the 14 MHz and 28 MHz chirp width cases, respectively.</w:t>
      </w:r>
    </w:p>
    <w:p w14:paraId="2F584833" w14:textId="77777777" w:rsidR="003244CE" w:rsidRPr="00A73A1E" w:rsidRDefault="003244CE" w:rsidP="003244CE">
      <w:pPr>
        <w:pStyle w:val="TableNo"/>
      </w:pPr>
      <w:r w:rsidRPr="00A73A1E">
        <w:t xml:space="preserve">TABLE </w:t>
      </w:r>
      <w:r>
        <w:t>13</w:t>
      </w:r>
    </w:p>
    <w:p w14:paraId="68D69595" w14:textId="1F8AD406" w:rsidR="003244CE" w:rsidRPr="00A73A1E" w:rsidRDefault="003244CE" w:rsidP="003244CE">
      <w:pPr>
        <w:pStyle w:val="Tabletitle"/>
      </w:pPr>
      <w:r w:rsidRPr="00A73A1E">
        <w:t xml:space="preserve">SBAS ground reference receiver effective received pulse width and </w:t>
      </w:r>
      <w:r w:rsidR="002C7DA3">
        <w:br/>
      </w:r>
      <w:r w:rsidRPr="00A73A1E">
        <w:t>PDC for 14 MHz chirp width</w:t>
      </w: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440"/>
        <w:gridCol w:w="1530"/>
        <w:gridCol w:w="2002"/>
        <w:gridCol w:w="1584"/>
        <w:gridCol w:w="1152"/>
      </w:tblGrid>
      <w:tr w:rsidR="003244CE" w:rsidRPr="00A73A1E" w14:paraId="402B8658" w14:textId="77777777" w:rsidTr="009C40C0">
        <w:trPr>
          <w:jc w:val="center"/>
        </w:trPr>
        <w:tc>
          <w:tcPr>
            <w:tcW w:w="2023" w:type="dxa"/>
            <w:shd w:val="clear" w:color="auto" w:fill="auto"/>
          </w:tcPr>
          <w:p w14:paraId="0B3552CB" w14:textId="77777777" w:rsidR="003244CE" w:rsidRPr="00A73A1E" w:rsidRDefault="003244CE" w:rsidP="009C40C0">
            <w:pPr>
              <w:pStyle w:val="Tablehead"/>
              <w:rPr>
                <w:lang w:eastAsia="ja-JP"/>
              </w:rPr>
            </w:pPr>
            <w:r w:rsidRPr="00A73A1E">
              <w:rPr>
                <w:lang w:eastAsia="ja-JP"/>
              </w:rPr>
              <w:t>Centre freq</w:t>
            </w:r>
            <w:r>
              <w:rPr>
                <w:lang w:eastAsia="ja-JP"/>
              </w:rPr>
              <w:t>uency</w:t>
            </w:r>
            <w:r w:rsidRPr="00A73A1E">
              <w:rPr>
                <w:lang w:eastAsia="ja-JP"/>
              </w:rPr>
              <w:t xml:space="preserve"> </w:t>
            </w:r>
            <w:r w:rsidRPr="00A73A1E">
              <w:rPr>
                <w:lang w:eastAsia="ja-JP"/>
              </w:rPr>
              <w:br/>
              <w:t>(MHz)</w:t>
            </w:r>
          </w:p>
        </w:tc>
        <w:tc>
          <w:tcPr>
            <w:tcW w:w="1440" w:type="dxa"/>
            <w:shd w:val="clear" w:color="auto" w:fill="auto"/>
          </w:tcPr>
          <w:p w14:paraId="17B5EB2C" w14:textId="77777777" w:rsidR="003244CE" w:rsidRPr="00A73A1E" w:rsidRDefault="003244CE" w:rsidP="009C40C0">
            <w:pPr>
              <w:pStyle w:val="Tablehead"/>
              <w:rPr>
                <w:lang w:eastAsia="ja-JP"/>
              </w:rPr>
            </w:pPr>
            <w:r w:rsidRPr="00A73A1E">
              <w:rPr>
                <w:lang w:eastAsia="ja-JP"/>
              </w:rPr>
              <w:t xml:space="preserve">Tx PRF </w:t>
            </w:r>
            <w:r w:rsidRPr="00A73A1E">
              <w:rPr>
                <w:lang w:eastAsia="ja-JP"/>
              </w:rPr>
              <w:br/>
              <w:t>(Hz)</w:t>
            </w:r>
          </w:p>
        </w:tc>
        <w:tc>
          <w:tcPr>
            <w:tcW w:w="1530" w:type="dxa"/>
            <w:shd w:val="clear" w:color="auto" w:fill="auto"/>
          </w:tcPr>
          <w:p w14:paraId="390BBE04" w14:textId="77777777" w:rsidR="003244CE" w:rsidRPr="00A73A1E" w:rsidRDefault="003244CE" w:rsidP="009C40C0">
            <w:pPr>
              <w:pStyle w:val="Tablehead"/>
              <w:rPr>
                <w:lang w:eastAsia="ja-JP"/>
              </w:rPr>
            </w:pPr>
            <w:r w:rsidRPr="00A73A1E">
              <w:rPr>
                <w:lang w:eastAsia="ja-JP"/>
              </w:rPr>
              <w:t xml:space="preserve">Tx PW </w:t>
            </w:r>
            <w:r w:rsidRPr="00A73A1E">
              <w:rPr>
                <w:lang w:eastAsia="ja-JP"/>
              </w:rPr>
              <w:br/>
              <w:t>(µs)</w:t>
            </w:r>
          </w:p>
        </w:tc>
        <w:tc>
          <w:tcPr>
            <w:tcW w:w="2002" w:type="dxa"/>
            <w:shd w:val="clear" w:color="auto" w:fill="auto"/>
          </w:tcPr>
          <w:p w14:paraId="128580CA" w14:textId="77777777" w:rsidR="003244CE" w:rsidRPr="00A73A1E" w:rsidRDefault="003244CE" w:rsidP="009C40C0">
            <w:pPr>
              <w:pStyle w:val="Tablehead"/>
              <w:rPr>
                <w:lang w:eastAsia="ja-JP"/>
              </w:rPr>
            </w:pPr>
            <w:r w:rsidRPr="00A73A1E">
              <w:rPr>
                <w:lang w:eastAsia="ja-JP"/>
              </w:rPr>
              <w:t>BW overlap ratio</w:t>
            </w:r>
          </w:p>
        </w:tc>
        <w:tc>
          <w:tcPr>
            <w:tcW w:w="1584" w:type="dxa"/>
            <w:shd w:val="clear" w:color="auto" w:fill="auto"/>
          </w:tcPr>
          <w:p w14:paraId="26AA76FD" w14:textId="77777777" w:rsidR="003244CE" w:rsidRPr="00A73A1E" w:rsidRDefault="003244CE" w:rsidP="009C40C0">
            <w:pPr>
              <w:pStyle w:val="Tablehead"/>
              <w:rPr>
                <w:lang w:eastAsia="ja-JP"/>
              </w:rPr>
            </w:pPr>
            <w:r w:rsidRPr="00A73A1E">
              <w:rPr>
                <w:lang w:eastAsia="ja-JP"/>
              </w:rPr>
              <w:t xml:space="preserve">Eff. PW </w:t>
            </w:r>
            <w:r w:rsidRPr="00A73A1E">
              <w:rPr>
                <w:lang w:eastAsia="ja-JP"/>
              </w:rPr>
              <w:br/>
              <w:t>(µs)</w:t>
            </w:r>
          </w:p>
        </w:tc>
        <w:tc>
          <w:tcPr>
            <w:tcW w:w="1152" w:type="dxa"/>
            <w:shd w:val="clear" w:color="auto" w:fill="auto"/>
          </w:tcPr>
          <w:p w14:paraId="74A384D3" w14:textId="77777777" w:rsidR="003244CE" w:rsidRPr="00A73A1E" w:rsidRDefault="003244CE" w:rsidP="009C40C0">
            <w:pPr>
              <w:pStyle w:val="Tablehead"/>
              <w:rPr>
                <w:lang w:eastAsia="ja-JP"/>
              </w:rPr>
            </w:pPr>
            <w:r w:rsidRPr="00A73A1E">
              <w:rPr>
                <w:lang w:eastAsia="ja-JP"/>
              </w:rPr>
              <w:t xml:space="preserve">PDC </w:t>
            </w:r>
            <w:r w:rsidRPr="00A73A1E">
              <w:rPr>
                <w:lang w:eastAsia="ja-JP"/>
              </w:rPr>
              <w:br/>
              <w:t>(%)</w:t>
            </w:r>
          </w:p>
        </w:tc>
      </w:tr>
      <w:tr w:rsidR="003244CE" w:rsidRPr="00A73A1E" w14:paraId="191B005D" w14:textId="77777777" w:rsidTr="009C40C0">
        <w:trPr>
          <w:jc w:val="center"/>
        </w:trPr>
        <w:tc>
          <w:tcPr>
            <w:tcW w:w="2023" w:type="dxa"/>
            <w:vMerge w:val="restart"/>
            <w:shd w:val="clear" w:color="auto" w:fill="auto"/>
            <w:vAlign w:val="center"/>
          </w:tcPr>
          <w:p w14:paraId="60CDA2D4" w14:textId="77777777" w:rsidR="003244CE" w:rsidRPr="00A73A1E" w:rsidRDefault="003244CE" w:rsidP="009C40C0">
            <w:pPr>
              <w:pStyle w:val="Tabletext"/>
              <w:jc w:val="center"/>
              <w:rPr>
                <w:lang w:eastAsia="ja-JP"/>
              </w:rPr>
            </w:pPr>
            <w:r w:rsidRPr="00A73A1E">
              <w:rPr>
                <w:lang w:eastAsia="ja-JP"/>
              </w:rPr>
              <w:t>1 236.5</w:t>
            </w:r>
          </w:p>
        </w:tc>
        <w:tc>
          <w:tcPr>
            <w:tcW w:w="1440" w:type="dxa"/>
            <w:shd w:val="clear" w:color="auto" w:fill="auto"/>
          </w:tcPr>
          <w:p w14:paraId="4BEC7615" w14:textId="77777777" w:rsidR="003244CE" w:rsidRPr="00A73A1E" w:rsidRDefault="003244CE" w:rsidP="009C40C0">
            <w:pPr>
              <w:pStyle w:val="Tabletext"/>
              <w:jc w:val="center"/>
              <w:rPr>
                <w:lang w:eastAsia="ja-JP"/>
              </w:rPr>
            </w:pPr>
            <w:r w:rsidRPr="00A73A1E">
              <w:rPr>
                <w:lang w:eastAsia="ja-JP"/>
              </w:rPr>
              <w:t>1 050</w:t>
            </w:r>
          </w:p>
        </w:tc>
        <w:tc>
          <w:tcPr>
            <w:tcW w:w="1530" w:type="dxa"/>
            <w:shd w:val="clear" w:color="auto" w:fill="auto"/>
          </w:tcPr>
          <w:p w14:paraId="497AE004" w14:textId="77777777" w:rsidR="003244CE" w:rsidRPr="00A73A1E" w:rsidRDefault="003244CE" w:rsidP="009C40C0">
            <w:pPr>
              <w:pStyle w:val="Tabletext"/>
              <w:jc w:val="center"/>
              <w:rPr>
                <w:lang w:eastAsia="ja-JP"/>
              </w:rPr>
            </w:pPr>
            <w:r w:rsidRPr="00A73A1E">
              <w:rPr>
                <w:lang w:eastAsia="ja-JP"/>
              </w:rPr>
              <w:t>66.67</w:t>
            </w:r>
          </w:p>
        </w:tc>
        <w:tc>
          <w:tcPr>
            <w:tcW w:w="2002" w:type="dxa"/>
            <w:shd w:val="clear" w:color="auto" w:fill="auto"/>
          </w:tcPr>
          <w:p w14:paraId="09F0D1DF" w14:textId="77777777" w:rsidR="003244CE" w:rsidRPr="00A73A1E" w:rsidRDefault="003244CE" w:rsidP="009C40C0">
            <w:pPr>
              <w:pStyle w:val="Tabletext"/>
              <w:jc w:val="center"/>
              <w:rPr>
                <w:lang w:eastAsia="ja-JP"/>
              </w:rPr>
            </w:pPr>
            <w:r w:rsidRPr="00A73A1E">
              <w:rPr>
                <w:lang w:eastAsia="ja-JP"/>
              </w:rPr>
              <w:t>0.5964</w:t>
            </w:r>
          </w:p>
        </w:tc>
        <w:tc>
          <w:tcPr>
            <w:tcW w:w="1584" w:type="dxa"/>
            <w:shd w:val="clear" w:color="auto" w:fill="auto"/>
          </w:tcPr>
          <w:p w14:paraId="76B0185F" w14:textId="77777777" w:rsidR="003244CE" w:rsidRPr="00A73A1E" w:rsidRDefault="003244CE" w:rsidP="009C40C0">
            <w:pPr>
              <w:pStyle w:val="Tabletext"/>
              <w:jc w:val="center"/>
              <w:rPr>
                <w:lang w:eastAsia="ja-JP"/>
              </w:rPr>
            </w:pPr>
            <w:r w:rsidRPr="00A73A1E">
              <w:rPr>
                <w:lang w:eastAsia="ja-JP"/>
              </w:rPr>
              <w:t>39.760</w:t>
            </w:r>
          </w:p>
        </w:tc>
        <w:tc>
          <w:tcPr>
            <w:tcW w:w="1152" w:type="dxa"/>
            <w:shd w:val="clear" w:color="auto" w:fill="auto"/>
          </w:tcPr>
          <w:p w14:paraId="5CA3F5D6" w14:textId="77777777" w:rsidR="003244CE" w:rsidRPr="00A73A1E" w:rsidRDefault="003244CE" w:rsidP="009C40C0">
            <w:pPr>
              <w:pStyle w:val="Tabletext"/>
              <w:jc w:val="center"/>
              <w:rPr>
                <w:lang w:eastAsia="ja-JP"/>
              </w:rPr>
            </w:pPr>
            <w:r w:rsidRPr="00A73A1E">
              <w:rPr>
                <w:lang w:eastAsia="ja-JP"/>
              </w:rPr>
              <w:t>4.280</w:t>
            </w:r>
          </w:p>
        </w:tc>
      </w:tr>
      <w:tr w:rsidR="003244CE" w:rsidRPr="00A73A1E" w14:paraId="47D1E454" w14:textId="77777777" w:rsidTr="009C40C0">
        <w:trPr>
          <w:jc w:val="center"/>
        </w:trPr>
        <w:tc>
          <w:tcPr>
            <w:tcW w:w="2023" w:type="dxa"/>
            <w:vMerge/>
            <w:shd w:val="clear" w:color="auto" w:fill="auto"/>
            <w:vAlign w:val="center"/>
          </w:tcPr>
          <w:p w14:paraId="3BE9BFA9" w14:textId="77777777" w:rsidR="003244CE" w:rsidRPr="00A73A1E" w:rsidRDefault="003244CE" w:rsidP="009C40C0">
            <w:pPr>
              <w:pStyle w:val="Tabletext"/>
              <w:jc w:val="center"/>
              <w:rPr>
                <w:lang w:eastAsia="ja-JP"/>
              </w:rPr>
            </w:pPr>
          </w:p>
        </w:tc>
        <w:tc>
          <w:tcPr>
            <w:tcW w:w="1440" w:type="dxa"/>
            <w:shd w:val="clear" w:color="auto" w:fill="auto"/>
          </w:tcPr>
          <w:p w14:paraId="116A8200" w14:textId="77777777" w:rsidR="003244CE" w:rsidRPr="00A73A1E" w:rsidRDefault="003244CE" w:rsidP="009C40C0">
            <w:pPr>
              <w:pStyle w:val="Tabletext"/>
              <w:jc w:val="center"/>
              <w:rPr>
                <w:lang w:eastAsia="ja-JP"/>
              </w:rPr>
            </w:pPr>
            <w:r w:rsidRPr="00A73A1E">
              <w:rPr>
                <w:lang w:eastAsia="ja-JP"/>
              </w:rPr>
              <w:t>1 860</w:t>
            </w:r>
          </w:p>
        </w:tc>
        <w:tc>
          <w:tcPr>
            <w:tcW w:w="1530" w:type="dxa"/>
            <w:shd w:val="clear" w:color="auto" w:fill="auto"/>
          </w:tcPr>
          <w:p w14:paraId="3E09F80B" w14:textId="77777777" w:rsidR="003244CE" w:rsidRPr="00A73A1E" w:rsidRDefault="003244CE" w:rsidP="009C40C0">
            <w:pPr>
              <w:pStyle w:val="Tabletext"/>
              <w:jc w:val="center"/>
              <w:rPr>
                <w:lang w:eastAsia="ja-JP"/>
              </w:rPr>
            </w:pPr>
            <w:r w:rsidRPr="00A73A1E">
              <w:rPr>
                <w:lang w:eastAsia="ja-JP"/>
              </w:rPr>
              <w:t>37.63</w:t>
            </w:r>
          </w:p>
        </w:tc>
        <w:tc>
          <w:tcPr>
            <w:tcW w:w="2002" w:type="dxa"/>
            <w:shd w:val="clear" w:color="auto" w:fill="auto"/>
          </w:tcPr>
          <w:p w14:paraId="1F7D80C2" w14:textId="77777777" w:rsidR="003244CE" w:rsidRPr="00A73A1E" w:rsidRDefault="003244CE" w:rsidP="009C40C0">
            <w:pPr>
              <w:pStyle w:val="Tabletext"/>
              <w:jc w:val="center"/>
              <w:rPr>
                <w:lang w:eastAsia="ja-JP"/>
              </w:rPr>
            </w:pPr>
            <w:r w:rsidRPr="00A73A1E">
              <w:rPr>
                <w:lang w:eastAsia="ja-JP"/>
              </w:rPr>
              <w:t>0.5964</w:t>
            </w:r>
          </w:p>
        </w:tc>
        <w:tc>
          <w:tcPr>
            <w:tcW w:w="1584" w:type="dxa"/>
            <w:shd w:val="clear" w:color="auto" w:fill="auto"/>
          </w:tcPr>
          <w:p w14:paraId="2CC1663F" w14:textId="77777777" w:rsidR="003244CE" w:rsidRPr="00A73A1E" w:rsidRDefault="003244CE" w:rsidP="009C40C0">
            <w:pPr>
              <w:pStyle w:val="Tabletext"/>
              <w:jc w:val="center"/>
              <w:rPr>
                <w:lang w:eastAsia="ja-JP"/>
              </w:rPr>
            </w:pPr>
            <w:r w:rsidRPr="00A73A1E">
              <w:rPr>
                <w:lang w:eastAsia="ja-JP"/>
              </w:rPr>
              <w:t>22.445</w:t>
            </w:r>
          </w:p>
        </w:tc>
        <w:tc>
          <w:tcPr>
            <w:tcW w:w="1152" w:type="dxa"/>
            <w:shd w:val="clear" w:color="auto" w:fill="auto"/>
          </w:tcPr>
          <w:p w14:paraId="127C5B93" w14:textId="77777777" w:rsidR="003244CE" w:rsidRPr="00A73A1E" w:rsidRDefault="003244CE" w:rsidP="009C40C0">
            <w:pPr>
              <w:pStyle w:val="Tabletext"/>
              <w:jc w:val="center"/>
              <w:rPr>
                <w:lang w:eastAsia="ja-JP"/>
              </w:rPr>
            </w:pPr>
            <w:r w:rsidRPr="00A73A1E">
              <w:rPr>
                <w:lang w:eastAsia="ja-JP"/>
              </w:rPr>
              <w:t>4.361</w:t>
            </w:r>
          </w:p>
        </w:tc>
      </w:tr>
      <w:tr w:rsidR="003244CE" w:rsidRPr="00A73A1E" w14:paraId="758F9DB7" w14:textId="77777777" w:rsidTr="009C40C0">
        <w:trPr>
          <w:jc w:val="center"/>
        </w:trPr>
        <w:tc>
          <w:tcPr>
            <w:tcW w:w="2023" w:type="dxa"/>
            <w:vMerge w:val="restart"/>
            <w:shd w:val="clear" w:color="auto" w:fill="auto"/>
            <w:vAlign w:val="center"/>
          </w:tcPr>
          <w:p w14:paraId="5A3140C2" w14:textId="77777777" w:rsidR="003244CE" w:rsidRPr="00A73A1E" w:rsidRDefault="003244CE" w:rsidP="009C40C0">
            <w:pPr>
              <w:pStyle w:val="Tabletext"/>
              <w:jc w:val="center"/>
              <w:rPr>
                <w:lang w:eastAsia="ja-JP"/>
              </w:rPr>
            </w:pPr>
            <w:r w:rsidRPr="00A73A1E">
              <w:rPr>
                <w:lang w:eastAsia="ja-JP"/>
              </w:rPr>
              <w:t>1 257.5</w:t>
            </w:r>
          </w:p>
        </w:tc>
        <w:tc>
          <w:tcPr>
            <w:tcW w:w="1440" w:type="dxa"/>
            <w:shd w:val="clear" w:color="auto" w:fill="auto"/>
          </w:tcPr>
          <w:p w14:paraId="2E8E2EF1" w14:textId="77777777" w:rsidR="003244CE" w:rsidRPr="00A73A1E" w:rsidRDefault="003244CE" w:rsidP="009C40C0">
            <w:pPr>
              <w:pStyle w:val="Tabletext"/>
              <w:jc w:val="center"/>
              <w:rPr>
                <w:lang w:eastAsia="ja-JP"/>
              </w:rPr>
            </w:pPr>
            <w:r w:rsidRPr="00A73A1E">
              <w:rPr>
                <w:lang w:eastAsia="ja-JP"/>
              </w:rPr>
              <w:t>1 050</w:t>
            </w:r>
          </w:p>
        </w:tc>
        <w:tc>
          <w:tcPr>
            <w:tcW w:w="1530" w:type="dxa"/>
            <w:shd w:val="clear" w:color="auto" w:fill="auto"/>
          </w:tcPr>
          <w:p w14:paraId="1FAB8C93" w14:textId="77777777" w:rsidR="003244CE" w:rsidRPr="00A73A1E" w:rsidRDefault="003244CE" w:rsidP="009C40C0">
            <w:pPr>
              <w:pStyle w:val="Tabletext"/>
              <w:jc w:val="center"/>
              <w:rPr>
                <w:lang w:eastAsia="ja-JP"/>
              </w:rPr>
            </w:pPr>
            <w:r w:rsidRPr="00A73A1E">
              <w:rPr>
                <w:lang w:eastAsia="ja-JP"/>
              </w:rPr>
              <w:t>66.67</w:t>
            </w:r>
          </w:p>
        </w:tc>
        <w:tc>
          <w:tcPr>
            <w:tcW w:w="2002" w:type="dxa"/>
            <w:shd w:val="clear" w:color="auto" w:fill="auto"/>
          </w:tcPr>
          <w:p w14:paraId="133C9FA6" w14:textId="77777777" w:rsidR="003244CE" w:rsidRPr="00A73A1E" w:rsidRDefault="003244CE" w:rsidP="009C40C0">
            <w:pPr>
              <w:pStyle w:val="Tabletext"/>
              <w:jc w:val="center"/>
              <w:rPr>
                <w:lang w:eastAsia="ja-JP"/>
              </w:rPr>
            </w:pPr>
            <w:r w:rsidRPr="00A73A1E">
              <w:rPr>
                <w:lang w:eastAsia="ja-JP"/>
              </w:rPr>
              <w:t>0</w:t>
            </w:r>
          </w:p>
        </w:tc>
        <w:tc>
          <w:tcPr>
            <w:tcW w:w="1584" w:type="dxa"/>
            <w:shd w:val="clear" w:color="auto" w:fill="auto"/>
          </w:tcPr>
          <w:p w14:paraId="17C55848" w14:textId="77777777" w:rsidR="003244CE" w:rsidRPr="00A73A1E" w:rsidRDefault="003244CE" w:rsidP="009C40C0">
            <w:pPr>
              <w:pStyle w:val="Tabletext"/>
              <w:jc w:val="center"/>
              <w:rPr>
                <w:lang w:eastAsia="ja-JP"/>
              </w:rPr>
            </w:pPr>
            <w:r w:rsidRPr="00A73A1E">
              <w:rPr>
                <w:lang w:eastAsia="ja-JP"/>
              </w:rPr>
              <w:t>0</w:t>
            </w:r>
          </w:p>
        </w:tc>
        <w:tc>
          <w:tcPr>
            <w:tcW w:w="1152" w:type="dxa"/>
            <w:shd w:val="clear" w:color="auto" w:fill="auto"/>
          </w:tcPr>
          <w:p w14:paraId="08D885BF" w14:textId="77777777" w:rsidR="003244CE" w:rsidRPr="00A73A1E" w:rsidRDefault="003244CE" w:rsidP="009C40C0">
            <w:pPr>
              <w:pStyle w:val="Tabletext"/>
              <w:jc w:val="center"/>
              <w:rPr>
                <w:lang w:eastAsia="ja-JP"/>
              </w:rPr>
            </w:pPr>
            <w:r w:rsidRPr="00A73A1E">
              <w:rPr>
                <w:lang w:eastAsia="ja-JP"/>
              </w:rPr>
              <w:t>0</w:t>
            </w:r>
          </w:p>
        </w:tc>
      </w:tr>
      <w:tr w:rsidR="003244CE" w:rsidRPr="00A73A1E" w14:paraId="215D0E53" w14:textId="77777777" w:rsidTr="009C40C0">
        <w:trPr>
          <w:jc w:val="center"/>
        </w:trPr>
        <w:tc>
          <w:tcPr>
            <w:tcW w:w="2023" w:type="dxa"/>
            <w:vMerge/>
            <w:shd w:val="clear" w:color="auto" w:fill="auto"/>
            <w:vAlign w:val="center"/>
          </w:tcPr>
          <w:p w14:paraId="21A27190" w14:textId="77777777" w:rsidR="003244CE" w:rsidRPr="00A73A1E" w:rsidRDefault="003244CE" w:rsidP="009C40C0">
            <w:pPr>
              <w:pStyle w:val="Tabletext"/>
              <w:jc w:val="center"/>
              <w:rPr>
                <w:lang w:eastAsia="ja-JP"/>
              </w:rPr>
            </w:pPr>
          </w:p>
        </w:tc>
        <w:tc>
          <w:tcPr>
            <w:tcW w:w="1440" w:type="dxa"/>
            <w:shd w:val="clear" w:color="auto" w:fill="auto"/>
          </w:tcPr>
          <w:p w14:paraId="6FEB735B" w14:textId="77777777" w:rsidR="003244CE" w:rsidRPr="00A73A1E" w:rsidRDefault="003244CE" w:rsidP="009C40C0">
            <w:pPr>
              <w:pStyle w:val="Tabletext"/>
              <w:jc w:val="center"/>
              <w:rPr>
                <w:lang w:eastAsia="ja-JP"/>
              </w:rPr>
            </w:pPr>
            <w:r w:rsidRPr="00A73A1E">
              <w:rPr>
                <w:lang w:eastAsia="ja-JP"/>
              </w:rPr>
              <w:t>1 860</w:t>
            </w:r>
          </w:p>
        </w:tc>
        <w:tc>
          <w:tcPr>
            <w:tcW w:w="1530" w:type="dxa"/>
            <w:shd w:val="clear" w:color="auto" w:fill="auto"/>
          </w:tcPr>
          <w:p w14:paraId="36B5664A" w14:textId="77777777" w:rsidR="003244CE" w:rsidRPr="00A73A1E" w:rsidRDefault="003244CE" w:rsidP="009C40C0">
            <w:pPr>
              <w:pStyle w:val="Tabletext"/>
              <w:jc w:val="center"/>
              <w:rPr>
                <w:lang w:eastAsia="ja-JP"/>
              </w:rPr>
            </w:pPr>
            <w:r w:rsidRPr="00A73A1E">
              <w:rPr>
                <w:lang w:eastAsia="ja-JP"/>
              </w:rPr>
              <w:t>37.63</w:t>
            </w:r>
          </w:p>
        </w:tc>
        <w:tc>
          <w:tcPr>
            <w:tcW w:w="2002" w:type="dxa"/>
            <w:shd w:val="clear" w:color="auto" w:fill="auto"/>
          </w:tcPr>
          <w:p w14:paraId="68220504" w14:textId="77777777" w:rsidR="003244CE" w:rsidRPr="00A73A1E" w:rsidRDefault="003244CE" w:rsidP="009C40C0">
            <w:pPr>
              <w:pStyle w:val="Tabletext"/>
              <w:jc w:val="center"/>
              <w:rPr>
                <w:lang w:eastAsia="ja-JP"/>
              </w:rPr>
            </w:pPr>
            <w:r w:rsidRPr="00A73A1E">
              <w:rPr>
                <w:lang w:eastAsia="ja-JP"/>
              </w:rPr>
              <w:t>0</w:t>
            </w:r>
          </w:p>
        </w:tc>
        <w:tc>
          <w:tcPr>
            <w:tcW w:w="1584" w:type="dxa"/>
            <w:shd w:val="clear" w:color="auto" w:fill="auto"/>
          </w:tcPr>
          <w:p w14:paraId="7C274603" w14:textId="77777777" w:rsidR="003244CE" w:rsidRPr="00A73A1E" w:rsidRDefault="003244CE" w:rsidP="009C40C0">
            <w:pPr>
              <w:pStyle w:val="Tabletext"/>
              <w:jc w:val="center"/>
              <w:rPr>
                <w:lang w:eastAsia="ja-JP"/>
              </w:rPr>
            </w:pPr>
            <w:r w:rsidRPr="00A73A1E">
              <w:rPr>
                <w:lang w:eastAsia="ja-JP"/>
              </w:rPr>
              <w:t>0</w:t>
            </w:r>
          </w:p>
        </w:tc>
        <w:tc>
          <w:tcPr>
            <w:tcW w:w="1152" w:type="dxa"/>
            <w:shd w:val="clear" w:color="auto" w:fill="auto"/>
          </w:tcPr>
          <w:p w14:paraId="09B5DFF2" w14:textId="77777777" w:rsidR="003244CE" w:rsidRPr="00A73A1E" w:rsidRDefault="003244CE" w:rsidP="009C40C0">
            <w:pPr>
              <w:pStyle w:val="Tabletext"/>
              <w:jc w:val="center"/>
              <w:rPr>
                <w:lang w:eastAsia="ja-JP"/>
              </w:rPr>
            </w:pPr>
            <w:r w:rsidRPr="00A73A1E">
              <w:rPr>
                <w:lang w:eastAsia="ja-JP"/>
              </w:rPr>
              <w:t>0</w:t>
            </w:r>
          </w:p>
        </w:tc>
      </w:tr>
      <w:tr w:rsidR="003244CE" w:rsidRPr="00A73A1E" w14:paraId="7C1F4127" w14:textId="77777777" w:rsidTr="009C40C0">
        <w:trPr>
          <w:jc w:val="center"/>
        </w:trPr>
        <w:tc>
          <w:tcPr>
            <w:tcW w:w="2023" w:type="dxa"/>
            <w:vMerge w:val="restart"/>
            <w:shd w:val="clear" w:color="auto" w:fill="auto"/>
            <w:vAlign w:val="center"/>
          </w:tcPr>
          <w:p w14:paraId="09FB3D9A" w14:textId="77777777" w:rsidR="003244CE" w:rsidRPr="00A73A1E" w:rsidRDefault="003244CE" w:rsidP="009C40C0">
            <w:pPr>
              <w:pStyle w:val="Tabletext"/>
              <w:jc w:val="center"/>
              <w:rPr>
                <w:lang w:eastAsia="ja-JP"/>
              </w:rPr>
            </w:pPr>
            <w:r w:rsidRPr="00A73A1E">
              <w:rPr>
                <w:lang w:eastAsia="ja-JP"/>
              </w:rPr>
              <w:t>1 278.5</w:t>
            </w:r>
          </w:p>
        </w:tc>
        <w:tc>
          <w:tcPr>
            <w:tcW w:w="1440" w:type="dxa"/>
            <w:shd w:val="clear" w:color="auto" w:fill="auto"/>
          </w:tcPr>
          <w:p w14:paraId="0677004F" w14:textId="77777777" w:rsidR="003244CE" w:rsidRPr="00A73A1E" w:rsidRDefault="003244CE" w:rsidP="009C40C0">
            <w:pPr>
              <w:pStyle w:val="Tabletext"/>
              <w:jc w:val="center"/>
              <w:rPr>
                <w:lang w:eastAsia="ja-JP"/>
              </w:rPr>
            </w:pPr>
            <w:r w:rsidRPr="00A73A1E">
              <w:rPr>
                <w:lang w:eastAsia="ja-JP"/>
              </w:rPr>
              <w:t>1 050</w:t>
            </w:r>
          </w:p>
        </w:tc>
        <w:tc>
          <w:tcPr>
            <w:tcW w:w="1530" w:type="dxa"/>
            <w:shd w:val="clear" w:color="auto" w:fill="auto"/>
          </w:tcPr>
          <w:p w14:paraId="1E53957E" w14:textId="77777777" w:rsidR="003244CE" w:rsidRPr="00A73A1E" w:rsidRDefault="003244CE" w:rsidP="009C40C0">
            <w:pPr>
              <w:pStyle w:val="Tabletext"/>
              <w:jc w:val="center"/>
              <w:rPr>
                <w:lang w:eastAsia="ja-JP"/>
              </w:rPr>
            </w:pPr>
            <w:r w:rsidRPr="00A73A1E">
              <w:rPr>
                <w:lang w:eastAsia="ja-JP"/>
              </w:rPr>
              <w:t>66.67</w:t>
            </w:r>
          </w:p>
        </w:tc>
        <w:tc>
          <w:tcPr>
            <w:tcW w:w="2002" w:type="dxa"/>
            <w:shd w:val="clear" w:color="auto" w:fill="auto"/>
          </w:tcPr>
          <w:p w14:paraId="079ABE7F" w14:textId="77777777" w:rsidR="003244CE" w:rsidRPr="00A73A1E" w:rsidRDefault="003244CE" w:rsidP="009C40C0">
            <w:pPr>
              <w:pStyle w:val="Tabletext"/>
              <w:jc w:val="center"/>
              <w:rPr>
                <w:lang w:eastAsia="ja-JP"/>
              </w:rPr>
            </w:pPr>
            <w:r w:rsidRPr="00A73A1E">
              <w:rPr>
                <w:lang w:eastAsia="ja-JP"/>
              </w:rPr>
              <w:t>0</w:t>
            </w:r>
          </w:p>
        </w:tc>
        <w:tc>
          <w:tcPr>
            <w:tcW w:w="1584" w:type="dxa"/>
            <w:shd w:val="clear" w:color="auto" w:fill="auto"/>
          </w:tcPr>
          <w:p w14:paraId="568AB8B2" w14:textId="77777777" w:rsidR="003244CE" w:rsidRPr="00A73A1E" w:rsidRDefault="003244CE" w:rsidP="009C40C0">
            <w:pPr>
              <w:pStyle w:val="Tabletext"/>
              <w:jc w:val="center"/>
              <w:rPr>
                <w:lang w:eastAsia="ja-JP"/>
              </w:rPr>
            </w:pPr>
            <w:r w:rsidRPr="00A73A1E">
              <w:rPr>
                <w:lang w:eastAsia="ja-JP"/>
              </w:rPr>
              <w:t>0</w:t>
            </w:r>
          </w:p>
        </w:tc>
        <w:tc>
          <w:tcPr>
            <w:tcW w:w="1152" w:type="dxa"/>
            <w:shd w:val="clear" w:color="auto" w:fill="auto"/>
          </w:tcPr>
          <w:p w14:paraId="22DC6519" w14:textId="77777777" w:rsidR="003244CE" w:rsidRPr="00A73A1E" w:rsidRDefault="003244CE" w:rsidP="009C40C0">
            <w:pPr>
              <w:pStyle w:val="Tabletext"/>
              <w:jc w:val="center"/>
              <w:rPr>
                <w:lang w:eastAsia="ja-JP"/>
              </w:rPr>
            </w:pPr>
            <w:r w:rsidRPr="00A73A1E">
              <w:rPr>
                <w:lang w:eastAsia="ja-JP"/>
              </w:rPr>
              <w:t>0</w:t>
            </w:r>
          </w:p>
        </w:tc>
      </w:tr>
      <w:tr w:rsidR="003244CE" w:rsidRPr="00A73A1E" w14:paraId="6C8D4CAB" w14:textId="77777777" w:rsidTr="009C40C0">
        <w:trPr>
          <w:jc w:val="center"/>
        </w:trPr>
        <w:tc>
          <w:tcPr>
            <w:tcW w:w="2023" w:type="dxa"/>
            <w:vMerge/>
            <w:shd w:val="clear" w:color="auto" w:fill="auto"/>
          </w:tcPr>
          <w:p w14:paraId="56136389" w14:textId="77777777" w:rsidR="003244CE" w:rsidRPr="00A73A1E" w:rsidRDefault="003244CE" w:rsidP="009C40C0">
            <w:pPr>
              <w:pStyle w:val="Tabletext"/>
              <w:jc w:val="center"/>
              <w:rPr>
                <w:lang w:eastAsia="ja-JP"/>
              </w:rPr>
            </w:pPr>
          </w:p>
        </w:tc>
        <w:tc>
          <w:tcPr>
            <w:tcW w:w="1440" w:type="dxa"/>
            <w:shd w:val="clear" w:color="auto" w:fill="auto"/>
          </w:tcPr>
          <w:p w14:paraId="40DE6E0A" w14:textId="77777777" w:rsidR="003244CE" w:rsidRPr="00A73A1E" w:rsidRDefault="003244CE" w:rsidP="009C40C0">
            <w:pPr>
              <w:pStyle w:val="Tabletext"/>
              <w:jc w:val="center"/>
              <w:rPr>
                <w:lang w:eastAsia="ja-JP"/>
              </w:rPr>
            </w:pPr>
            <w:r w:rsidRPr="00A73A1E">
              <w:rPr>
                <w:lang w:eastAsia="ja-JP"/>
              </w:rPr>
              <w:t>1 860</w:t>
            </w:r>
          </w:p>
        </w:tc>
        <w:tc>
          <w:tcPr>
            <w:tcW w:w="1530" w:type="dxa"/>
            <w:shd w:val="clear" w:color="auto" w:fill="auto"/>
          </w:tcPr>
          <w:p w14:paraId="3030455C" w14:textId="77777777" w:rsidR="003244CE" w:rsidRPr="00A73A1E" w:rsidRDefault="003244CE" w:rsidP="009C40C0">
            <w:pPr>
              <w:pStyle w:val="Tabletext"/>
              <w:jc w:val="center"/>
              <w:rPr>
                <w:lang w:eastAsia="ja-JP"/>
              </w:rPr>
            </w:pPr>
            <w:r w:rsidRPr="00A73A1E">
              <w:rPr>
                <w:lang w:eastAsia="ja-JP"/>
              </w:rPr>
              <w:t>37.63</w:t>
            </w:r>
          </w:p>
        </w:tc>
        <w:tc>
          <w:tcPr>
            <w:tcW w:w="2002" w:type="dxa"/>
            <w:shd w:val="clear" w:color="auto" w:fill="auto"/>
          </w:tcPr>
          <w:p w14:paraId="46E19816" w14:textId="77777777" w:rsidR="003244CE" w:rsidRPr="00A73A1E" w:rsidRDefault="003244CE" w:rsidP="009C40C0">
            <w:pPr>
              <w:pStyle w:val="Tabletext"/>
              <w:jc w:val="center"/>
              <w:rPr>
                <w:lang w:eastAsia="ja-JP"/>
              </w:rPr>
            </w:pPr>
            <w:r w:rsidRPr="00A73A1E">
              <w:rPr>
                <w:lang w:eastAsia="ja-JP"/>
              </w:rPr>
              <w:t>0</w:t>
            </w:r>
          </w:p>
        </w:tc>
        <w:tc>
          <w:tcPr>
            <w:tcW w:w="1584" w:type="dxa"/>
            <w:shd w:val="clear" w:color="auto" w:fill="auto"/>
          </w:tcPr>
          <w:p w14:paraId="579470A3" w14:textId="77777777" w:rsidR="003244CE" w:rsidRPr="00A73A1E" w:rsidRDefault="003244CE" w:rsidP="009C40C0">
            <w:pPr>
              <w:pStyle w:val="Tabletext"/>
              <w:jc w:val="center"/>
              <w:rPr>
                <w:lang w:eastAsia="ja-JP"/>
              </w:rPr>
            </w:pPr>
            <w:r w:rsidRPr="00A73A1E">
              <w:rPr>
                <w:lang w:eastAsia="ja-JP"/>
              </w:rPr>
              <w:t>0</w:t>
            </w:r>
          </w:p>
        </w:tc>
        <w:tc>
          <w:tcPr>
            <w:tcW w:w="1152" w:type="dxa"/>
            <w:shd w:val="clear" w:color="auto" w:fill="auto"/>
          </w:tcPr>
          <w:p w14:paraId="74B20596" w14:textId="77777777" w:rsidR="003244CE" w:rsidRPr="00A73A1E" w:rsidRDefault="003244CE" w:rsidP="009C40C0">
            <w:pPr>
              <w:pStyle w:val="Tabletext"/>
              <w:jc w:val="center"/>
              <w:rPr>
                <w:lang w:eastAsia="ja-JP"/>
              </w:rPr>
            </w:pPr>
            <w:r w:rsidRPr="00A73A1E">
              <w:rPr>
                <w:lang w:eastAsia="ja-JP"/>
              </w:rPr>
              <w:t>0</w:t>
            </w:r>
          </w:p>
        </w:tc>
      </w:tr>
    </w:tbl>
    <w:p w14:paraId="03C31BA9" w14:textId="77777777" w:rsidR="003244CE" w:rsidRPr="00A73A1E" w:rsidRDefault="003244CE" w:rsidP="003244CE">
      <w:pPr>
        <w:pStyle w:val="Tablefin"/>
      </w:pPr>
    </w:p>
    <w:p w14:paraId="6F08C648" w14:textId="77777777" w:rsidR="003244CE" w:rsidRPr="00A73A1E" w:rsidRDefault="003244CE" w:rsidP="003244CE">
      <w:pPr>
        <w:pStyle w:val="TableNo"/>
      </w:pPr>
      <w:r w:rsidRPr="00A73A1E">
        <w:t xml:space="preserve">TABLE </w:t>
      </w:r>
      <w:r>
        <w:t>14</w:t>
      </w:r>
    </w:p>
    <w:p w14:paraId="3EABB895" w14:textId="4C23DE3E" w:rsidR="003244CE" w:rsidRPr="00A73A1E" w:rsidRDefault="003244CE" w:rsidP="003244CE">
      <w:pPr>
        <w:pStyle w:val="Tabletitle"/>
      </w:pPr>
      <w:r w:rsidRPr="00A73A1E">
        <w:t xml:space="preserve">SBAS ground reference receiver effective received pulse width and </w:t>
      </w:r>
      <w:r w:rsidR="002C7DA3">
        <w:br/>
      </w:r>
      <w:r w:rsidRPr="00A73A1E">
        <w:t>PDC for 28 MHz chirp width</w:t>
      </w: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440"/>
        <w:gridCol w:w="1530"/>
        <w:gridCol w:w="2002"/>
        <w:gridCol w:w="1584"/>
        <w:gridCol w:w="1152"/>
      </w:tblGrid>
      <w:tr w:rsidR="003244CE" w:rsidRPr="00A73A1E" w14:paraId="408F883C" w14:textId="77777777" w:rsidTr="009C40C0">
        <w:trPr>
          <w:jc w:val="center"/>
        </w:trPr>
        <w:tc>
          <w:tcPr>
            <w:tcW w:w="2023" w:type="dxa"/>
            <w:shd w:val="clear" w:color="auto" w:fill="auto"/>
          </w:tcPr>
          <w:p w14:paraId="5CD512DB" w14:textId="77777777" w:rsidR="003244CE" w:rsidRPr="00A73A1E" w:rsidRDefault="003244CE" w:rsidP="009C40C0">
            <w:pPr>
              <w:pStyle w:val="Tablehead"/>
              <w:rPr>
                <w:lang w:eastAsia="ja-JP"/>
              </w:rPr>
            </w:pPr>
            <w:r w:rsidRPr="00A73A1E">
              <w:rPr>
                <w:lang w:eastAsia="ja-JP"/>
              </w:rPr>
              <w:t>Centre freq</w:t>
            </w:r>
            <w:r>
              <w:rPr>
                <w:lang w:eastAsia="ja-JP"/>
              </w:rPr>
              <w:t>uency</w:t>
            </w:r>
            <w:r w:rsidRPr="00A73A1E">
              <w:rPr>
                <w:lang w:eastAsia="ja-JP"/>
              </w:rPr>
              <w:t xml:space="preserve"> </w:t>
            </w:r>
            <w:r w:rsidRPr="00A73A1E">
              <w:rPr>
                <w:lang w:eastAsia="ja-JP"/>
              </w:rPr>
              <w:br/>
              <w:t>(MHz)</w:t>
            </w:r>
          </w:p>
        </w:tc>
        <w:tc>
          <w:tcPr>
            <w:tcW w:w="1440" w:type="dxa"/>
            <w:shd w:val="clear" w:color="auto" w:fill="auto"/>
          </w:tcPr>
          <w:p w14:paraId="75413685" w14:textId="77777777" w:rsidR="003244CE" w:rsidRPr="00A73A1E" w:rsidRDefault="003244CE" w:rsidP="009C40C0">
            <w:pPr>
              <w:pStyle w:val="Tablehead"/>
              <w:rPr>
                <w:lang w:eastAsia="ja-JP"/>
              </w:rPr>
            </w:pPr>
            <w:r w:rsidRPr="00A73A1E">
              <w:rPr>
                <w:lang w:eastAsia="ja-JP"/>
              </w:rPr>
              <w:t xml:space="preserve">Tx PRF </w:t>
            </w:r>
            <w:r w:rsidRPr="00A73A1E">
              <w:rPr>
                <w:lang w:eastAsia="ja-JP"/>
              </w:rPr>
              <w:br/>
              <w:t>(Hz)</w:t>
            </w:r>
          </w:p>
        </w:tc>
        <w:tc>
          <w:tcPr>
            <w:tcW w:w="1530" w:type="dxa"/>
            <w:shd w:val="clear" w:color="auto" w:fill="auto"/>
          </w:tcPr>
          <w:p w14:paraId="61D579C9" w14:textId="77777777" w:rsidR="003244CE" w:rsidRPr="00A73A1E" w:rsidRDefault="003244CE" w:rsidP="009C40C0">
            <w:pPr>
              <w:pStyle w:val="Tablehead"/>
              <w:rPr>
                <w:lang w:eastAsia="ja-JP"/>
              </w:rPr>
            </w:pPr>
            <w:r w:rsidRPr="00A73A1E">
              <w:rPr>
                <w:lang w:eastAsia="ja-JP"/>
              </w:rPr>
              <w:t xml:space="preserve">Tx PW </w:t>
            </w:r>
            <w:r w:rsidRPr="00A73A1E">
              <w:rPr>
                <w:lang w:eastAsia="ja-JP"/>
              </w:rPr>
              <w:br/>
              <w:t>(µs)</w:t>
            </w:r>
          </w:p>
        </w:tc>
        <w:tc>
          <w:tcPr>
            <w:tcW w:w="2002" w:type="dxa"/>
            <w:shd w:val="clear" w:color="auto" w:fill="auto"/>
          </w:tcPr>
          <w:p w14:paraId="55ADFC65" w14:textId="77777777" w:rsidR="003244CE" w:rsidRPr="00A73A1E" w:rsidRDefault="003244CE" w:rsidP="009C40C0">
            <w:pPr>
              <w:pStyle w:val="Tablehead"/>
              <w:rPr>
                <w:lang w:eastAsia="ja-JP"/>
              </w:rPr>
            </w:pPr>
            <w:r w:rsidRPr="00A73A1E">
              <w:rPr>
                <w:lang w:eastAsia="ja-JP"/>
              </w:rPr>
              <w:t>BW overlap ratio</w:t>
            </w:r>
          </w:p>
        </w:tc>
        <w:tc>
          <w:tcPr>
            <w:tcW w:w="1584" w:type="dxa"/>
            <w:shd w:val="clear" w:color="auto" w:fill="auto"/>
          </w:tcPr>
          <w:p w14:paraId="0EB88982" w14:textId="77777777" w:rsidR="003244CE" w:rsidRPr="00A73A1E" w:rsidRDefault="003244CE" w:rsidP="009C40C0">
            <w:pPr>
              <w:pStyle w:val="Tablehead"/>
              <w:rPr>
                <w:lang w:eastAsia="ja-JP"/>
              </w:rPr>
            </w:pPr>
            <w:r w:rsidRPr="00A73A1E">
              <w:rPr>
                <w:lang w:eastAsia="ja-JP"/>
              </w:rPr>
              <w:t xml:space="preserve">Eff. PW </w:t>
            </w:r>
            <w:r w:rsidRPr="00A73A1E">
              <w:rPr>
                <w:lang w:eastAsia="ja-JP"/>
              </w:rPr>
              <w:br/>
              <w:t>(µs)</w:t>
            </w:r>
          </w:p>
        </w:tc>
        <w:tc>
          <w:tcPr>
            <w:tcW w:w="1152" w:type="dxa"/>
            <w:shd w:val="clear" w:color="auto" w:fill="auto"/>
          </w:tcPr>
          <w:p w14:paraId="587FF965" w14:textId="77777777" w:rsidR="003244CE" w:rsidRPr="00A73A1E" w:rsidRDefault="003244CE" w:rsidP="009C40C0">
            <w:pPr>
              <w:pStyle w:val="Tablehead"/>
              <w:rPr>
                <w:lang w:eastAsia="ja-JP"/>
              </w:rPr>
            </w:pPr>
            <w:r w:rsidRPr="00A73A1E">
              <w:rPr>
                <w:lang w:eastAsia="ja-JP"/>
              </w:rPr>
              <w:t xml:space="preserve">PDC </w:t>
            </w:r>
            <w:r w:rsidRPr="00A73A1E">
              <w:rPr>
                <w:lang w:eastAsia="ja-JP"/>
              </w:rPr>
              <w:br/>
              <w:t>(%)</w:t>
            </w:r>
          </w:p>
        </w:tc>
      </w:tr>
      <w:tr w:rsidR="003244CE" w:rsidRPr="00A73A1E" w14:paraId="4D4B2143" w14:textId="77777777" w:rsidTr="009C40C0">
        <w:trPr>
          <w:jc w:val="center"/>
        </w:trPr>
        <w:tc>
          <w:tcPr>
            <w:tcW w:w="2023" w:type="dxa"/>
            <w:vMerge w:val="restart"/>
            <w:shd w:val="clear" w:color="auto" w:fill="auto"/>
            <w:vAlign w:val="center"/>
          </w:tcPr>
          <w:p w14:paraId="5D6A38E4" w14:textId="77777777" w:rsidR="003244CE" w:rsidRPr="00A73A1E" w:rsidRDefault="003244CE" w:rsidP="009C40C0">
            <w:pPr>
              <w:pStyle w:val="Tabletext"/>
              <w:jc w:val="center"/>
              <w:rPr>
                <w:lang w:eastAsia="ja-JP"/>
              </w:rPr>
            </w:pPr>
            <w:r w:rsidRPr="00A73A1E">
              <w:rPr>
                <w:lang w:eastAsia="ja-JP"/>
              </w:rPr>
              <w:t>1 236.5</w:t>
            </w:r>
          </w:p>
        </w:tc>
        <w:tc>
          <w:tcPr>
            <w:tcW w:w="1440" w:type="dxa"/>
            <w:shd w:val="clear" w:color="auto" w:fill="auto"/>
          </w:tcPr>
          <w:p w14:paraId="4F156D87" w14:textId="77777777" w:rsidR="003244CE" w:rsidRPr="00A73A1E" w:rsidRDefault="003244CE" w:rsidP="009C40C0">
            <w:pPr>
              <w:pStyle w:val="Tabletext"/>
              <w:jc w:val="center"/>
              <w:rPr>
                <w:lang w:eastAsia="ja-JP"/>
              </w:rPr>
            </w:pPr>
            <w:r w:rsidRPr="00A73A1E">
              <w:rPr>
                <w:lang w:eastAsia="ja-JP"/>
              </w:rPr>
              <w:t>1 050</w:t>
            </w:r>
          </w:p>
        </w:tc>
        <w:tc>
          <w:tcPr>
            <w:tcW w:w="1530" w:type="dxa"/>
            <w:shd w:val="clear" w:color="auto" w:fill="auto"/>
          </w:tcPr>
          <w:p w14:paraId="0417A0B3" w14:textId="77777777" w:rsidR="003244CE" w:rsidRPr="00A73A1E" w:rsidRDefault="003244CE" w:rsidP="009C40C0">
            <w:pPr>
              <w:pStyle w:val="Tabletext"/>
              <w:jc w:val="center"/>
              <w:rPr>
                <w:lang w:eastAsia="ja-JP"/>
              </w:rPr>
            </w:pPr>
            <w:r w:rsidRPr="00A73A1E">
              <w:rPr>
                <w:lang w:eastAsia="ja-JP"/>
              </w:rPr>
              <w:t>66.67</w:t>
            </w:r>
          </w:p>
        </w:tc>
        <w:tc>
          <w:tcPr>
            <w:tcW w:w="2002" w:type="dxa"/>
            <w:shd w:val="clear" w:color="auto" w:fill="auto"/>
          </w:tcPr>
          <w:p w14:paraId="197C9F8A" w14:textId="77777777" w:rsidR="003244CE" w:rsidRPr="00A73A1E" w:rsidRDefault="003244CE" w:rsidP="009C40C0">
            <w:pPr>
              <w:pStyle w:val="Tabletext"/>
              <w:jc w:val="center"/>
              <w:rPr>
                <w:lang w:eastAsia="ja-JP"/>
              </w:rPr>
            </w:pPr>
            <w:r w:rsidRPr="00A73A1E">
              <w:rPr>
                <w:lang w:eastAsia="ja-JP"/>
              </w:rPr>
              <w:t>0.5482</w:t>
            </w:r>
          </w:p>
        </w:tc>
        <w:tc>
          <w:tcPr>
            <w:tcW w:w="1584" w:type="dxa"/>
            <w:shd w:val="clear" w:color="auto" w:fill="auto"/>
          </w:tcPr>
          <w:p w14:paraId="5D012090" w14:textId="77777777" w:rsidR="003244CE" w:rsidRPr="00A73A1E" w:rsidRDefault="003244CE" w:rsidP="009C40C0">
            <w:pPr>
              <w:pStyle w:val="Tabletext"/>
              <w:jc w:val="center"/>
              <w:rPr>
                <w:lang w:eastAsia="ja-JP"/>
              </w:rPr>
            </w:pPr>
            <w:r w:rsidRPr="00A73A1E">
              <w:rPr>
                <w:lang w:eastAsia="ja-JP"/>
              </w:rPr>
              <w:t>36.548</w:t>
            </w:r>
          </w:p>
        </w:tc>
        <w:tc>
          <w:tcPr>
            <w:tcW w:w="1152" w:type="dxa"/>
            <w:shd w:val="clear" w:color="auto" w:fill="auto"/>
          </w:tcPr>
          <w:p w14:paraId="0F4B0D55" w14:textId="77777777" w:rsidR="003244CE" w:rsidRPr="00A73A1E" w:rsidRDefault="003244CE" w:rsidP="009C40C0">
            <w:pPr>
              <w:pStyle w:val="Tabletext"/>
              <w:jc w:val="center"/>
              <w:rPr>
                <w:lang w:eastAsia="ja-JP"/>
              </w:rPr>
            </w:pPr>
            <w:r w:rsidRPr="00A73A1E">
              <w:rPr>
                <w:lang w:eastAsia="ja-JP"/>
              </w:rPr>
              <w:t>3.942</w:t>
            </w:r>
          </w:p>
        </w:tc>
      </w:tr>
      <w:tr w:rsidR="003244CE" w:rsidRPr="00A73A1E" w14:paraId="78C0B32C" w14:textId="77777777" w:rsidTr="009C40C0">
        <w:trPr>
          <w:jc w:val="center"/>
        </w:trPr>
        <w:tc>
          <w:tcPr>
            <w:tcW w:w="2023" w:type="dxa"/>
            <w:vMerge/>
            <w:shd w:val="clear" w:color="auto" w:fill="auto"/>
            <w:vAlign w:val="center"/>
          </w:tcPr>
          <w:p w14:paraId="5647E7B2" w14:textId="77777777" w:rsidR="003244CE" w:rsidRPr="00A73A1E" w:rsidRDefault="003244CE" w:rsidP="009C40C0">
            <w:pPr>
              <w:pStyle w:val="Tabletext"/>
              <w:jc w:val="center"/>
              <w:rPr>
                <w:lang w:eastAsia="ja-JP"/>
              </w:rPr>
            </w:pPr>
          </w:p>
        </w:tc>
        <w:tc>
          <w:tcPr>
            <w:tcW w:w="1440" w:type="dxa"/>
            <w:shd w:val="clear" w:color="auto" w:fill="auto"/>
          </w:tcPr>
          <w:p w14:paraId="1F908822" w14:textId="77777777" w:rsidR="003244CE" w:rsidRPr="00A73A1E" w:rsidRDefault="003244CE" w:rsidP="009C40C0">
            <w:pPr>
              <w:pStyle w:val="Tabletext"/>
              <w:jc w:val="center"/>
              <w:rPr>
                <w:lang w:eastAsia="ja-JP"/>
              </w:rPr>
            </w:pPr>
            <w:r w:rsidRPr="00A73A1E">
              <w:rPr>
                <w:lang w:eastAsia="ja-JP"/>
              </w:rPr>
              <w:t>1 860</w:t>
            </w:r>
          </w:p>
        </w:tc>
        <w:tc>
          <w:tcPr>
            <w:tcW w:w="1530" w:type="dxa"/>
            <w:shd w:val="clear" w:color="auto" w:fill="auto"/>
          </w:tcPr>
          <w:p w14:paraId="06C34C7C" w14:textId="77777777" w:rsidR="003244CE" w:rsidRPr="00A73A1E" w:rsidRDefault="003244CE" w:rsidP="009C40C0">
            <w:pPr>
              <w:pStyle w:val="Tabletext"/>
              <w:jc w:val="center"/>
              <w:rPr>
                <w:lang w:eastAsia="ja-JP"/>
              </w:rPr>
            </w:pPr>
            <w:r w:rsidRPr="00A73A1E">
              <w:rPr>
                <w:lang w:eastAsia="ja-JP"/>
              </w:rPr>
              <w:t>37.63</w:t>
            </w:r>
          </w:p>
        </w:tc>
        <w:tc>
          <w:tcPr>
            <w:tcW w:w="2002" w:type="dxa"/>
            <w:shd w:val="clear" w:color="auto" w:fill="auto"/>
          </w:tcPr>
          <w:p w14:paraId="0D59D325" w14:textId="77777777" w:rsidR="003244CE" w:rsidRPr="00A73A1E" w:rsidRDefault="003244CE" w:rsidP="009C40C0">
            <w:pPr>
              <w:pStyle w:val="Tabletext"/>
              <w:jc w:val="center"/>
              <w:rPr>
                <w:lang w:eastAsia="ja-JP"/>
              </w:rPr>
            </w:pPr>
            <w:r w:rsidRPr="00A73A1E">
              <w:rPr>
                <w:lang w:eastAsia="ja-JP"/>
              </w:rPr>
              <w:t>0.5482</w:t>
            </w:r>
          </w:p>
        </w:tc>
        <w:tc>
          <w:tcPr>
            <w:tcW w:w="1584" w:type="dxa"/>
            <w:shd w:val="clear" w:color="auto" w:fill="auto"/>
          </w:tcPr>
          <w:p w14:paraId="4A05D85B" w14:textId="77777777" w:rsidR="003244CE" w:rsidRPr="00A73A1E" w:rsidRDefault="003244CE" w:rsidP="009C40C0">
            <w:pPr>
              <w:pStyle w:val="Tabletext"/>
              <w:jc w:val="center"/>
              <w:rPr>
                <w:lang w:eastAsia="ja-JP"/>
              </w:rPr>
            </w:pPr>
            <w:r w:rsidRPr="00A73A1E">
              <w:rPr>
                <w:lang w:eastAsia="ja-JP"/>
              </w:rPr>
              <w:t>20.632</w:t>
            </w:r>
          </w:p>
        </w:tc>
        <w:tc>
          <w:tcPr>
            <w:tcW w:w="1152" w:type="dxa"/>
            <w:shd w:val="clear" w:color="auto" w:fill="auto"/>
          </w:tcPr>
          <w:p w14:paraId="5D49F173" w14:textId="77777777" w:rsidR="003244CE" w:rsidRPr="00A73A1E" w:rsidRDefault="003244CE" w:rsidP="009C40C0">
            <w:pPr>
              <w:pStyle w:val="Tabletext"/>
              <w:jc w:val="center"/>
              <w:rPr>
                <w:lang w:eastAsia="ja-JP"/>
              </w:rPr>
            </w:pPr>
            <w:r w:rsidRPr="00A73A1E">
              <w:rPr>
                <w:lang w:eastAsia="ja-JP"/>
              </w:rPr>
              <w:t>4.023</w:t>
            </w:r>
          </w:p>
        </w:tc>
      </w:tr>
      <w:tr w:rsidR="003244CE" w:rsidRPr="00A73A1E" w14:paraId="5AB9DB93" w14:textId="77777777" w:rsidTr="009C40C0">
        <w:trPr>
          <w:jc w:val="center"/>
        </w:trPr>
        <w:tc>
          <w:tcPr>
            <w:tcW w:w="2023" w:type="dxa"/>
            <w:vMerge w:val="restart"/>
            <w:shd w:val="clear" w:color="auto" w:fill="auto"/>
            <w:vAlign w:val="center"/>
          </w:tcPr>
          <w:p w14:paraId="13A69C7E" w14:textId="77777777" w:rsidR="003244CE" w:rsidRPr="00A73A1E" w:rsidRDefault="003244CE" w:rsidP="009C40C0">
            <w:pPr>
              <w:pStyle w:val="Tabletext"/>
              <w:jc w:val="center"/>
              <w:rPr>
                <w:lang w:eastAsia="ja-JP"/>
              </w:rPr>
            </w:pPr>
            <w:r w:rsidRPr="00A73A1E">
              <w:rPr>
                <w:lang w:eastAsia="ja-JP"/>
              </w:rPr>
              <w:t>1 257.5</w:t>
            </w:r>
          </w:p>
        </w:tc>
        <w:tc>
          <w:tcPr>
            <w:tcW w:w="1440" w:type="dxa"/>
            <w:shd w:val="clear" w:color="auto" w:fill="auto"/>
          </w:tcPr>
          <w:p w14:paraId="79CE4AD6" w14:textId="77777777" w:rsidR="003244CE" w:rsidRPr="00A73A1E" w:rsidRDefault="003244CE" w:rsidP="009C40C0">
            <w:pPr>
              <w:pStyle w:val="Tabletext"/>
              <w:jc w:val="center"/>
              <w:rPr>
                <w:lang w:eastAsia="ja-JP"/>
              </w:rPr>
            </w:pPr>
            <w:r w:rsidRPr="00A73A1E">
              <w:rPr>
                <w:lang w:eastAsia="ja-JP"/>
              </w:rPr>
              <w:t>1 050</w:t>
            </w:r>
          </w:p>
        </w:tc>
        <w:tc>
          <w:tcPr>
            <w:tcW w:w="1530" w:type="dxa"/>
            <w:shd w:val="clear" w:color="auto" w:fill="auto"/>
          </w:tcPr>
          <w:p w14:paraId="7A19F55D" w14:textId="77777777" w:rsidR="003244CE" w:rsidRPr="00A73A1E" w:rsidRDefault="003244CE" w:rsidP="009C40C0">
            <w:pPr>
              <w:pStyle w:val="Tabletext"/>
              <w:jc w:val="center"/>
              <w:rPr>
                <w:lang w:eastAsia="ja-JP"/>
              </w:rPr>
            </w:pPr>
            <w:r w:rsidRPr="00A73A1E">
              <w:rPr>
                <w:lang w:eastAsia="ja-JP"/>
              </w:rPr>
              <w:t>66.67</w:t>
            </w:r>
          </w:p>
        </w:tc>
        <w:tc>
          <w:tcPr>
            <w:tcW w:w="2002" w:type="dxa"/>
            <w:shd w:val="clear" w:color="auto" w:fill="auto"/>
          </w:tcPr>
          <w:p w14:paraId="50E6FA47" w14:textId="77777777" w:rsidR="003244CE" w:rsidRPr="00A73A1E" w:rsidRDefault="003244CE" w:rsidP="009C40C0">
            <w:pPr>
              <w:pStyle w:val="Tabletext"/>
              <w:jc w:val="center"/>
              <w:rPr>
                <w:lang w:eastAsia="ja-JP"/>
              </w:rPr>
            </w:pPr>
            <w:r w:rsidRPr="00A73A1E">
              <w:rPr>
                <w:lang w:eastAsia="ja-JP"/>
              </w:rPr>
              <w:t>0</w:t>
            </w:r>
          </w:p>
        </w:tc>
        <w:tc>
          <w:tcPr>
            <w:tcW w:w="1584" w:type="dxa"/>
            <w:shd w:val="clear" w:color="auto" w:fill="auto"/>
          </w:tcPr>
          <w:p w14:paraId="481C5B9F" w14:textId="77777777" w:rsidR="003244CE" w:rsidRPr="00A73A1E" w:rsidRDefault="003244CE" w:rsidP="009C40C0">
            <w:pPr>
              <w:pStyle w:val="Tabletext"/>
              <w:jc w:val="center"/>
              <w:rPr>
                <w:lang w:eastAsia="ja-JP"/>
              </w:rPr>
            </w:pPr>
            <w:r w:rsidRPr="00A73A1E">
              <w:rPr>
                <w:lang w:eastAsia="ja-JP"/>
              </w:rPr>
              <w:t>0</w:t>
            </w:r>
          </w:p>
        </w:tc>
        <w:tc>
          <w:tcPr>
            <w:tcW w:w="1152" w:type="dxa"/>
            <w:shd w:val="clear" w:color="auto" w:fill="auto"/>
          </w:tcPr>
          <w:p w14:paraId="02F3B6D6" w14:textId="77777777" w:rsidR="003244CE" w:rsidRPr="00A73A1E" w:rsidRDefault="003244CE" w:rsidP="009C40C0">
            <w:pPr>
              <w:pStyle w:val="Tabletext"/>
              <w:jc w:val="center"/>
              <w:rPr>
                <w:lang w:eastAsia="ja-JP"/>
              </w:rPr>
            </w:pPr>
            <w:r w:rsidRPr="00A73A1E">
              <w:rPr>
                <w:lang w:eastAsia="ja-JP"/>
              </w:rPr>
              <w:t>0</w:t>
            </w:r>
          </w:p>
        </w:tc>
      </w:tr>
      <w:tr w:rsidR="003244CE" w:rsidRPr="00A73A1E" w14:paraId="18442937" w14:textId="77777777" w:rsidTr="009C40C0">
        <w:trPr>
          <w:jc w:val="center"/>
        </w:trPr>
        <w:tc>
          <w:tcPr>
            <w:tcW w:w="2023" w:type="dxa"/>
            <w:vMerge/>
            <w:shd w:val="clear" w:color="auto" w:fill="auto"/>
            <w:vAlign w:val="center"/>
          </w:tcPr>
          <w:p w14:paraId="27297A36" w14:textId="77777777" w:rsidR="003244CE" w:rsidRPr="00A73A1E" w:rsidRDefault="003244CE" w:rsidP="009C40C0">
            <w:pPr>
              <w:pStyle w:val="Tabletext"/>
              <w:jc w:val="center"/>
              <w:rPr>
                <w:lang w:eastAsia="ja-JP"/>
              </w:rPr>
            </w:pPr>
          </w:p>
        </w:tc>
        <w:tc>
          <w:tcPr>
            <w:tcW w:w="1440" w:type="dxa"/>
            <w:shd w:val="clear" w:color="auto" w:fill="auto"/>
          </w:tcPr>
          <w:p w14:paraId="7D4231FF" w14:textId="77777777" w:rsidR="003244CE" w:rsidRPr="00A73A1E" w:rsidRDefault="003244CE" w:rsidP="009C40C0">
            <w:pPr>
              <w:pStyle w:val="Tabletext"/>
              <w:jc w:val="center"/>
              <w:rPr>
                <w:lang w:eastAsia="ja-JP"/>
              </w:rPr>
            </w:pPr>
            <w:r w:rsidRPr="00A73A1E">
              <w:rPr>
                <w:lang w:eastAsia="ja-JP"/>
              </w:rPr>
              <w:t>1 860</w:t>
            </w:r>
          </w:p>
        </w:tc>
        <w:tc>
          <w:tcPr>
            <w:tcW w:w="1530" w:type="dxa"/>
            <w:shd w:val="clear" w:color="auto" w:fill="auto"/>
          </w:tcPr>
          <w:p w14:paraId="6F84EF4E" w14:textId="77777777" w:rsidR="003244CE" w:rsidRPr="00A73A1E" w:rsidRDefault="003244CE" w:rsidP="009C40C0">
            <w:pPr>
              <w:pStyle w:val="Tabletext"/>
              <w:jc w:val="center"/>
              <w:rPr>
                <w:lang w:eastAsia="ja-JP"/>
              </w:rPr>
            </w:pPr>
            <w:r w:rsidRPr="00A73A1E">
              <w:rPr>
                <w:lang w:eastAsia="ja-JP"/>
              </w:rPr>
              <w:t>37.63</w:t>
            </w:r>
          </w:p>
        </w:tc>
        <w:tc>
          <w:tcPr>
            <w:tcW w:w="2002" w:type="dxa"/>
            <w:shd w:val="clear" w:color="auto" w:fill="auto"/>
          </w:tcPr>
          <w:p w14:paraId="59DD8449" w14:textId="77777777" w:rsidR="003244CE" w:rsidRPr="00A73A1E" w:rsidRDefault="003244CE" w:rsidP="009C40C0">
            <w:pPr>
              <w:pStyle w:val="Tabletext"/>
              <w:jc w:val="center"/>
              <w:rPr>
                <w:lang w:eastAsia="ja-JP"/>
              </w:rPr>
            </w:pPr>
            <w:r w:rsidRPr="00A73A1E">
              <w:rPr>
                <w:lang w:eastAsia="ja-JP"/>
              </w:rPr>
              <w:t>0</w:t>
            </w:r>
          </w:p>
        </w:tc>
        <w:tc>
          <w:tcPr>
            <w:tcW w:w="1584" w:type="dxa"/>
            <w:shd w:val="clear" w:color="auto" w:fill="auto"/>
          </w:tcPr>
          <w:p w14:paraId="2228D597" w14:textId="77777777" w:rsidR="003244CE" w:rsidRPr="00A73A1E" w:rsidRDefault="003244CE" w:rsidP="009C40C0">
            <w:pPr>
              <w:pStyle w:val="Tabletext"/>
              <w:jc w:val="center"/>
              <w:rPr>
                <w:lang w:eastAsia="ja-JP"/>
              </w:rPr>
            </w:pPr>
            <w:r w:rsidRPr="00A73A1E">
              <w:rPr>
                <w:lang w:eastAsia="ja-JP"/>
              </w:rPr>
              <w:t>0</w:t>
            </w:r>
          </w:p>
        </w:tc>
        <w:tc>
          <w:tcPr>
            <w:tcW w:w="1152" w:type="dxa"/>
            <w:shd w:val="clear" w:color="auto" w:fill="auto"/>
          </w:tcPr>
          <w:p w14:paraId="1396B901" w14:textId="77777777" w:rsidR="003244CE" w:rsidRPr="00A73A1E" w:rsidRDefault="003244CE" w:rsidP="009C40C0">
            <w:pPr>
              <w:pStyle w:val="Tabletext"/>
              <w:jc w:val="center"/>
              <w:rPr>
                <w:lang w:eastAsia="ja-JP"/>
              </w:rPr>
            </w:pPr>
            <w:r w:rsidRPr="00A73A1E">
              <w:rPr>
                <w:lang w:eastAsia="ja-JP"/>
              </w:rPr>
              <w:t>0</w:t>
            </w:r>
          </w:p>
        </w:tc>
      </w:tr>
      <w:tr w:rsidR="003244CE" w:rsidRPr="00A73A1E" w14:paraId="682782F9" w14:textId="77777777" w:rsidTr="009C40C0">
        <w:trPr>
          <w:jc w:val="center"/>
        </w:trPr>
        <w:tc>
          <w:tcPr>
            <w:tcW w:w="2023" w:type="dxa"/>
            <w:vMerge w:val="restart"/>
            <w:shd w:val="clear" w:color="auto" w:fill="auto"/>
            <w:vAlign w:val="center"/>
          </w:tcPr>
          <w:p w14:paraId="09EDF242" w14:textId="77777777" w:rsidR="003244CE" w:rsidRPr="00A73A1E" w:rsidRDefault="003244CE" w:rsidP="009C40C0">
            <w:pPr>
              <w:pStyle w:val="Tabletext"/>
              <w:jc w:val="center"/>
              <w:rPr>
                <w:lang w:eastAsia="ja-JP"/>
              </w:rPr>
            </w:pPr>
            <w:r w:rsidRPr="00A73A1E">
              <w:rPr>
                <w:lang w:eastAsia="ja-JP"/>
              </w:rPr>
              <w:t>1 278.5</w:t>
            </w:r>
          </w:p>
        </w:tc>
        <w:tc>
          <w:tcPr>
            <w:tcW w:w="1440" w:type="dxa"/>
            <w:shd w:val="clear" w:color="auto" w:fill="auto"/>
          </w:tcPr>
          <w:p w14:paraId="08738833" w14:textId="77777777" w:rsidR="003244CE" w:rsidRPr="00A73A1E" w:rsidRDefault="003244CE" w:rsidP="009C40C0">
            <w:pPr>
              <w:pStyle w:val="Tabletext"/>
              <w:jc w:val="center"/>
              <w:rPr>
                <w:lang w:eastAsia="ja-JP"/>
              </w:rPr>
            </w:pPr>
            <w:r w:rsidRPr="00A73A1E">
              <w:rPr>
                <w:lang w:eastAsia="ja-JP"/>
              </w:rPr>
              <w:t>1 050</w:t>
            </w:r>
          </w:p>
        </w:tc>
        <w:tc>
          <w:tcPr>
            <w:tcW w:w="1530" w:type="dxa"/>
            <w:shd w:val="clear" w:color="auto" w:fill="auto"/>
          </w:tcPr>
          <w:p w14:paraId="533CC52C" w14:textId="77777777" w:rsidR="003244CE" w:rsidRPr="00A73A1E" w:rsidRDefault="003244CE" w:rsidP="009C40C0">
            <w:pPr>
              <w:pStyle w:val="Tabletext"/>
              <w:jc w:val="center"/>
              <w:rPr>
                <w:lang w:eastAsia="ja-JP"/>
              </w:rPr>
            </w:pPr>
            <w:r w:rsidRPr="00A73A1E">
              <w:rPr>
                <w:lang w:eastAsia="ja-JP"/>
              </w:rPr>
              <w:t>66.67</w:t>
            </w:r>
          </w:p>
        </w:tc>
        <w:tc>
          <w:tcPr>
            <w:tcW w:w="2002" w:type="dxa"/>
            <w:shd w:val="clear" w:color="auto" w:fill="auto"/>
          </w:tcPr>
          <w:p w14:paraId="5D650F1C" w14:textId="77777777" w:rsidR="003244CE" w:rsidRPr="00A73A1E" w:rsidRDefault="003244CE" w:rsidP="009C40C0">
            <w:pPr>
              <w:pStyle w:val="Tabletext"/>
              <w:jc w:val="center"/>
              <w:rPr>
                <w:lang w:eastAsia="ja-JP"/>
              </w:rPr>
            </w:pPr>
            <w:r w:rsidRPr="00A73A1E">
              <w:rPr>
                <w:lang w:eastAsia="ja-JP"/>
              </w:rPr>
              <w:t>0</w:t>
            </w:r>
          </w:p>
        </w:tc>
        <w:tc>
          <w:tcPr>
            <w:tcW w:w="1584" w:type="dxa"/>
            <w:shd w:val="clear" w:color="auto" w:fill="auto"/>
          </w:tcPr>
          <w:p w14:paraId="0901951E" w14:textId="77777777" w:rsidR="003244CE" w:rsidRPr="00A73A1E" w:rsidRDefault="003244CE" w:rsidP="009C40C0">
            <w:pPr>
              <w:pStyle w:val="Tabletext"/>
              <w:jc w:val="center"/>
              <w:rPr>
                <w:lang w:eastAsia="ja-JP"/>
              </w:rPr>
            </w:pPr>
            <w:r w:rsidRPr="00A73A1E">
              <w:rPr>
                <w:lang w:eastAsia="ja-JP"/>
              </w:rPr>
              <w:t>0</w:t>
            </w:r>
          </w:p>
        </w:tc>
        <w:tc>
          <w:tcPr>
            <w:tcW w:w="1152" w:type="dxa"/>
            <w:shd w:val="clear" w:color="auto" w:fill="auto"/>
          </w:tcPr>
          <w:p w14:paraId="1CC2619D" w14:textId="77777777" w:rsidR="003244CE" w:rsidRPr="00A73A1E" w:rsidRDefault="003244CE" w:rsidP="009C40C0">
            <w:pPr>
              <w:pStyle w:val="Tabletext"/>
              <w:jc w:val="center"/>
              <w:rPr>
                <w:lang w:eastAsia="ja-JP"/>
              </w:rPr>
            </w:pPr>
            <w:r w:rsidRPr="00A73A1E">
              <w:rPr>
                <w:lang w:eastAsia="ja-JP"/>
              </w:rPr>
              <w:t>0</w:t>
            </w:r>
          </w:p>
        </w:tc>
      </w:tr>
      <w:tr w:rsidR="003244CE" w:rsidRPr="00A73A1E" w14:paraId="2BEFA142" w14:textId="77777777" w:rsidTr="009C40C0">
        <w:trPr>
          <w:jc w:val="center"/>
        </w:trPr>
        <w:tc>
          <w:tcPr>
            <w:tcW w:w="2023" w:type="dxa"/>
            <w:vMerge/>
            <w:shd w:val="clear" w:color="auto" w:fill="auto"/>
          </w:tcPr>
          <w:p w14:paraId="4ED87A79" w14:textId="77777777" w:rsidR="003244CE" w:rsidRPr="00A73A1E" w:rsidRDefault="003244CE" w:rsidP="009C40C0">
            <w:pPr>
              <w:pStyle w:val="Tabletext"/>
              <w:jc w:val="center"/>
              <w:rPr>
                <w:lang w:eastAsia="ja-JP"/>
              </w:rPr>
            </w:pPr>
          </w:p>
        </w:tc>
        <w:tc>
          <w:tcPr>
            <w:tcW w:w="1440" w:type="dxa"/>
            <w:shd w:val="clear" w:color="auto" w:fill="auto"/>
          </w:tcPr>
          <w:p w14:paraId="61DF6300" w14:textId="77777777" w:rsidR="003244CE" w:rsidRPr="00A73A1E" w:rsidRDefault="003244CE" w:rsidP="009C40C0">
            <w:pPr>
              <w:pStyle w:val="Tabletext"/>
              <w:jc w:val="center"/>
              <w:rPr>
                <w:lang w:eastAsia="ja-JP"/>
              </w:rPr>
            </w:pPr>
            <w:r w:rsidRPr="00A73A1E">
              <w:rPr>
                <w:lang w:eastAsia="ja-JP"/>
              </w:rPr>
              <w:t>1 860</w:t>
            </w:r>
          </w:p>
        </w:tc>
        <w:tc>
          <w:tcPr>
            <w:tcW w:w="1530" w:type="dxa"/>
            <w:shd w:val="clear" w:color="auto" w:fill="auto"/>
          </w:tcPr>
          <w:p w14:paraId="51E5D82E" w14:textId="77777777" w:rsidR="003244CE" w:rsidRPr="00A73A1E" w:rsidRDefault="003244CE" w:rsidP="009C40C0">
            <w:pPr>
              <w:pStyle w:val="Tabletext"/>
              <w:jc w:val="center"/>
              <w:rPr>
                <w:lang w:eastAsia="ja-JP"/>
              </w:rPr>
            </w:pPr>
            <w:r w:rsidRPr="00A73A1E">
              <w:rPr>
                <w:lang w:eastAsia="ja-JP"/>
              </w:rPr>
              <w:t>37.63</w:t>
            </w:r>
          </w:p>
        </w:tc>
        <w:tc>
          <w:tcPr>
            <w:tcW w:w="2002" w:type="dxa"/>
            <w:shd w:val="clear" w:color="auto" w:fill="auto"/>
          </w:tcPr>
          <w:p w14:paraId="79A34D1A" w14:textId="77777777" w:rsidR="003244CE" w:rsidRPr="00A73A1E" w:rsidRDefault="003244CE" w:rsidP="009C40C0">
            <w:pPr>
              <w:pStyle w:val="Tabletext"/>
              <w:jc w:val="center"/>
              <w:rPr>
                <w:lang w:eastAsia="ja-JP"/>
              </w:rPr>
            </w:pPr>
            <w:r w:rsidRPr="00A73A1E">
              <w:rPr>
                <w:lang w:eastAsia="ja-JP"/>
              </w:rPr>
              <w:t>0</w:t>
            </w:r>
          </w:p>
        </w:tc>
        <w:tc>
          <w:tcPr>
            <w:tcW w:w="1584" w:type="dxa"/>
            <w:shd w:val="clear" w:color="auto" w:fill="auto"/>
          </w:tcPr>
          <w:p w14:paraId="08D1C9F9" w14:textId="77777777" w:rsidR="003244CE" w:rsidRPr="00A73A1E" w:rsidRDefault="003244CE" w:rsidP="009C40C0">
            <w:pPr>
              <w:pStyle w:val="Tabletext"/>
              <w:jc w:val="center"/>
              <w:rPr>
                <w:lang w:eastAsia="ja-JP"/>
              </w:rPr>
            </w:pPr>
            <w:r w:rsidRPr="00A73A1E">
              <w:rPr>
                <w:lang w:eastAsia="ja-JP"/>
              </w:rPr>
              <w:t>0</w:t>
            </w:r>
          </w:p>
        </w:tc>
        <w:tc>
          <w:tcPr>
            <w:tcW w:w="1152" w:type="dxa"/>
            <w:shd w:val="clear" w:color="auto" w:fill="auto"/>
          </w:tcPr>
          <w:p w14:paraId="733DFBBE" w14:textId="77777777" w:rsidR="003244CE" w:rsidRPr="00A73A1E" w:rsidRDefault="003244CE" w:rsidP="009C40C0">
            <w:pPr>
              <w:pStyle w:val="Tabletext"/>
              <w:jc w:val="center"/>
              <w:rPr>
                <w:lang w:eastAsia="ja-JP"/>
              </w:rPr>
            </w:pPr>
            <w:r w:rsidRPr="00A73A1E">
              <w:rPr>
                <w:lang w:eastAsia="ja-JP"/>
              </w:rPr>
              <w:t>0</w:t>
            </w:r>
          </w:p>
        </w:tc>
      </w:tr>
    </w:tbl>
    <w:p w14:paraId="230A36EC" w14:textId="77777777" w:rsidR="003244CE" w:rsidRPr="00A73A1E" w:rsidRDefault="003244CE" w:rsidP="003244CE">
      <w:pPr>
        <w:pStyle w:val="Tablefin"/>
      </w:pPr>
    </w:p>
    <w:p w14:paraId="59E9BC52" w14:textId="77777777" w:rsidR="003244CE" w:rsidRPr="00A73A1E" w:rsidRDefault="003244CE" w:rsidP="003244CE">
      <w:pPr>
        <w:pStyle w:val="Heading3"/>
      </w:pPr>
      <w:r w:rsidRPr="00A73A1E">
        <w:lastRenderedPageBreak/>
        <w:t>3.1.2</w:t>
      </w:r>
      <w:r w:rsidRPr="00A73A1E">
        <w:tab/>
        <w:t>SBAS ground reference receiver pulsed RFI degradation computation</w:t>
      </w:r>
    </w:p>
    <w:p w14:paraId="76EA85A7" w14:textId="77777777" w:rsidR="003244CE" w:rsidRPr="00A73A1E" w:rsidRDefault="003244CE" w:rsidP="003244CE">
      <w:pPr>
        <w:rPr>
          <w:lang w:eastAsia="ja-JP"/>
        </w:rPr>
      </w:pPr>
      <w:r w:rsidRPr="00A73A1E">
        <w:rPr>
          <w:lang w:eastAsia="ja-JP"/>
        </w:rPr>
        <w:t>The pulsed RFI degradation ratio for the SBAS receiver is computed from the PDC values in Tables </w:t>
      </w:r>
      <w:r>
        <w:rPr>
          <w:lang w:eastAsia="ja-JP"/>
        </w:rPr>
        <w:t>13</w:t>
      </w:r>
      <w:r w:rsidRPr="00A73A1E">
        <w:rPr>
          <w:lang w:eastAsia="ja-JP"/>
        </w:rPr>
        <w:t xml:space="preserve"> and </w:t>
      </w:r>
      <w:r>
        <w:rPr>
          <w:lang w:eastAsia="ja-JP"/>
        </w:rPr>
        <w:t>14</w:t>
      </w:r>
      <w:r w:rsidRPr="00A73A1E">
        <w:rPr>
          <w:lang w:eastAsia="ja-JP"/>
        </w:rPr>
        <w:t xml:space="preserve"> by using equation (</w:t>
      </w:r>
      <w:r>
        <w:rPr>
          <w:lang w:eastAsia="ja-JP"/>
        </w:rPr>
        <w:t>8</w:t>
      </w:r>
      <w:r w:rsidRPr="00A73A1E">
        <w:rPr>
          <w:lang w:eastAsia="ja-JP"/>
        </w:rPr>
        <w:t>)</w:t>
      </w:r>
      <w:r w:rsidRPr="00A73A1E">
        <w:rPr>
          <w:position w:val="6"/>
          <w:sz w:val="18"/>
          <w:szCs w:val="24"/>
          <w:lang w:eastAsia="ja-JP"/>
        </w:rPr>
        <w:footnoteReference w:id="16"/>
      </w:r>
      <w:r w:rsidRPr="00A73A1E">
        <w:rPr>
          <w:lang w:eastAsia="ja-JP"/>
        </w:rPr>
        <w:t xml:space="preserve">. The computation result is to be compared with an allowable degradation ratio limit (in dB) from Table </w:t>
      </w:r>
      <w:r w:rsidRPr="00A73A1E">
        <w:t>9</w:t>
      </w:r>
      <w:r w:rsidRPr="00A73A1E">
        <w:rPr>
          <w:lang w:eastAsia="ja-JP"/>
        </w:rPr>
        <w:t>. Using equation (</w:t>
      </w:r>
      <w:r>
        <w:rPr>
          <w:lang w:eastAsia="ja-JP"/>
        </w:rPr>
        <w:t>8</w:t>
      </w:r>
      <w:r w:rsidRPr="00A73A1E">
        <w:rPr>
          <w:lang w:eastAsia="ja-JP"/>
        </w:rPr>
        <w:t xml:space="preserve">) in logarithmic form for the largest PDC value (0.04361) for 14 MHz chirp centred at 1 236.5 MHz from Table </w:t>
      </w:r>
      <w:r>
        <w:rPr>
          <w:lang w:eastAsia="ja-JP"/>
        </w:rPr>
        <w:t>13</w:t>
      </w:r>
      <w:r w:rsidRPr="00A73A1E">
        <w:rPr>
          <w:lang w:eastAsia="ja-JP"/>
        </w:rPr>
        <w:t>, the degradation ratio in dB is 10 log (</w:t>
      </w:r>
      <w:r w:rsidRPr="00A73A1E">
        <w:rPr>
          <w:i/>
          <w:iCs/>
          <w:lang w:eastAsia="ja-JP"/>
        </w:rPr>
        <w:t>N</w:t>
      </w:r>
      <w:proofErr w:type="gramStart"/>
      <w:r w:rsidRPr="00A73A1E">
        <w:rPr>
          <w:vertAlign w:val="subscript"/>
          <w:lang w:eastAsia="ja-JP"/>
        </w:rPr>
        <w:t>0,</w:t>
      </w:r>
      <w:r w:rsidRPr="00A73A1E">
        <w:rPr>
          <w:i/>
          <w:iCs/>
          <w:vertAlign w:val="subscript"/>
          <w:lang w:eastAsia="ja-JP"/>
        </w:rPr>
        <w:t>EFF</w:t>
      </w:r>
      <w:proofErr w:type="gramEnd"/>
      <w:r w:rsidRPr="00A73A1E">
        <w:rPr>
          <w:vertAlign w:val="subscript"/>
          <w:lang w:eastAsia="ja-JP"/>
        </w:rPr>
        <w:t>+</w:t>
      </w:r>
      <w:r w:rsidRPr="00A73A1E">
        <w:rPr>
          <w:i/>
          <w:iCs/>
          <w:vertAlign w:val="subscript"/>
          <w:lang w:eastAsia="ja-JP"/>
        </w:rPr>
        <w:t>Y</w:t>
      </w:r>
      <w:r w:rsidRPr="00A73A1E">
        <w:rPr>
          <w:lang w:eastAsia="ja-JP"/>
        </w:rPr>
        <w:t>/</w:t>
      </w:r>
      <w:r w:rsidRPr="00A73A1E">
        <w:rPr>
          <w:i/>
          <w:iCs/>
          <w:lang w:eastAsia="ja-JP"/>
        </w:rPr>
        <w:t>N</w:t>
      </w:r>
      <w:r w:rsidRPr="00A73A1E">
        <w:rPr>
          <w:vertAlign w:val="subscript"/>
          <w:lang w:eastAsia="ja-JP"/>
        </w:rPr>
        <w:t>0,</w:t>
      </w:r>
      <w:r w:rsidRPr="00A73A1E">
        <w:rPr>
          <w:i/>
          <w:iCs/>
          <w:vertAlign w:val="subscript"/>
          <w:lang w:eastAsia="ja-JP"/>
        </w:rPr>
        <w:t>EFF</w:t>
      </w:r>
      <w:r w:rsidRPr="00A73A1E">
        <w:rPr>
          <w:lang w:eastAsia="ja-JP"/>
        </w:rPr>
        <w:t xml:space="preserve">) = </w:t>
      </w:r>
      <w:r w:rsidRPr="00A73A1E">
        <w:rPr>
          <w:lang w:eastAsia="ja-JP"/>
        </w:rPr>
        <w:noBreakHyphen/>
        <w:t>20log(1</w:t>
      </w:r>
      <w:r w:rsidRPr="00A73A1E">
        <w:rPr>
          <w:lang w:eastAsia="ja-JP"/>
        </w:rPr>
        <w:noBreakHyphen/>
        <w:t>PDC) = 0.387</w:t>
      </w:r>
      <w:r w:rsidRPr="00A73A1E">
        <w:rPr>
          <w:vertAlign w:val="subscript"/>
          <w:lang w:eastAsia="ja-JP"/>
        </w:rPr>
        <w:t xml:space="preserve"> </w:t>
      </w:r>
      <w:proofErr w:type="spellStart"/>
      <w:r w:rsidRPr="00A73A1E">
        <w:rPr>
          <w:lang w:eastAsia="ja-JP"/>
        </w:rPr>
        <w:t>dB.</w:t>
      </w:r>
      <w:proofErr w:type="spellEnd"/>
      <w:r w:rsidRPr="00A73A1E">
        <w:rPr>
          <w:lang w:eastAsia="ja-JP"/>
        </w:rPr>
        <w:t xml:space="preserve"> Similarly, the smallest PDC (0.03942) for 28 MHz chirp produces a 0.349 dB degradation ratio. Since both these results exceed the allowable degradation ratio limit of 0.2 dB, the preliminary evaluation shows SAR5 defined waveforms with 14 or 28 MHz chirp width at the 1 236.5 MHz centre frequency exceed the allowable interference criteria for the SBAS ground reference receiver. Therefore, </w:t>
      </w:r>
      <w:r w:rsidRPr="00A73A1E">
        <w:t xml:space="preserve">a more detailed analysis should be performed. </w:t>
      </w:r>
      <w:r w:rsidRPr="00A73A1E">
        <w:rPr>
          <w:lang w:eastAsia="ja-JP"/>
        </w:rPr>
        <w:t>However, the preliminary analysis shows SAR5 defined waveforms at the higher two centre frequencies do not interfere since they do not overlap the SBAS receiver passband.</w:t>
      </w:r>
    </w:p>
    <w:p w14:paraId="1E165F24" w14:textId="77777777" w:rsidR="003244CE" w:rsidRPr="00A73A1E" w:rsidRDefault="003244CE" w:rsidP="003244CE">
      <w:pPr>
        <w:pStyle w:val="Heading2"/>
      </w:pPr>
      <w:bookmarkStart w:id="38" w:name="_Toc102659327"/>
      <w:bookmarkStart w:id="39" w:name="_Toc102659477"/>
      <w:r w:rsidRPr="00A73A1E">
        <w:t>3.2</w:t>
      </w:r>
      <w:r w:rsidRPr="00A73A1E">
        <w:tab/>
        <w:t>GLONASS receiver pulsed RFI evaluation cases</w:t>
      </w:r>
      <w:bookmarkEnd w:id="38"/>
      <w:bookmarkEnd w:id="39"/>
    </w:p>
    <w:p w14:paraId="5B4CAB23" w14:textId="77777777" w:rsidR="003244CE" w:rsidRPr="00A73A1E" w:rsidRDefault="003244CE" w:rsidP="003244CE">
      <w:pPr>
        <w:rPr>
          <w:lang w:eastAsia="ja-JP"/>
        </w:rPr>
      </w:pPr>
      <w:r w:rsidRPr="00A73A1E">
        <w:rPr>
          <w:lang w:eastAsia="ja-JP"/>
        </w:rPr>
        <w:t>In this example</w:t>
      </w:r>
      <w:r>
        <w:rPr>
          <w:lang w:eastAsia="ja-JP"/>
        </w:rPr>
        <w:t>,</w:t>
      </w:r>
      <w:r w:rsidRPr="00A73A1E">
        <w:rPr>
          <w:lang w:eastAsia="ja-JP"/>
        </w:rPr>
        <w:t xml:space="preserve"> a single EESS SAR5 active sensor illuminates one GLONASS receiver. Normally a dynamic link analysis would be done to find the actual time profile of peak received SAR5 power. The dynamic analysis would involve orbital simulation together with the satellite radiated power pattern and the RNSS receiver receive antenna pattern. For this simpler example, however</w:t>
      </w:r>
      <w:r>
        <w:rPr>
          <w:lang w:eastAsia="ja-JP"/>
        </w:rPr>
        <w:t>,</w:t>
      </w:r>
      <w:r w:rsidRPr="00A73A1E">
        <w:rPr>
          <w:lang w:eastAsia="ja-JP"/>
        </w:rPr>
        <w:t xml:space="preserve"> it is assumed that for a certain nominal time period (at least a few minutes), the received SAR5 peak power is sufficiently above the GLONASS receiver input saturation level so that the GLONASS receiver is saturated during the pulse duration. With that basis, the analytic method in Annex 1</w:t>
      </w:r>
      <w:r>
        <w:rPr>
          <w:lang w:eastAsia="ja-JP"/>
        </w:rPr>
        <w:t>,</w:t>
      </w:r>
      <w:r w:rsidRPr="00A73A1E">
        <w:rPr>
          <w:lang w:eastAsia="ja-JP"/>
        </w:rPr>
        <w:t xml:space="preserve"> </w:t>
      </w:r>
      <w:r>
        <w:rPr>
          <w:lang w:eastAsia="ja-JP"/>
        </w:rPr>
        <w:t>§</w:t>
      </w:r>
      <w:r w:rsidRPr="00A73A1E">
        <w:rPr>
          <w:lang w:eastAsia="ja-JP"/>
        </w:rPr>
        <w:t> 4.2 can be applied to find the GLONASS receiver pulsed RFI degradation.</w:t>
      </w:r>
    </w:p>
    <w:p w14:paraId="274E4D5C" w14:textId="77777777" w:rsidR="003244CE" w:rsidRPr="00A73A1E" w:rsidRDefault="003244CE" w:rsidP="003244CE">
      <w:pPr>
        <w:pStyle w:val="Heading3"/>
      </w:pPr>
      <w:r w:rsidRPr="00A73A1E">
        <w:t>3.2.1</w:t>
      </w:r>
      <w:r w:rsidRPr="00A73A1E">
        <w:tab/>
        <w:t xml:space="preserve">Computation of the received effective pulsed RFI duty cycle parameter, </w:t>
      </w:r>
      <w:r w:rsidRPr="00A73A1E">
        <w:rPr>
          <w:i/>
        </w:rPr>
        <w:t>PDC</w:t>
      </w:r>
      <w:r w:rsidRPr="00A73A1E">
        <w:rPr>
          <w:i/>
          <w:vertAlign w:val="subscript"/>
        </w:rPr>
        <w:t>LIM</w:t>
      </w:r>
      <w:r w:rsidRPr="00A73A1E">
        <w:t xml:space="preserve"> </w:t>
      </w:r>
    </w:p>
    <w:p w14:paraId="01FA8EA1" w14:textId="77777777" w:rsidR="003244CE" w:rsidRPr="00A73A1E" w:rsidRDefault="003244CE" w:rsidP="003244CE">
      <w:pPr>
        <w:rPr>
          <w:szCs w:val="24"/>
          <w:lang w:eastAsia="ja-JP"/>
        </w:rPr>
      </w:pPr>
      <w:r w:rsidRPr="00A73A1E">
        <w:rPr>
          <w:szCs w:val="24"/>
          <w:lang w:eastAsia="ja-JP"/>
        </w:rPr>
        <w:t>As it was said in Annex 1</w:t>
      </w:r>
      <w:r>
        <w:rPr>
          <w:szCs w:val="24"/>
          <w:lang w:eastAsia="ja-JP"/>
        </w:rPr>
        <w:t>,</w:t>
      </w:r>
      <w:r w:rsidRPr="00A73A1E">
        <w:rPr>
          <w:szCs w:val="24"/>
          <w:lang w:eastAsia="ja-JP"/>
        </w:rPr>
        <w:t xml:space="preserve"> </w:t>
      </w:r>
      <w:r>
        <w:rPr>
          <w:szCs w:val="24"/>
          <w:lang w:eastAsia="ja-JP"/>
        </w:rPr>
        <w:t>§ </w:t>
      </w:r>
      <w:r w:rsidRPr="00A73A1E">
        <w:rPr>
          <w:szCs w:val="24"/>
          <w:lang w:eastAsia="ja-JP"/>
        </w:rPr>
        <w:t xml:space="preserve">4.2.2, </w:t>
      </w:r>
      <w:r w:rsidRPr="00A73A1E">
        <w:t xml:space="preserve">the estimation results depend on the pre-correlator filter bandwidth of RNSS receiver. Report </w:t>
      </w:r>
      <w:hyperlink r:id="rId70" w:history="1">
        <w:r w:rsidRPr="00A73A1E">
          <w:rPr>
            <w:rFonts w:eastAsia="Calibri" w:cs="Arial"/>
            <w:szCs w:val="22"/>
            <w:lang w:eastAsia="zh-CN"/>
          </w:rPr>
          <w:t>ITU-R M.2220</w:t>
        </w:r>
      </w:hyperlink>
      <w:r w:rsidRPr="00A73A1E">
        <w:t xml:space="preserve"> does not indicate the RNSS receiver bandwidth associated with the necessary attenuation level for the pre-correlator filter that should be used to calculate the overlap bandwidth factor (</w:t>
      </w:r>
      <w:r w:rsidRPr="00A73A1E">
        <w:rPr>
          <w:iCs/>
        </w:rPr>
        <w:sym w:font="Symbol" w:char="F044"/>
      </w:r>
      <w:r w:rsidRPr="00A73A1E">
        <w:rPr>
          <w:i/>
        </w:rPr>
        <w:t>f/</w:t>
      </w:r>
      <w:proofErr w:type="spellStart"/>
      <w:r w:rsidRPr="00A73A1E">
        <w:rPr>
          <w:i/>
        </w:rPr>
        <w:t>Chirpwidth</w:t>
      </w:r>
      <w:proofErr w:type="spellEnd"/>
      <w:r w:rsidRPr="00A73A1E">
        <w:t xml:space="preserve">). This level depends on technical implementation of RNSS receivers. Because this information is lacking, a worst-case assumption may be used for GLONASS air navigation receivers in Table 9. </w:t>
      </w:r>
      <w:r w:rsidRPr="00A73A1E">
        <w:rPr>
          <w:szCs w:val="24"/>
        </w:rPr>
        <w:t xml:space="preserve">However, the increase of the estimation of interference from spaceborne active sensors resulting from the use of a unity overlap bandwidth factor should be taken into account when evaluating the results of the more detailed analysis. </w:t>
      </w:r>
      <w:r w:rsidRPr="00A73A1E">
        <w:rPr>
          <w:szCs w:val="24"/>
          <w:lang w:eastAsia="ja-JP"/>
        </w:rPr>
        <w:t xml:space="preserve">Taking into account these circumstances, </w:t>
      </w:r>
      <w:r w:rsidRPr="00A73A1E">
        <w:t xml:space="preserve">the following formula is used to define the </w:t>
      </w:r>
      <w:r w:rsidRPr="00A73A1E">
        <w:rPr>
          <w:lang w:eastAsia="ja-JP"/>
        </w:rPr>
        <w:t xml:space="preserve">worst-case </w:t>
      </w:r>
      <w:r w:rsidRPr="00A73A1E">
        <w:t>pulse duty cycle for GLONASS system</w:t>
      </w:r>
      <w:r w:rsidRPr="00A73A1E">
        <w:rPr>
          <w:lang w:eastAsia="ja-JP"/>
        </w:rPr>
        <w:t xml:space="preserve"> with respect to the pulsed interference from SAR signals</w:t>
      </w:r>
      <w:r w:rsidRPr="00A73A1E">
        <w:t>:</w:t>
      </w:r>
    </w:p>
    <w:p w14:paraId="043E5F8E" w14:textId="77777777" w:rsidR="003244CE" w:rsidRPr="00A73A1E" w:rsidRDefault="003244CE" w:rsidP="003244CE">
      <w:pPr>
        <w:pStyle w:val="Equation"/>
      </w:pPr>
      <w:r w:rsidRPr="00A73A1E">
        <w:rPr>
          <w:sz w:val="26"/>
          <w:szCs w:val="26"/>
        </w:rPr>
        <w:tab/>
      </w:r>
      <w:r w:rsidRPr="00A73A1E">
        <w:rPr>
          <w:sz w:val="26"/>
          <w:szCs w:val="26"/>
        </w:rPr>
        <w:tab/>
        <w:t xml:space="preserve">PDC = </w:t>
      </w:r>
      <w:r w:rsidRPr="00A73A1E">
        <w:t>(SAR pulse width + RNSS recovery time) * SAR pulse repetition frequency.</w:t>
      </w:r>
    </w:p>
    <w:p w14:paraId="67E46C61" w14:textId="77777777" w:rsidR="003244CE" w:rsidRPr="00A73A1E" w:rsidRDefault="003244CE" w:rsidP="003244CE">
      <w:r w:rsidRPr="00A73A1E">
        <w:rPr>
          <w:lang w:eastAsia="ja-JP"/>
        </w:rPr>
        <w:t>Values of the SAR5 pulse width and SAR5 pulse repetition frequency are presented in Table</w:t>
      </w:r>
      <w:r>
        <w:rPr>
          <w:lang w:eastAsia="ja-JP"/>
        </w:rPr>
        <w:t xml:space="preserve"> </w:t>
      </w:r>
      <w:r w:rsidRPr="00A73A1E">
        <w:rPr>
          <w:lang w:eastAsia="ja-JP"/>
        </w:rPr>
        <w:t>1. There are GLONASS receivers with 1 </w:t>
      </w:r>
      <w:r w:rsidRPr="00A73A1E">
        <w:t xml:space="preserve">µs as well as 30 µs of </w:t>
      </w:r>
      <w:r w:rsidRPr="00A73A1E">
        <w:rPr>
          <w:lang w:eastAsia="ja-JP"/>
        </w:rPr>
        <w:t xml:space="preserve">overload recovery time operating at the moment. Thus, both of these cases are presented in this example. The results of </w:t>
      </w:r>
      <w:r w:rsidRPr="00A73A1E">
        <w:t xml:space="preserve">computation of the received PDC for the GLONASS receiver are presented in Table </w:t>
      </w:r>
      <w:r>
        <w:t>15</w:t>
      </w:r>
      <w:r w:rsidRPr="00A73A1E">
        <w:t>.</w:t>
      </w:r>
    </w:p>
    <w:p w14:paraId="411EB300" w14:textId="77777777" w:rsidR="003244CE" w:rsidRPr="00A73A1E" w:rsidRDefault="003244CE" w:rsidP="003244CE">
      <w:pPr>
        <w:pStyle w:val="TableNo"/>
      </w:pPr>
      <w:r w:rsidRPr="00A73A1E">
        <w:lastRenderedPageBreak/>
        <w:t xml:space="preserve">TABLE </w:t>
      </w:r>
      <w:r>
        <w:t>15</w:t>
      </w:r>
    </w:p>
    <w:p w14:paraId="51C5D586" w14:textId="77777777" w:rsidR="003244CE" w:rsidRPr="00A73A1E" w:rsidRDefault="003244CE" w:rsidP="003244CE">
      <w:pPr>
        <w:pStyle w:val="Tabletitle"/>
      </w:pPr>
      <w:r w:rsidRPr="00A73A1E">
        <w:t>GLONASS receiver PDC calculation results</w:t>
      </w:r>
    </w:p>
    <w:tbl>
      <w:tblPr>
        <w:tblW w:w="6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63"/>
        <w:gridCol w:w="1447"/>
        <w:gridCol w:w="1478"/>
      </w:tblGrid>
      <w:tr w:rsidR="003244CE" w:rsidRPr="00A73A1E" w14:paraId="177B892E" w14:textId="77777777" w:rsidTr="007E359E">
        <w:trPr>
          <w:jc w:val="center"/>
        </w:trPr>
        <w:tc>
          <w:tcPr>
            <w:tcW w:w="2278" w:type="dxa"/>
            <w:shd w:val="clear" w:color="auto" w:fill="auto"/>
            <w:vAlign w:val="center"/>
          </w:tcPr>
          <w:p w14:paraId="2D9D5D4F" w14:textId="5BBAD23B" w:rsidR="003244CE" w:rsidRPr="00A73A1E" w:rsidRDefault="003244CE" w:rsidP="009C40C0">
            <w:pPr>
              <w:pStyle w:val="Tablehead"/>
              <w:rPr>
                <w:szCs w:val="22"/>
                <w:lang w:eastAsia="ja-JP"/>
              </w:rPr>
            </w:pPr>
            <w:r w:rsidRPr="00A73A1E">
              <w:rPr>
                <w:szCs w:val="22"/>
                <w:lang w:eastAsia="ja-JP"/>
              </w:rPr>
              <w:t>O</w:t>
            </w:r>
            <w:r w:rsidRPr="00A73A1E">
              <w:rPr>
                <w:lang w:eastAsia="ja-JP"/>
              </w:rPr>
              <w:t xml:space="preserve">verload </w:t>
            </w:r>
            <w:r w:rsidR="007E359E">
              <w:rPr>
                <w:lang w:eastAsia="ja-JP"/>
              </w:rPr>
              <w:br/>
            </w:r>
            <w:r w:rsidRPr="00A73A1E">
              <w:rPr>
                <w:lang w:eastAsia="ja-JP"/>
              </w:rPr>
              <w:t>recovery time</w:t>
            </w:r>
            <w:r w:rsidRPr="00A73A1E">
              <w:rPr>
                <w:szCs w:val="22"/>
                <w:lang w:eastAsia="ja-JP"/>
              </w:rPr>
              <w:t xml:space="preserve"> </w:t>
            </w:r>
            <w:r w:rsidRPr="00A73A1E">
              <w:rPr>
                <w:szCs w:val="22"/>
                <w:lang w:eastAsia="ja-JP"/>
              </w:rPr>
              <w:br/>
              <w:t>(µs)</w:t>
            </w:r>
          </w:p>
        </w:tc>
        <w:tc>
          <w:tcPr>
            <w:tcW w:w="1701" w:type="dxa"/>
            <w:shd w:val="clear" w:color="auto" w:fill="auto"/>
            <w:vAlign w:val="center"/>
          </w:tcPr>
          <w:p w14:paraId="09115B32" w14:textId="77777777" w:rsidR="003244CE" w:rsidRPr="00A73A1E" w:rsidRDefault="003244CE" w:rsidP="009C40C0">
            <w:pPr>
              <w:pStyle w:val="Tablehead"/>
              <w:rPr>
                <w:szCs w:val="22"/>
                <w:lang w:eastAsia="ja-JP"/>
              </w:rPr>
            </w:pPr>
            <w:r w:rsidRPr="00A73A1E">
              <w:rPr>
                <w:szCs w:val="22"/>
                <w:lang w:eastAsia="ja-JP"/>
              </w:rPr>
              <w:t xml:space="preserve">Tx PRF </w:t>
            </w:r>
            <w:r w:rsidRPr="00A73A1E">
              <w:rPr>
                <w:szCs w:val="22"/>
                <w:lang w:eastAsia="ja-JP"/>
              </w:rPr>
              <w:br/>
              <w:t>(Hz)</w:t>
            </w:r>
          </w:p>
        </w:tc>
        <w:tc>
          <w:tcPr>
            <w:tcW w:w="1701" w:type="dxa"/>
            <w:shd w:val="clear" w:color="auto" w:fill="auto"/>
            <w:vAlign w:val="center"/>
          </w:tcPr>
          <w:p w14:paraId="79E4492E" w14:textId="5E2BA5B3" w:rsidR="003244CE" w:rsidRPr="00A73A1E" w:rsidRDefault="003244CE" w:rsidP="009C40C0">
            <w:pPr>
              <w:pStyle w:val="Tablehead"/>
              <w:rPr>
                <w:szCs w:val="22"/>
                <w:lang w:eastAsia="ja-JP"/>
              </w:rPr>
            </w:pPr>
            <w:r w:rsidRPr="00A73A1E">
              <w:rPr>
                <w:szCs w:val="22"/>
                <w:lang w:eastAsia="ja-JP"/>
              </w:rPr>
              <w:t xml:space="preserve">Tx PW </w:t>
            </w:r>
            <w:r w:rsidRPr="00A73A1E">
              <w:rPr>
                <w:szCs w:val="22"/>
                <w:lang w:eastAsia="ja-JP"/>
              </w:rPr>
              <w:br/>
              <w:t>(µs)</w:t>
            </w:r>
          </w:p>
        </w:tc>
        <w:tc>
          <w:tcPr>
            <w:tcW w:w="1701" w:type="dxa"/>
            <w:shd w:val="clear" w:color="auto" w:fill="auto"/>
            <w:vAlign w:val="center"/>
          </w:tcPr>
          <w:p w14:paraId="45D85682" w14:textId="77777777" w:rsidR="003244CE" w:rsidRPr="00A73A1E" w:rsidRDefault="003244CE" w:rsidP="009C40C0">
            <w:pPr>
              <w:pStyle w:val="Tablehead"/>
              <w:rPr>
                <w:szCs w:val="22"/>
                <w:lang w:eastAsia="ja-JP"/>
              </w:rPr>
            </w:pPr>
            <w:r w:rsidRPr="00A73A1E">
              <w:rPr>
                <w:szCs w:val="22"/>
                <w:lang w:eastAsia="ja-JP"/>
              </w:rPr>
              <w:t xml:space="preserve">PDC </w:t>
            </w:r>
            <w:r w:rsidRPr="00A73A1E">
              <w:rPr>
                <w:szCs w:val="22"/>
                <w:lang w:eastAsia="ja-JP"/>
              </w:rPr>
              <w:br/>
              <w:t>(%)</w:t>
            </w:r>
          </w:p>
        </w:tc>
      </w:tr>
      <w:tr w:rsidR="003244CE" w:rsidRPr="00A73A1E" w14:paraId="3ADD81FC" w14:textId="77777777" w:rsidTr="007E359E">
        <w:trPr>
          <w:jc w:val="center"/>
        </w:trPr>
        <w:tc>
          <w:tcPr>
            <w:tcW w:w="2278" w:type="dxa"/>
            <w:vMerge w:val="restart"/>
            <w:shd w:val="clear" w:color="auto" w:fill="auto"/>
            <w:vAlign w:val="center"/>
          </w:tcPr>
          <w:p w14:paraId="794A55EA" w14:textId="77777777" w:rsidR="003244CE" w:rsidRPr="00A73A1E" w:rsidRDefault="003244CE" w:rsidP="009C40C0">
            <w:pPr>
              <w:pStyle w:val="Tabletext"/>
              <w:jc w:val="center"/>
              <w:rPr>
                <w:lang w:eastAsia="ja-JP"/>
              </w:rPr>
            </w:pPr>
            <w:r w:rsidRPr="00A73A1E">
              <w:rPr>
                <w:lang w:eastAsia="ja-JP"/>
              </w:rPr>
              <w:t>1</w:t>
            </w:r>
          </w:p>
        </w:tc>
        <w:tc>
          <w:tcPr>
            <w:tcW w:w="1701" w:type="dxa"/>
            <w:shd w:val="clear" w:color="auto" w:fill="auto"/>
          </w:tcPr>
          <w:p w14:paraId="33CEF8A8" w14:textId="77777777" w:rsidR="003244CE" w:rsidRPr="00A73A1E" w:rsidRDefault="003244CE" w:rsidP="009C40C0">
            <w:pPr>
              <w:pStyle w:val="Tabletext"/>
              <w:jc w:val="center"/>
              <w:rPr>
                <w:lang w:eastAsia="ja-JP"/>
              </w:rPr>
            </w:pPr>
            <w:r w:rsidRPr="00A73A1E">
              <w:rPr>
                <w:lang w:eastAsia="ja-JP"/>
              </w:rPr>
              <w:t>1 050</w:t>
            </w:r>
          </w:p>
        </w:tc>
        <w:tc>
          <w:tcPr>
            <w:tcW w:w="1701" w:type="dxa"/>
            <w:shd w:val="clear" w:color="auto" w:fill="auto"/>
          </w:tcPr>
          <w:p w14:paraId="2626083E" w14:textId="77777777" w:rsidR="003244CE" w:rsidRPr="00A73A1E" w:rsidRDefault="003244CE" w:rsidP="009C40C0">
            <w:pPr>
              <w:pStyle w:val="Tabletext"/>
              <w:jc w:val="center"/>
              <w:rPr>
                <w:lang w:eastAsia="ja-JP"/>
              </w:rPr>
            </w:pPr>
            <w:r w:rsidRPr="007E359E">
              <w:rPr>
                <w:lang w:eastAsia="ja-JP"/>
              </w:rPr>
              <w:t>67</w:t>
            </w:r>
          </w:p>
        </w:tc>
        <w:tc>
          <w:tcPr>
            <w:tcW w:w="1701" w:type="dxa"/>
            <w:shd w:val="clear" w:color="auto" w:fill="auto"/>
          </w:tcPr>
          <w:p w14:paraId="1C1709BE" w14:textId="77777777" w:rsidR="003244CE" w:rsidRPr="00A73A1E" w:rsidRDefault="003244CE" w:rsidP="009C40C0">
            <w:pPr>
              <w:pStyle w:val="Tabletext"/>
              <w:jc w:val="center"/>
              <w:rPr>
                <w:lang w:eastAsia="ja-JP"/>
              </w:rPr>
            </w:pPr>
            <w:r w:rsidRPr="007E359E">
              <w:rPr>
                <w:lang w:eastAsia="ja-JP"/>
              </w:rPr>
              <w:t>7.14</w:t>
            </w:r>
          </w:p>
        </w:tc>
      </w:tr>
      <w:tr w:rsidR="003244CE" w:rsidRPr="00A73A1E" w14:paraId="589987EC" w14:textId="77777777" w:rsidTr="007E359E">
        <w:trPr>
          <w:jc w:val="center"/>
        </w:trPr>
        <w:tc>
          <w:tcPr>
            <w:tcW w:w="2278" w:type="dxa"/>
            <w:vMerge/>
            <w:shd w:val="clear" w:color="auto" w:fill="auto"/>
            <w:vAlign w:val="center"/>
          </w:tcPr>
          <w:p w14:paraId="5ED070B8" w14:textId="77777777" w:rsidR="003244CE" w:rsidRPr="00A73A1E" w:rsidRDefault="003244CE" w:rsidP="009C40C0">
            <w:pPr>
              <w:pStyle w:val="Tabletext"/>
              <w:jc w:val="center"/>
              <w:rPr>
                <w:lang w:eastAsia="ja-JP"/>
              </w:rPr>
            </w:pPr>
          </w:p>
        </w:tc>
        <w:tc>
          <w:tcPr>
            <w:tcW w:w="1701" w:type="dxa"/>
            <w:shd w:val="clear" w:color="auto" w:fill="auto"/>
          </w:tcPr>
          <w:p w14:paraId="7D812A51" w14:textId="77777777" w:rsidR="003244CE" w:rsidRPr="00A73A1E" w:rsidRDefault="003244CE" w:rsidP="009C40C0">
            <w:pPr>
              <w:pStyle w:val="Tabletext"/>
              <w:jc w:val="center"/>
              <w:rPr>
                <w:lang w:eastAsia="ja-JP"/>
              </w:rPr>
            </w:pPr>
            <w:r w:rsidRPr="00A73A1E">
              <w:rPr>
                <w:lang w:eastAsia="ja-JP"/>
              </w:rPr>
              <w:t>1 860</w:t>
            </w:r>
          </w:p>
        </w:tc>
        <w:tc>
          <w:tcPr>
            <w:tcW w:w="1701" w:type="dxa"/>
            <w:shd w:val="clear" w:color="auto" w:fill="auto"/>
          </w:tcPr>
          <w:p w14:paraId="5F415FB5" w14:textId="77777777" w:rsidR="003244CE" w:rsidRPr="00A73A1E" w:rsidRDefault="003244CE" w:rsidP="009C40C0">
            <w:pPr>
              <w:pStyle w:val="Tabletext"/>
              <w:jc w:val="center"/>
              <w:rPr>
                <w:lang w:eastAsia="ja-JP"/>
              </w:rPr>
            </w:pPr>
            <w:r w:rsidRPr="007E359E">
              <w:rPr>
                <w:lang w:eastAsia="ja-JP"/>
              </w:rPr>
              <w:t>37</w:t>
            </w:r>
          </w:p>
        </w:tc>
        <w:tc>
          <w:tcPr>
            <w:tcW w:w="1701" w:type="dxa"/>
            <w:shd w:val="clear" w:color="auto" w:fill="auto"/>
          </w:tcPr>
          <w:p w14:paraId="6A018D60" w14:textId="77777777" w:rsidR="003244CE" w:rsidRPr="00A73A1E" w:rsidRDefault="003244CE" w:rsidP="009C40C0">
            <w:pPr>
              <w:pStyle w:val="Tabletext"/>
              <w:jc w:val="center"/>
              <w:rPr>
                <w:lang w:eastAsia="ja-JP"/>
              </w:rPr>
            </w:pPr>
            <w:r w:rsidRPr="00A73A1E">
              <w:rPr>
                <w:lang w:eastAsia="ja-JP"/>
              </w:rPr>
              <w:t>7.07</w:t>
            </w:r>
          </w:p>
        </w:tc>
      </w:tr>
      <w:tr w:rsidR="003244CE" w:rsidRPr="00A73A1E" w14:paraId="4853D5B0" w14:textId="77777777" w:rsidTr="007E359E">
        <w:trPr>
          <w:jc w:val="center"/>
        </w:trPr>
        <w:tc>
          <w:tcPr>
            <w:tcW w:w="2278" w:type="dxa"/>
            <w:vMerge w:val="restart"/>
            <w:shd w:val="clear" w:color="auto" w:fill="auto"/>
            <w:vAlign w:val="center"/>
          </w:tcPr>
          <w:p w14:paraId="15003FBB" w14:textId="77777777" w:rsidR="003244CE" w:rsidRPr="00A73A1E" w:rsidRDefault="003244CE" w:rsidP="009C40C0">
            <w:pPr>
              <w:pStyle w:val="Tabletext"/>
              <w:jc w:val="center"/>
              <w:rPr>
                <w:lang w:eastAsia="ja-JP"/>
              </w:rPr>
            </w:pPr>
            <w:r w:rsidRPr="00A73A1E">
              <w:rPr>
                <w:lang w:eastAsia="ja-JP"/>
              </w:rPr>
              <w:t>30</w:t>
            </w:r>
          </w:p>
        </w:tc>
        <w:tc>
          <w:tcPr>
            <w:tcW w:w="1701" w:type="dxa"/>
            <w:shd w:val="clear" w:color="auto" w:fill="auto"/>
          </w:tcPr>
          <w:p w14:paraId="459997FD" w14:textId="77777777" w:rsidR="003244CE" w:rsidRPr="00A73A1E" w:rsidRDefault="003244CE" w:rsidP="009C40C0">
            <w:pPr>
              <w:pStyle w:val="Tabletext"/>
              <w:jc w:val="center"/>
              <w:rPr>
                <w:lang w:eastAsia="ja-JP"/>
              </w:rPr>
            </w:pPr>
            <w:r w:rsidRPr="00A73A1E">
              <w:rPr>
                <w:lang w:eastAsia="ja-JP"/>
              </w:rPr>
              <w:t>1 050</w:t>
            </w:r>
          </w:p>
        </w:tc>
        <w:tc>
          <w:tcPr>
            <w:tcW w:w="1701" w:type="dxa"/>
            <w:shd w:val="clear" w:color="auto" w:fill="auto"/>
          </w:tcPr>
          <w:p w14:paraId="3068A173" w14:textId="77777777" w:rsidR="003244CE" w:rsidRPr="00A73A1E" w:rsidRDefault="003244CE" w:rsidP="009C40C0">
            <w:pPr>
              <w:pStyle w:val="Tabletext"/>
              <w:jc w:val="center"/>
              <w:rPr>
                <w:lang w:eastAsia="ja-JP"/>
              </w:rPr>
            </w:pPr>
            <w:r w:rsidRPr="007E359E">
              <w:rPr>
                <w:lang w:eastAsia="ja-JP"/>
              </w:rPr>
              <w:t>67</w:t>
            </w:r>
          </w:p>
        </w:tc>
        <w:tc>
          <w:tcPr>
            <w:tcW w:w="1701" w:type="dxa"/>
            <w:shd w:val="clear" w:color="auto" w:fill="auto"/>
          </w:tcPr>
          <w:p w14:paraId="390678C4" w14:textId="77777777" w:rsidR="003244CE" w:rsidRPr="00A73A1E" w:rsidRDefault="003244CE" w:rsidP="009C40C0">
            <w:pPr>
              <w:pStyle w:val="Tabletext"/>
              <w:jc w:val="center"/>
              <w:rPr>
                <w:lang w:eastAsia="ja-JP"/>
              </w:rPr>
            </w:pPr>
            <w:r w:rsidRPr="007E359E">
              <w:rPr>
                <w:lang w:eastAsia="ja-JP"/>
              </w:rPr>
              <w:t>10.18</w:t>
            </w:r>
          </w:p>
        </w:tc>
      </w:tr>
      <w:tr w:rsidR="003244CE" w:rsidRPr="00A73A1E" w14:paraId="49B6C463" w14:textId="77777777" w:rsidTr="007E359E">
        <w:trPr>
          <w:jc w:val="center"/>
        </w:trPr>
        <w:tc>
          <w:tcPr>
            <w:tcW w:w="2278" w:type="dxa"/>
            <w:vMerge/>
            <w:shd w:val="clear" w:color="auto" w:fill="auto"/>
            <w:vAlign w:val="center"/>
          </w:tcPr>
          <w:p w14:paraId="53399CA6" w14:textId="77777777" w:rsidR="003244CE" w:rsidRPr="00A73A1E" w:rsidRDefault="003244CE" w:rsidP="009C40C0">
            <w:pPr>
              <w:pStyle w:val="Tabletext"/>
              <w:jc w:val="center"/>
              <w:rPr>
                <w:lang w:eastAsia="ja-JP"/>
              </w:rPr>
            </w:pPr>
          </w:p>
        </w:tc>
        <w:tc>
          <w:tcPr>
            <w:tcW w:w="1701" w:type="dxa"/>
            <w:shd w:val="clear" w:color="auto" w:fill="auto"/>
          </w:tcPr>
          <w:p w14:paraId="643B72BB" w14:textId="77777777" w:rsidR="003244CE" w:rsidRPr="00A73A1E" w:rsidRDefault="003244CE" w:rsidP="009C40C0">
            <w:pPr>
              <w:pStyle w:val="Tabletext"/>
              <w:jc w:val="center"/>
              <w:rPr>
                <w:lang w:eastAsia="ja-JP"/>
              </w:rPr>
            </w:pPr>
            <w:r w:rsidRPr="00A73A1E">
              <w:rPr>
                <w:lang w:eastAsia="ja-JP"/>
              </w:rPr>
              <w:t>1 860</w:t>
            </w:r>
          </w:p>
        </w:tc>
        <w:tc>
          <w:tcPr>
            <w:tcW w:w="1701" w:type="dxa"/>
            <w:shd w:val="clear" w:color="auto" w:fill="auto"/>
          </w:tcPr>
          <w:p w14:paraId="57AD5563" w14:textId="77777777" w:rsidR="003244CE" w:rsidRPr="00A73A1E" w:rsidRDefault="003244CE" w:rsidP="009C40C0">
            <w:pPr>
              <w:pStyle w:val="Tabletext"/>
              <w:jc w:val="center"/>
              <w:rPr>
                <w:lang w:eastAsia="ja-JP"/>
              </w:rPr>
            </w:pPr>
            <w:r w:rsidRPr="007E359E">
              <w:rPr>
                <w:lang w:eastAsia="ja-JP"/>
              </w:rPr>
              <w:t>37</w:t>
            </w:r>
          </w:p>
        </w:tc>
        <w:tc>
          <w:tcPr>
            <w:tcW w:w="1701" w:type="dxa"/>
            <w:shd w:val="clear" w:color="auto" w:fill="auto"/>
          </w:tcPr>
          <w:p w14:paraId="2FB18E8F" w14:textId="77777777" w:rsidR="003244CE" w:rsidRPr="00A73A1E" w:rsidRDefault="003244CE" w:rsidP="009C40C0">
            <w:pPr>
              <w:pStyle w:val="Tabletext"/>
              <w:jc w:val="center"/>
              <w:rPr>
                <w:lang w:eastAsia="ja-JP"/>
              </w:rPr>
            </w:pPr>
            <w:r w:rsidRPr="007E359E">
              <w:rPr>
                <w:lang w:eastAsia="ja-JP"/>
              </w:rPr>
              <w:t>12.46</w:t>
            </w:r>
          </w:p>
        </w:tc>
      </w:tr>
    </w:tbl>
    <w:p w14:paraId="0398EBE6" w14:textId="77777777" w:rsidR="003244CE" w:rsidRPr="00A73A1E" w:rsidRDefault="003244CE" w:rsidP="003244CE">
      <w:pPr>
        <w:pStyle w:val="Tablefin"/>
        <w:rPr>
          <w:rFonts w:eastAsia="MS Mincho"/>
        </w:rPr>
      </w:pPr>
    </w:p>
    <w:p w14:paraId="1C9E998B" w14:textId="77777777" w:rsidR="003244CE" w:rsidRPr="00A73A1E" w:rsidRDefault="003244CE" w:rsidP="003244CE">
      <w:pPr>
        <w:pStyle w:val="Heading3"/>
      </w:pPr>
      <w:r w:rsidRPr="00A73A1E">
        <w:t>3.2.2</w:t>
      </w:r>
      <w:r w:rsidRPr="00A73A1E">
        <w:tab/>
        <w:t xml:space="preserve">GLONASS receiver pulsed RFI degradation computation </w:t>
      </w:r>
    </w:p>
    <w:p w14:paraId="0B752BD0" w14:textId="77777777" w:rsidR="003244CE" w:rsidRPr="00A73A1E" w:rsidRDefault="003244CE" w:rsidP="003244CE">
      <w:pPr>
        <w:rPr>
          <w:spacing w:val="-2"/>
        </w:rPr>
      </w:pPr>
      <w:r w:rsidRPr="00A73A1E">
        <w:rPr>
          <w:spacing w:val="-2"/>
          <w:lang w:eastAsia="ja-JP"/>
        </w:rPr>
        <w:t>The pulsed RFI degradation ratio for the GLONASS receiver is computed from the PDC values in Table </w:t>
      </w:r>
      <w:r>
        <w:rPr>
          <w:spacing w:val="-2"/>
          <w:lang w:eastAsia="ja-JP"/>
        </w:rPr>
        <w:t>15</w:t>
      </w:r>
      <w:r w:rsidRPr="00A73A1E">
        <w:rPr>
          <w:spacing w:val="-2"/>
          <w:lang w:eastAsia="ja-JP"/>
        </w:rPr>
        <w:t xml:space="preserve"> by using equation (</w:t>
      </w:r>
      <w:r>
        <w:rPr>
          <w:spacing w:val="-2"/>
          <w:lang w:eastAsia="ja-JP"/>
        </w:rPr>
        <w:t>8</w:t>
      </w:r>
      <w:r w:rsidRPr="00A73A1E">
        <w:rPr>
          <w:spacing w:val="-2"/>
          <w:lang w:eastAsia="ja-JP"/>
        </w:rPr>
        <w:t>)</w:t>
      </w:r>
      <w:r w:rsidRPr="00A73A1E">
        <w:rPr>
          <w:spacing w:val="-2"/>
          <w:position w:val="6"/>
          <w:sz w:val="18"/>
          <w:lang w:eastAsia="ja-JP"/>
        </w:rPr>
        <w:footnoteReference w:id="17"/>
      </w:r>
      <w:r w:rsidRPr="00A73A1E">
        <w:rPr>
          <w:spacing w:val="-2"/>
          <w:lang w:eastAsia="ja-JP"/>
        </w:rPr>
        <w:t>. The computation result is to be compared with an allowable degradation ratio limit (in dB) from Table 10. Using equation (</w:t>
      </w:r>
      <w:r>
        <w:rPr>
          <w:spacing w:val="-2"/>
          <w:lang w:eastAsia="ja-JP"/>
        </w:rPr>
        <w:t>8</w:t>
      </w:r>
      <w:r w:rsidRPr="00A73A1E">
        <w:rPr>
          <w:spacing w:val="-2"/>
          <w:lang w:eastAsia="ja-JP"/>
        </w:rPr>
        <w:t>) in logarithmic form for the largest PDC value (0.1246) for the case of 30 </w:t>
      </w:r>
      <w:r w:rsidRPr="00A73A1E">
        <w:rPr>
          <w:spacing w:val="-2"/>
        </w:rPr>
        <w:t>µs</w:t>
      </w:r>
      <w:r w:rsidRPr="00A73A1E">
        <w:rPr>
          <w:spacing w:val="-2"/>
          <w:lang w:eastAsia="ja-JP"/>
        </w:rPr>
        <w:t xml:space="preserve"> overload recovery time from Table </w:t>
      </w:r>
      <w:r>
        <w:rPr>
          <w:spacing w:val="-2"/>
          <w:lang w:eastAsia="ja-JP"/>
        </w:rPr>
        <w:t>15</w:t>
      </w:r>
      <w:r w:rsidRPr="00A73A1E">
        <w:rPr>
          <w:spacing w:val="-2"/>
          <w:lang w:eastAsia="ja-JP"/>
        </w:rPr>
        <w:t>, the degradation ratio in dB is 10 log (</w:t>
      </w:r>
      <w:r w:rsidRPr="00A73A1E">
        <w:rPr>
          <w:i/>
          <w:iCs/>
          <w:spacing w:val="-2"/>
          <w:lang w:eastAsia="ja-JP"/>
        </w:rPr>
        <w:t>N</w:t>
      </w:r>
      <w:proofErr w:type="gramStart"/>
      <w:r w:rsidRPr="00A73A1E">
        <w:rPr>
          <w:spacing w:val="-2"/>
          <w:vertAlign w:val="subscript"/>
          <w:lang w:eastAsia="ja-JP"/>
        </w:rPr>
        <w:t>0,</w:t>
      </w:r>
      <w:r w:rsidRPr="00A73A1E">
        <w:rPr>
          <w:i/>
          <w:iCs/>
          <w:spacing w:val="-2"/>
          <w:vertAlign w:val="subscript"/>
          <w:lang w:eastAsia="ja-JP"/>
        </w:rPr>
        <w:t>EFF</w:t>
      </w:r>
      <w:proofErr w:type="gramEnd"/>
      <w:r w:rsidRPr="00A73A1E">
        <w:rPr>
          <w:spacing w:val="-2"/>
          <w:vertAlign w:val="subscript"/>
          <w:lang w:eastAsia="ja-JP"/>
        </w:rPr>
        <w:t>+</w:t>
      </w:r>
      <w:r w:rsidRPr="00A73A1E">
        <w:rPr>
          <w:i/>
          <w:iCs/>
          <w:spacing w:val="-2"/>
          <w:vertAlign w:val="subscript"/>
          <w:lang w:eastAsia="ja-JP"/>
        </w:rPr>
        <w:t>Y</w:t>
      </w:r>
      <w:r w:rsidRPr="00A73A1E">
        <w:rPr>
          <w:spacing w:val="-2"/>
          <w:lang w:eastAsia="ja-JP"/>
        </w:rPr>
        <w:t>/</w:t>
      </w:r>
      <w:r w:rsidRPr="00A73A1E">
        <w:rPr>
          <w:i/>
          <w:iCs/>
          <w:spacing w:val="-2"/>
          <w:lang w:eastAsia="ja-JP"/>
        </w:rPr>
        <w:t>N</w:t>
      </w:r>
      <w:r w:rsidRPr="00A73A1E">
        <w:rPr>
          <w:spacing w:val="-2"/>
          <w:vertAlign w:val="subscript"/>
          <w:lang w:eastAsia="ja-JP"/>
        </w:rPr>
        <w:t>0,</w:t>
      </w:r>
      <w:r w:rsidRPr="00A73A1E">
        <w:rPr>
          <w:i/>
          <w:iCs/>
          <w:spacing w:val="-2"/>
          <w:vertAlign w:val="subscript"/>
          <w:lang w:eastAsia="ja-JP"/>
        </w:rPr>
        <w:t>EFF</w:t>
      </w:r>
      <w:r w:rsidRPr="00A73A1E">
        <w:rPr>
          <w:spacing w:val="-2"/>
          <w:lang w:eastAsia="ja-JP"/>
        </w:rPr>
        <w:t>) = –20log(1-PDC) = 1.16</w:t>
      </w:r>
      <w:r w:rsidRPr="00A73A1E">
        <w:rPr>
          <w:spacing w:val="-2"/>
          <w:vertAlign w:val="subscript"/>
          <w:lang w:eastAsia="ja-JP"/>
        </w:rPr>
        <w:t> </w:t>
      </w:r>
      <w:proofErr w:type="spellStart"/>
      <w:r w:rsidRPr="00A73A1E">
        <w:rPr>
          <w:spacing w:val="-2"/>
          <w:lang w:eastAsia="ja-JP"/>
        </w:rPr>
        <w:t>dB.</w:t>
      </w:r>
      <w:proofErr w:type="spellEnd"/>
      <w:r w:rsidRPr="00A73A1E">
        <w:rPr>
          <w:spacing w:val="-2"/>
          <w:lang w:eastAsia="ja-JP"/>
        </w:rPr>
        <w:t xml:space="preserve"> Additionally, for the largest PDC value (0.07144) for the case of 1µs overload recovery time, the degradation ratio is 0.64</w:t>
      </w:r>
      <w:r w:rsidRPr="00A73A1E">
        <w:rPr>
          <w:spacing w:val="-2"/>
          <w:vertAlign w:val="subscript"/>
          <w:lang w:eastAsia="ja-JP"/>
        </w:rPr>
        <w:t xml:space="preserve"> </w:t>
      </w:r>
      <w:proofErr w:type="spellStart"/>
      <w:r w:rsidRPr="00A73A1E">
        <w:rPr>
          <w:spacing w:val="-2"/>
          <w:lang w:eastAsia="ja-JP"/>
        </w:rPr>
        <w:t>dB.</w:t>
      </w:r>
      <w:proofErr w:type="spellEnd"/>
      <w:r>
        <w:rPr>
          <w:spacing w:val="-2"/>
          <w:lang w:eastAsia="ja-JP"/>
        </w:rPr>
        <w:t xml:space="preserve"> </w:t>
      </w:r>
      <w:r w:rsidRPr="00A73A1E">
        <w:rPr>
          <w:spacing w:val="-2"/>
        </w:rPr>
        <w:t xml:space="preserve">Both of these results based on usage of the unity overlap bandwidth factor </w:t>
      </w:r>
      <w:r w:rsidRPr="00A73A1E">
        <w:rPr>
          <w:spacing w:val="-2"/>
          <w:lang w:eastAsia="ja-JP"/>
        </w:rPr>
        <w:t xml:space="preserve">exceed the allowable degradation ratio </w:t>
      </w:r>
      <w:r w:rsidRPr="00A73A1E">
        <w:rPr>
          <w:spacing w:val="-2"/>
        </w:rPr>
        <w:t>limit</w:t>
      </w:r>
      <w:r w:rsidRPr="00A73A1E">
        <w:rPr>
          <w:spacing w:val="-2"/>
          <w:lang w:eastAsia="ja-JP"/>
        </w:rPr>
        <w:t xml:space="preserve"> provided from Table 9 indicating that a more detailed analysis is needed. The increase of the estimation of interference from spaceborne active sensors resulting from the use of a unity overlap bandwidth factor should be taken into account when conducting </w:t>
      </w:r>
      <w:r w:rsidRPr="00A73A1E">
        <w:rPr>
          <w:spacing w:val="-2"/>
        </w:rPr>
        <w:t>this more detailed analysis.</w:t>
      </w:r>
    </w:p>
    <w:p w14:paraId="291E7486" w14:textId="77777777" w:rsidR="003244CE" w:rsidRPr="00A73A1E" w:rsidRDefault="003244CE" w:rsidP="003244CE">
      <w:pPr>
        <w:pStyle w:val="Heading3"/>
      </w:pPr>
      <w:r w:rsidRPr="00A73A1E">
        <w:t>3.2.3</w:t>
      </w:r>
      <w:r w:rsidRPr="00A73A1E">
        <w:tab/>
        <w:t>Results of PDC and receiver pulsed RFI degradation computation for GLONASS receiver from all types of active sensors</w:t>
      </w:r>
    </w:p>
    <w:p w14:paraId="106907BB" w14:textId="77777777" w:rsidR="003244CE" w:rsidRPr="00A73A1E" w:rsidRDefault="003244CE" w:rsidP="003244CE">
      <w:pPr>
        <w:rPr>
          <w:spacing w:val="-2"/>
        </w:rPr>
      </w:pPr>
      <w:r w:rsidRPr="00A73A1E">
        <w:rPr>
          <w:color w:val="000000"/>
          <w:spacing w:val="-2"/>
        </w:rPr>
        <w:t>The calculation results of PDC and pulsed RFI degradation of the GLONASS receiver affected by the six example SAR EESS active sensors are presented in Tables</w:t>
      </w:r>
      <w:r>
        <w:rPr>
          <w:color w:val="000000"/>
          <w:spacing w:val="-2"/>
        </w:rPr>
        <w:t xml:space="preserve"> 16</w:t>
      </w:r>
      <w:r w:rsidRPr="00A73A1E">
        <w:rPr>
          <w:color w:val="000000"/>
          <w:spacing w:val="-2"/>
        </w:rPr>
        <w:t xml:space="preserve"> and </w:t>
      </w:r>
      <w:r>
        <w:rPr>
          <w:color w:val="000000"/>
          <w:spacing w:val="-2"/>
        </w:rPr>
        <w:t>17</w:t>
      </w:r>
      <w:r w:rsidRPr="00A73A1E">
        <w:rPr>
          <w:color w:val="000000"/>
          <w:spacing w:val="-2"/>
        </w:rPr>
        <w:t>. These results were obtained by the methodology described in Annex 1</w:t>
      </w:r>
      <w:r>
        <w:rPr>
          <w:color w:val="000000"/>
          <w:spacing w:val="-2"/>
        </w:rPr>
        <w:t>,</w:t>
      </w:r>
      <w:r w:rsidRPr="00A73A1E">
        <w:rPr>
          <w:color w:val="000000"/>
          <w:spacing w:val="-2"/>
        </w:rPr>
        <w:t xml:space="preserve"> </w:t>
      </w:r>
      <w:r>
        <w:rPr>
          <w:color w:val="000000"/>
          <w:spacing w:val="-2"/>
        </w:rPr>
        <w:t>§</w:t>
      </w:r>
      <w:r w:rsidRPr="00A73A1E">
        <w:rPr>
          <w:color w:val="000000"/>
          <w:spacing w:val="-2"/>
        </w:rPr>
        <w:t xml:space="preserve"> 4.2. </w:t>
      </w:r>
      <w:r w:rsidRPr="00A73A1E">
        <w:rPr>
          <w:spacing w:val="-2"/>
        </w:rPr>
        <w:t xml:space="preserve">However, when evaluating these results it should be considered that Report </w:t>
      </w:r>
      <w:hyperlink r:id="rId71" w:history="1">
        <w:r w:rsidRPr="00A73A1E">
          <w:rPr>
            <w:rFonts w:eastAsia="Calibri" w:cs="Arial"/>
            <w:szCs w:val="22"/>
            <w:lang w:eastAsia="zh-CN"/>
          </w:rPr>
          <w:t>ITU-R M.2220</w:t>
        </w:r>
      </w:hyperlink>
      <w:r w:rsidRPr="00A73A1E">
        <w:rPr>
          <w:spacing w:val="-2"/>
        </w:rPr>
        <w:t xml:space="preserve"> does not indicate the RNSS receiver bandwidth associated with the necessary attenuation level for the pre-correlator filter that should be used to calculate the overlap bandwidth factor (</w:t>
      </w:r>
      <w:r w:rsidRPr="00A73A1E">
        <w:rPr>
          <w:iCs/>
          <w:spacing w:val="-2"/>
        </w:rPr>
        <w:sym w:font="Symbol" w:char="F044"/>
      </w:r>
      <w:r w:rsidRPr="00A73A1E">
        <w:rPr>
          <w:i/>
          <w:spacing w:val="-2"/>
        </w:rPr>
        <w:t>f/</w:t>
      </w:r>
      <w:proofErr w:type="spellStart"/>
      <w:r w:rsidRPr="00A73A1E">
        <w:rPr>
          <w:i/>
          <w:spacing w:val="-2"/>
        </w:rPr>
        <w:t>Chirpwidth</w:t>
      </w:r>
      <w:proofErr w:type="spellEnd"/>
      <w:r w:rsidRPr="00A73A1E">
        <w:rPr>
          <w:spacing w:val="-2"/>
        </w:rPr>
        <w:t xml:space="preserve">). This level depends on technical implementation of RNSS receivers. Because this information is lacking, a worst-case assumption was used for GLONASS air navigation receivers in Table 9. </w:t>
      </w:r>
      <w:r w:rsidRPr="00A73A1E">
        <w:rPr>
          <w:spacing w:val="-2"/>
          <w:szCs w:val="24"/>
        </w:rPr>
        <w:t xml:space="preserve">However, the increase of the estimation of interference from spaceborne active sensors resulting from the use of a unity overlap bandwidth factor should be taken into account when evaluating the results of the more detailed analysis. </w:t>
      </w:r>
    </w:p>
    <w:p w14:paraId="0D412CD7" w14:textId="77777777" w:rsidR="007E359E" w:rsidRDefault="007E359E">
      <w:pPr>
        <w:tabs>
          <w:tab w:val="clear" w:pos="794"/>
          <w:tab w:val="clear" w:pos="1191"/>
          <w:tab w:val="clear" w:pos="1588"/>
          <w:tab w:val="clear" w:pos="1985"/>
        </w:tabs>
        <w:overflowPunct/>
        <w:autoSpaceDE/>
        <w:autoSpaceDN/>
        <w:adjustRightInd/>
        <w:spacing w:before="0"/>
        <w:jc w:val="left"/>
        <w:textAlignment w:val="auto"/>
      </w:pPr>
      <w:r>
        <w:br w:type="page"/>
      </w:r>
    </w:p>
    <w:p w14:paraId="285A5C9D" w14:textId="3706719C" w:rsidR="003244CE" w:rsidRPr="00A73A1E" w:rsidRDefault="003244CE" w:rsidP="003244CE">
      <w:pPr>
        <w:pStyle w:val="TableNo"/>
      </w:pPr>
      <w:r w:rsidRPr="00A73A1E">
        <w:lastRenderedPageBreak/>
        <w:t>T</w:t>
      </w:r>
      <w:r w:rsidR="002C7DA3">
        <w:t>ABLE</w:t>
      </w:r>
      <w:r>
        <w:t>16</w:t>
      </w:r>
    </w:p>
    <w:p w14:paraId="2D9FB80C" w14:textId="14CCF123" w:rsidR="003244CE" w:rsidRPr="00A73A1E" w:rsidRDefault="003244CE" w:rsidP="003244CE">
      <w:pPr>
        <w:pStyle w:val="Tabletitle"/>
      </w:pPr>
      <w:r w:rsidRPr="00A73A1E">
        <w:t xml:space="preserve">PDC parameters of certain EESS active sensors and the result of SNR </w:t>
      </w:r>
      <w:r w:rsidR="002C7DA3">
        <w:br/>
      </w:r>
      <w:r w:rsidRPr="00A73A1E">
        <w:t>degradation for GLONASS receivers</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323"/>
        <w:gridCol w:w="1276"/>
        <w:gridCol w:w="1134"/>
        <w:gridCol w:w="425"/>
        <w:gridCol w:w="1134"/>
        <w:gridCol w:w="567"/>
        <w:gridCol w:w="1134"/>
        <w:gridCol w:w="567"/>
      </w:tblGrid>
      <w:tr w:rsidR="003244CE" w:rsidRPr="00A73A1E" w14:paraId="353F533C" w14:textId="77777777" w:rsidTr="009C40C0">
        <w:trPr>
          <w:trHeight w:val="255"/>
          <w:jc w:val="center"/>
        </w:trPr>
        <w:tc>
          <w:tcPr>
            <w:tcW w:w="1966" w:type="dxa"/>
            <w:vMerge w:val="restart"/>
            <w:noWrap/>
            <w:vAlign w:val="center"/>
          </w:tcPr>
          <w:p w14:paraId="636462FF" w14:textId="77777777" w:rsidR="003244CE" w:rsidRPr="00A73A1E" w:rsidRDefault="003244CE" w:rsidP="009C40C0">
            <w:pPr>
              <w:pStyle w:val="Tablehead"/>
            </w:pPr>
            <w:r w:rsidRPr="00A73A1E">
              <w:t>Receiver type</w:t>
            </w:r>
          </w:p>
        </w:tc>
        <w:tc>
          <w:tcPr>
            <w:tcW w:w="1323" w:type="dxa"/>
            <w:vMerge w:val="restart"/>
            <w:vAlign w:val="center"/>
          </w:tcPr>
          <w:p w14:paraId="1D36CB26" w14:textId="77777777" w:rsidR="003244CE" w:rsidRPr="00A73A1E" w:rsidRDefault="003244CE" w:rsidP="009C40C0">
            <w:pPr>
              <w:pStyle w:val="Tablehead"/>
            </w:pPr>
            <w:r w:rsidRPr="00A73A1E">
              <w:t xml:space="preserve">Overload recovery time </w:t>
            </w:r>
            <w:r>
              <w:t>(</w:t>
            </w:r>
            <w:r w:rsidRPr="00A73A1E">
              <w:rPr>
                <w:lang w:eastAsia="ja-JP"/>
              </w:rPr>
              <w:t>µs</w:t>
            </w:r>
            <w:r>
              <w:rPr>
                <w:lang w:eastAsia="ja-JP"/>
              </w:rPr>
              <w:t>)</w:t>
            </w:r>
          </w:p>
        </w:tc>
        <w:tc>
          <w:tcPr>
            <w:tcW w:w="1276" w:type="dxa"/>
            <w:noWrap/>
            <w:vAlign w:val="center"/>
          </w:tcPr>
          <w:p w14:paraId="5A1C239B" w14:textId="77777777" w:rsidR="003244CE" w:rsidRPr="00A73A1E" w:rsidRDefault="003244CE" w:rsidP="009C40C0">
            <w:pPr>
              <w:pStyle w:val="Tablehead"/>
            </w:pPr>
            <w:r w:rsidRPr="00A73A1E">
              <w:t>Active</w:t>
            </w:r>
            <w:r w:rsidRPr="00A73A1E">
              <w:br/>
              <w:t>sensor</w:t>
            </w:r>
          </w:p>
        </w:tc>
        <w:tc>
          <w:tcPr>
            <w:tcW w:w="1559" w:type="dxa"/>
            <w:gridSpan w:val="2"/>
            <w:noWrap/>
            <w:vAlign w:val="center"/>
          </w:tcPr>
          <w:p w14:paraId="048ED0FF" w14:textId="77777777" w:rsidR="003244CE" w:rsidRPr="00A73A1E" w:rsidRDefault="003244CE" w:rsidP="009C40C0">
            <w:pPr>
              <w:pStyle w:val="Tablehead"/>
            </w:pPr>
            <w:r w:rsidRPr="00A73A1E">
              <w:t>Standard SAR1</w:t>
            </w:r>
          </w:p>
        </w:tc>
        <w:tc>
          <w:tcPr>
            <w:tcW w:w="1701" w:type="dxa"/>
            <w:gridSpan w:val="2"/>
            <w:noWrap/>
            <w:vAlign w:val="center"/>
          </w:tcPr>
          <w:p w14:paraId="75F47863" w14:textId="77777777" w:rsidR="003244CE" w:rsidRPr="00A73A1E" w:rsidRDefault="003244CE" w:rsidP="009C40C0">
            <w:pPr>
              <w:pStyle w:val="Tablehead"/>
            </w:pPr>
            <w:r w:rsidRPr="00A73A1E">
              <w:t>Standard SAR2</w:t>
            </w:r>
          </w:p>
        </w:tc>
        <w:tc>
          <w:tcPr>
            <w:tcW w:w="1701" w:type="dxa"/>
            <w:gridSpan w:val="2"/>
            <w:noWrap/>
            <w:vAlign w:val="center"/>
          </w:tcPr>
          <w:p w14:paraId="3EBB5F2F" w14:textId="77777777" w:rsidR="003244CE" w:rsidRPr="00A73A1E" w:rsidRDefault="003244CE" w:rsidP="009C40C0">
            <w:pPr>
              <w:pStyle w:val="Tablehead"/>
            </w:pPr>
            <w:r w:rsidRPr="00A73A1E">
              <w:t>Standard SAR3</w:t>
            </w:r>
          </w:p>
        </w:tc>
      </w:tr>
      <w:tr w:rsidR="003244CE" w:rsidRPr="00A73A1E" w14:paraId="3994E4B7" w14:textId="77777777" w:rsidTr="009C40C0">
        <w:trPr>
          <w:trHeight w:val="395"/>
          <w:jc w:val="center"/>
        </w:trPr>
        <w:tc>
          <w:tcPr>
            <w:tcW w:w="1966" w:type="dxa"/>
            <w:vMerge/>
          </w:tcPr>
          <w:p w14:paraId="5968F15F" w14:textId="77777777" w:rsidR="003244CE" w:rsidRPr="00A73A1E" w:rsidRDefault="003244CE" w:rsidP="009C40C0">
            <w:pPr>
              <w:pStyle w:val="Tablehead"/>
            </w:pPr>
          </w:p>
        </w:tc>
        <w:tc>
          <w:tcPr>
            <w:tcW w:w="1323" w:type="dxa"/>
            <w:vMerge/>
          </w:tcPr>
          <w:p w14:paraId="2A00BBC7" w14:textId="77777777" w:rsidR="003244CE" w:rsidRPr="00A73A1E" w:rsidRDefault="003244CE" w:rsidP="009C40C0">
            <w:pPr>
              <w:pStyle w:val="Tablehead"/>
            </w:pPr>
          </w:p>
        </w:tc>
        <w:tc>
          <w:tcPr>
            <w:tcW w:w="1276" w:type="dxa"/>
            <w:noWrap/>
            <w:vAlign w:val="center"/>
          </w:tcPr>
          <w:p w14:paraId="79309B34" w14:textId="265346D0" w:rsidR="003244CE" w:rsidRPr="00A73A1E" w:rsidRDefault="003244CE" w:rsidP="009C40C0">
            <w:pPr>
              <w:pStyle w:val="Tablehead"/>
            </w:pPr>
            <w:r w:rsidRPr="00A73A1E">
              <w:t xml:space="preserve">Freq. </w:t>
            </w:r>
            <w:r w:rsidR="007E359E">
              <w:t>(</w:t>
            </w:r>
            <w:r w:rsidRPr="00A73A1E">
              <w:t>MHz</w:t>
            </w:r>
            <w:r w:rsidR="007E359E">
              <w:t>)</w:t>
            </w:r>
          </w:p>
        </w:tc>
        <w:tc>
          <w:tcPr>
            <w:tcW w:w="1559" w:type="dxa"/>
            <w:gridSpan w:val="2"/>
            <w:noWrap/>
            <w:vAlign w:val="center"/>
          </w:tcPr>
          <w:p w14:paraId="58BF18E5" w14:textId="77777777" w:rsidR="003244CE" w:rsidRPr="00A73A1E" w:rsidRDefault="003244CE" w:rsidP="009C40C0">
            <w:pPr>
              <w:pStyle w:val="Tablehead"/>
            </w:pPr>
            <w:r w:rsidRPr="00A73A1E">
              <w:t>1 257.5</w:t>
            </w:r>
          </w:p>
        </w:tc>
        <w:tc>
          <w:tcPr>
            <w:tcW w:w="1701" w:type="dxa"/>
            <w:gridSpan w:val="2"/>
            <w:noWrap/>
            <w:vAlign w:val="center"/>
          </w:tcPr>
          <w:p w14:paraId="362ADE89" w14:textId="77777777" w:rsidR="003244CE" w:rsidRPr="00A73A1E" w:rsidRDefault="003244CE" w:rsidP="009C40C0">
            <w:pPr>
              <w:pStyle w:val="Tablehead"/>
            </w:pPr>
            <w:r w:rsidRPr="00A73A1E">
              <w:t>1 257.5</w:t>
            </w:r>
          </w:p>
        </w:tc>
        <w:tc>
          <w:tcPr>
            <w:tcW w:w="1701" w:type="dxa"/>
            <w:gridSpan w:val="2"/>
            <w:noWrap/>
            <w:vAlign w:val="center"/>
          </w:tcPr>
          <w:p w14:paraId="25A80357" w14:textId="77777777" w:rsidR="003244CE" w:rsidRPr="00A73A1E" w:rsidRDefault="003244CE" w:rsidP="009C40C0">
            <w:pPr>
              <w:pStyle w:val="Tablehead"/>
            </w:pPr>
            <w:r w:rsidRPr="00A73A1E">
              <w:t>1 257.5</w:t>
            </w:r>
          </w:p>
        </w:tc>
      </w:tr>
      <w:tr w:rsidR="003244CE" w:rsidRPr="00A73A1E" w14:paraId="2E0045AF" w14:textId="77777777" w:rsidTr="009C40C0">
        <w:trPr>
          <w:trHeight w:val="255"/>
          <w:jc w:val="center"/>
        </w:trPr>
        <w:tc>
          <w:tcPr>
            <w:tcW w:w="1966" w:type="dxa"/>
            <w:vMerge w:val="restart"/>
            <w:noWrap/>
            <w:vAlign w:val="center"/>
          </w:tcPr>
          <w:p w14:paraId="20171E98" w14:textId="77777777" w:rsidR="003244CE" w:rsidRPr="00A73A1E" w:rsidRDefault="003244CE" w:rsidP="009C40C0">
            <w:pPr>
              <w:pStyle w:val="Tabletext"/>
            </w:pPr>
            <w:r w:rsidRPr="00A73A1E">
              <w:t>Air navigation</w:t>
            </w:r>
          </w:p>
        </w:tc>
        <w:tc>
          <w:tcPr>
            <w:tcW w:w="1323" w:type="dxa"/>
            <w:vMerge w:val="restart"/>
            <w:vAlign w:val="center"/>
          </w:tcPr>
          <w:p w14:paraId="31FD6617" w14:textId="77777777" w:rsidR="003244CE" w:rsidRPr="00A73A1E" w:rsidRDefault="003244CE" w:rsidP="009C40C0">
            <w:pPr>
              <w:pStyle w:val="Tabletext"/>
              <w:jc w:val="center"/>
            </w:pPr>
            <w:r w:rsidRPr="00A73A1E">
              <w:t>1</w:t>
            </w:r>
          </w:p>
        </w:tc>
        <w:tc>
          <w:tcPr>
            <w:tcW w:w="1276" w:type="dxa"/>
            <w:noWrap/>
          </w:tcPr>
          <w:p w14:paraId="61425506" w14:textId="77777777" w:rsidR="003244CE" w:rsidRPr="00A73A1E" w:rsidRDefault="003244CE" w:rsidP="009C40C0">
            <w:pPr>
              <w:pStyle w:val="Tabletext"/>
              <w:jc w:val="center"/>
            </w:pPr>
            <w:r w:rsidRPr="00A73A1E">
              <w:t>PDC</w:t>
            </w:r>
          </w:p>
        </w:tc>
        <w:tc>
          <w:tcPr>
            <w:tcW w:w="1134" w:type="dxa"/>
            <w:noWrap/>
          </w:tcPr>
          <w:p w14:paraId="48C4AAC2" w14:textId="6957FA5B" w:rsidR="003244CE" w:rsidRPr="00A73A1E" w:rsidRDefault="003244CE" w:rsidP="009C40C0">
            <w:pPr>
              <w:pStyle w:val="Tabletext"/>
              <w:jc w:val="center"/>
            </w:pPr>
            <w:r w:rsidRPr="00A73A1E">
              <w:t>0</w:t>
            </w:r>
            <w:r w:rsidR="002C381E">
              <w:t>.</w:t>
            </w:r>
            <w:r w:rsidRPr="00A73A1E">
              <w:t>06</w:t>
            </w:r>
          </w:p>
        </w:tc>
        <w:tc>
          <w:tcPr>
            <w:tcW w:w="425" w:type="dxa"/>
            <w:noWrap/>
          </w:tcPr>
          <w:p w14:paraId="3BD7BDAD" w14:textId="77777777" w:rsidR="003244CE" w:rsidRPr="00A73A1E" w:rsidRDefault="003244CE" w:rsidP="009C40C0">
            <w:pPr>
              <w:pStyle w:val="Tabletext"/>
              <w:jc w:val="center"/>
            </w:pPr>
            <w:r>
              <w:t>−</w:t>
            </w:r>
          </w:p>
        </w:tc>
        <w:tc>
          <w:tcPr>
            <w:tcW w:w="1134" w:type="dxa"/>
            <w:noWrap/>
          </w:tcPr>
          <w:p w14:paraId="5E947096" w14:textId="77777777" w:rsidR="003244CE" w:rsidRPr="00A73A1E" w:rsidRDefault="003244CE" w:rsidP="009C40C0">
            <w:pPr>
              <w:pStyle w:val="Tabletext"/>
              <w:jc w:val="center"/>
            </w:pPr>
            <w:r w:rsidRPr="00A73A1E">
              <w:t>0.06</w:t>
            </w:r>
          </w:p>
        </w:tc>
        <w:tc>
          <w:tcPr>
            <w:tcW w:w="567" w:type="dxa"/>
            <w:noWrap/>
          </w:tcPr>
          <w:p w14:paraId="7FB0030E" w14:textId="4DD16358" w:rsidR="003244CE" w:rsidRPr="00A73A1E" w:rsidRDefault="002C7DA3" w:rsidP="009C40C0">
            <w:pPr>
              <w:pStyle w:val="Tabletext"/>
              <w:jc w:val="center"/>
            </w:pPr>
            <w:r>
              <w:t>−</w:t>
            </w:r>
          </w:p>
        </w:tc>
        <w:tc>
          <w:tcPr>
            <w:tcW w:w="1134" w:type="dxa"/>
            <w:noWrap/>
          </w:tcPr>
          <w:p w14:paraId="1E7224C0" w14:textId="7723CA73" w:rsidR="003244CE" w:rsidRPr="00A73A1E" w:rsidRDefault="003244CE" w:rsidP="009C40C0">
            <w:pPr>
              <w:pStyle w:val="Tabletext"/>
              <w:jc w:val="center"/>
            </w:pPr>
            <w:r w:rsidRPr="00A73A1E">
              <w:t>0</w:t>
            </w:r>
            <w:r w:rsidR="002C381E">
              <w:t>.</w:t>
            </w:r>
            <w:r w:rsidRPr="00A73A1E">
              <w:t>19</w:t>
            </w:r>
          </w:p>
        </w:tc>
        <w:tc>
          <w:tcPr>
            <w:tcW w:w="567" w:type="dxa"/>
            <w:noWrap/>
          </w:tcPr>
          <w:p w14:paraId="1BF8AC8C" w14:textId="11A76925" w:rsidR="003244CE" w:rsidRPr="00A73A1E" w:rsidRDefault="002C7DA3" w:rsidP="009C40C0">
            <w:pPr>
              <w:pStyle w:val="Tabletext"/>
              <w:jc w:val="center"/>
              <w:rPr>
                <w:highlight w:val="cyan"/>
              </w:rPr>
            </w:pPr>
            <w:r>
              <w:t>−</w:t>
            </w:r>
          </w:p>
        </w:tc>
      </w:tr>
      <w:tr w:rsidR="003244CE" w:rsidRPr="00A73A1E" w14:paraId="642A315A" w14:textId="77777777" w:rsidTr="009C40C0">
        <w:trPr>
          <w:trHeight w:val="255"/>
          <w:jc w:val="center"/>
        </w:trPr>
        <w:tc>
          <w:tcPr>
            <w:tcW w:w="1966" w:type="dxa"/>
            <w:vMerge/>
            <w:vAlign w:val="center"/>
          </w:tcPr>
          <w:p w14:paraId="5B7E27B5" w14:textId="77777777" w:rsidR="003244CE" w:rsidRPr="00A73A1E" w:rsidRDefault="003244CE" w:rsidP="009C40C0">
            <w:pPr>
              <w:pStyle w:val="Tabletext"/>
            </w:pPr>
          </w:p>
        </w:tc>
        <w:tc>
          <w:tcPr>
            <w:tcW w:w="1323" w:type="dxa"/>
            <w:vMerge/>
            <w:vAlign w:val="center"/>
          </w:tcPr>
          <w:p w14:paraId="11C6427E" w14:textId="77777777" w:rsidR="003244CE" w:rsidRPr="00A73A1E" w:rsidRDefault="003244CE" w:rsidP="009C40C0">
            <w:pPr>
              <w:pStyle w:val="Tabletext"/>
              <w:jc w:val="center"/>
            </w:pPr>
          </w:p>
        </w:tc>
        <w:tc>
          <w:tcPr>
            <w:tcW w:w="1276" w:type="dxa"/>
            <w:noWrap/>
          </w:tcPr>
          <w:p w14:paraId="7DF19949" w14:textId="77777777" w:rsidR="003244CE" w:rsidRPr="00A73A1E" w:rsidRDefault="003244CE" w:rsidP="009C40C0">
            <w:pPr>
              <w:pStyle w:val="Tabletext"/>
              <w:jc w:val="center"/>
            </w:pPr>
            <w:r w:rsidRPr="00A73A1E">
              <w:t>SNR (dB)</w:t>
            </w:r>
          </w:p>
        </w:tc>
        <w:tc>
          <w:tcPr>
            <w:tcW w:w="1134" w:type="dxa"/>
            <w:noWrap/>
          </w:tcPr>
          <w:p w14:paraId="38928A98" w14:textId="1EEEC6DA" w:rsidR="003244CE" w:rsidRPr="00A73A1E" w:rsidRDefault="003244CE" w:rsidP="009C40C0">
            <w:pPr>
              <w:pStyle w:val="Tabletext"/>
              <w:jc w:val="center"/>
            </w:pPr>
            <w:r>
              <w:rPr>
                <w:spacing w:val="-2"/>
                <w:szCs w:val="24"/>
              </w:rPr>
              <w:t>−</w:t>
            </w:r>
            <w:r w:rsidRPr="00A73A1E">
              <w:t>0</w:t>
            </w:r>
            <w:r w:rsidR="002C381E">
              <w:t>.</w:t>
            </w:r>
            <w:r w:rsidRPr="00A73A1E">
              <w:t>54</w:t>
            </w:r>
          </w:p>
        </w:tc>
        <w:tc>
          <w:tcPr>
            <w:tcW w:w="425" w:type="dxa"/>
            <w:noWrap/>
          </w:tcPr>
          <w:p w14:paraId="68DBB378" w14:textId="1C78F8D6" w:rsidR="003244CE" w:rsidRPr="00A73A1E" w:rsidRDefault="002C7DA3" w:rsidP="009C40C0">
            <w:pPr>
              <w:pStyle w:val="Tabletext"/>
              <w:jc w:val="center"/>
            </w:pPr>
            <w:r>
              <w:t>−</w:t>
            </w:r>
          </w:p>
        </w:tc>
        <w:tc>
          <w:tcPr>
            <w:tcW w:w="1134" w:type="dxa"/>
            <w:noWrap/>
          </w:tcPr>
          <w:p w14:paraId="4F810305" w14:textId="41F196A8" w:rsidR="003244CE" w:rsidRPr="00A73A1E" w:rsidRDefault="003244CE" w:rsidP="009C40C0">
            <w:pPr>
              <w:pStyle w:val="Tabletext"/>
              <w:jc w:val="center"/>
            </w:pPr>
            <w:r>
              <w:t>−</w:t>
            </w:r>
            <w:r w:rsidRPr="00A73A1E">
              <w:t>0</w:t>
            </w:r>
            <w:r w:rsidR="002C381E">
              <w:t>.</w:t>
            </w:r>
            <w:r w:rsidRPr="00A73A1E">
              <w:t>52</w:t>
            </w:r>
          </w:p>
        </w:tc>
        <w:tc>
          <w:tcPr>
            <w:tcW w:w="567" w:type="dxa"/>
            <w:noWrap/>
          </w:tcPr>
          <w:p w14:paraId="235DBD65" w14:textId="514CB1C7" w:rsidR="003244CE" w:rsidRPr="00A73A1E" w:rsidRDefault="002C7DA3" w:rsidP="009C40C0">
            <w:pPr>
              <w:pStyle w:val="Tabletext"/>
              <w:jc w:val="center"/>
            </w:pPr>
            <w:r>
              <w:t>−</w:t>
            </w:r>
          </w:p>
        </w:tc>
        <w:tc>
          <w:tcPr>
            <w:tcW w:w="1134" w:type="dxa"/>
            <w:noWrap/>
          </w:tcPr>
          <w:p w14:paraId="5E3798B7" w14:textId="02993F56" w:rsidR="003244CE" w:rsidRPr="00A73A1E" w:rsidRDefault="003244CE" w:rsidP="009C40C0">
            <w:pPr>
              <w:pStyle w:val="Tabletext"/>
              <w:jc w:val="center"/>
            </w:pPr>
            <w:r>
              <w:t>−</w:t>
            </w:r>
            <w:r w:rsidRPr="00A73A1E">
              <w:t>1</w:t>
            </w:r>
            <w:r w:rsidR="002C381E">
              <w:t>.</w:t>
            </w:r>
            <w:r w:rsidRPr="00A73A1E">
              <w:t>83</w:t>
            </w:r>
          </w:p>
        </w:tc>
        <w:tc>
          <w:tcPr>
            <w:tcW w:w="567" w:type="dxa"/>
            <w:noWrap/>
          </w:tcPr>
          <w:p w14:paraId="15EA9A32" w14:textId="761A7968" w:rsidR="003244CE" w:rsidRPr="00A73A1E" w:rsidRDefault="002C7DA3" w:rsidP="009C40C0">
            <w:pPr>
              <w:pStyle w:val="Tabletext"/>
              <w:jc w:val="center"/>
              <w:rPr>
                <w:highlight w:val="cyan"/>
              </w:rPr>
            </w:pPr>
            <w:r>
              <w:t>−</w:t>
            </w:r>
          </w:p>
        </w:tc>
      </w:tr>
      <w:tr w:rsidR="003244CE" w:rsidRPr="00A73A1E" w14:paraId="5CD5353A" w14:textId="77777777" w:rsidTr="009C40C0">
        <w:trPr>
          <w:trHeight w:val="255"/>
          <w:jc w:val="center"/>
        </w:trPr>
        <w:tc>
          <w:tcPr>
            <w:tcW w:w="1966" w:type="dxa"/>
            <w:vMerge/>
            <w:vAlign w:val="center"/>
          </w:tcPr>
          <w:p w14:paraId="41B42495" w14:textId="77777777" w:rsidR="003244CE" w:rsidRPr="00A73A1E" w:rsidRDefault="003244CE" w:rsidP="009C40C0">
            <w:pPr>
              <w:pStyle w:val="Tabletext"/>
            </w:pPr>
          </w:p>
        </w:tc>
        <w:tc>
          <w:tcPr>
            <w:tcW w:w="1323" w:type="dxa"/>
            <w:vMerge w:val="restart"/>
            <w:vAlign w:val="center"/>
          </w:tcPr>
          <w:p w14:paraId="36EC4EA2" w14:textId="77777777" w:rsidR="003244CE" w:rsidRPr="00A73A1E" w:rsidRDefault="003244CE" w:rsidP="009C40C0">
            <w:pPr>
              <w:pStyle w:val="Tabletext"/>
              <w:jc w:val="center"/>
            </w:pPr>
            <w:r w:rsidRPr="00A73A1E">
              <w:t>30</w:t>
            </w:r>
          </w:p>
        </w:tc>
        <w:tc>
          <w:tcPr>
            <w:tcW w:w="1276" w:type="dxa"/>
            <w:noWrap/>
            <w:vAlign w:val="center"/>
          </w:tcPr>
          <w:p w14:paraId="229162E9" w14:textId="77777777" w:rsidR="003244CE" w:rsidRPr="00A73A1E" w:rsidRDefault="003244CE" w:rsidP="009C40C0">
            <w:pPr>
              <w:pStyle w:val="Tabletext"/>
              <w:jc w:val="center"/>
            </w:pPr>
            <w:r w:rsidRPr="00A73A1E">
              <w:t>PDC</w:t>
            </w:r>
          </w:p>
        </w:tc>
        <w:tc>
          <w:tcPr>
            <w:tcW w:w="1134" w:type="dxa"/>
            <w:noWrap/>
          </w:tcPr>
          <w:p w14:paraId="3E8C581D" w14:textId="0D0CD235" w:rsidR="003244CE" w:rsidRPr="00A73A1E" w:rsidRDefault="003244CE" w:rsidP="009C40C0">
            <w:pPr>
              <w:pStyle w:val="Tabletext"/>
              <w:jc w:val="center"/>
            </w:pPr>
            <w:r w:rsidRPr="00A73A1E">
              <w:t>0</w:t>
            </w:r>
            <w:r w:rsidR="002C381E">
              <w:t>.</w:t>
            </w:r>
            <w:r w:rsidRPr="00A73A1E">
              <w:t>11</w:t>
            </w:r>
          </w:p>
        </w:tc>
        <w:tc>
          <w:tcPr>
            <w:tcW w:w="425" w:type="dxa"/>
            <w:noWrap/>
          </w:tcPr>
          <w:p w14:paraId="291D37B7" w14:textId="5F7298BF" w:rsidR="003244CE" w:rsidRPr="00A73A1E" w:rsidRDefault="002C7DA3" w:rsidP="009C40C0">
            <w:pPr>
              <w:pStyle w:val="Tabletext"/>
              <w:jc w:val="center"/>
            </w:pPr>
            <w:r>
              <w:t>−</w:t>
            </w:r>
          </w:p>
        </w:tc>
        <w:tc>
          <w:tcPr>
            <w:tcW w:w="1134" w:type="dxa"/>
            <w:noWrap/>
          </w:tcPr>
          <w:p w14:paraId="60EF1F86" w14:textId="4CD482D1" w:rsidR="003244CE" w:rsidRPr="00A73A1E" w:rsidRDefault="003244CE" w:rsidP="009C40C0">
            <w:pPr>
              <w:pStyle w:val="Tabletext"/>
              <w:jc w:val="center"/>
            </w:pPr>
            <w:r w:rsidRPr="00A73A1E">
              <w:t>0</w:t>
            </w:r>
            <w:r w:rsidR="002C381E">
              <w:t>.</w:t>
            </w:r>
            <w:r w:rsidRPr="00A73A1E">
              <w:t>10</w:t>
            </w:r>
          </w:p>
        </w:tc>
        <w:tc>
          <w:tcPr>
            <w:tcW w:w="567" w:type="dxa"/>
            <w:noWrap/>
          </w:tcPr>
          <w:p w14:paraId="509952C9" w14:textId="1C374217" w:rsidR="003244CE" w:rsidRPr="00A73A1E" w:rsidRDefault="002C7DA3" w:rsidP="009C40C0">
            <w:pPr>
              <w:pStyle w:val="Tabletext"/>
              <w:jc w:val="center"/>
            </w:pPr>
            <w:r>
              <w:t>−</w:t>
            </w:r>
          </w:p>
        </w:tc>
        <w:tc>
          <w:tcPr>
            <w:tcW w:w="1134" w:type="dxa"/>
            <w:noWrap/>
          </w:tcPr>
          <w:p w14:paraId="2509D392" w14:textId="50685F86" w:rsidR="003244CE" w:rsidRPr="00A73A1E" w:rsidRDefault="003244CE" w:rsidP="009C40C0">
            <w:pPr>
              <w:pStyle w:val="Tabletext"/>
              <w:jc w:val="center"/>
            </w:pPr>
            <w:r w:rsidRPr="00A73A1E">
              <w:t>0</w:t>
            </w:r>
            <w:r w:rsidR="002C381E">
              <w:t>.</w:t>
            </w:r>
            <w:r w:rsidRPr="00A73A1E">
              <w:t>26</w:t>
            </w:r>
          </w:p>
        </w:tc>
        <w:tc>
          <w:tcPr>
            <w:tcW w:w="567" w:type="dxa"/>
            <w:noWrap/>
          </w:tcPr>
          <w:p w14:paraId="050646C2" w14:textId="0F177CFF" w:rsidR="003244CE" w:rsidRPr="00A73A1E" w:rsidRDefault="002C7DA3" w:rsidP="009C40C0">
            <w:pPr>
              <w:pStyle w:val="Tabletext"/>
              <w:jc w:val="center"/>
              <w:rPr>
                <w:highlight w:val="cyan"/>
              </w:rPr>
            </w:pPr>
            <w:r>
              <w:t>−</w:t>
            </w:r>
          </w:p>
        </w:tc>
      </w:tr>
      <w:tr w:rsidR="003244CE" w:rsidRPr="00A73A1E" w14:paraId="4E24E7C2" w14:textId="77777777" w:rsidTr="009C40C0">
        <w:trPr>
          <w:trHeight w:val="255"/>
          <w:jc w:val="center"/>
        </w:trPr>
        <w:tc>
          <w:tcPr>
            <w:tcW w:w="1966" w:type="dxa"/>
            <w:vMerge/>
            <w:vAlign w:val="center"/>
          </w:tcPr>
          <w:p w14:paraId="7A67C71C" w14:textId="77777777" w:rsidR="003244CE" w:rsidRPr="00A73A1E" w:rsidRDefault="003244CE" w:rsidP="009C40C0">
            <w:pPr>
              <w:pStyle w:val="Tabletext"/>
            </w:pPr>
          </w:p>
        </w:tc>
        <w:tc>
          <w:tcPr>
            <w:tcW w:w="1323" w:type="dxa"/>
            <w:vMerge/>
            <w:vAlign w:val="center"/>
          </w:tcPr>
          <w:p w14:paraId="7A4E8397" w14:textId="77777777" w:rsidR="003244CE" w:rsidRPr="00A73A1E" w:rsidRDefault="003244CE" w:rsidP="009C40C0">
            <w:pPr>
              <w:pStyle w:val="Tabletext"/>
              <w:jc w:val="center"/>
            </w:pPr>
          </w:p>
        </w:tc>
        <w:tc>
          <w:tcPr>
            <w:tcW w:w="1276" w:type="dxa"/>
            <w:noWrap/>
            <w:vAlign w:val="center"/>
          </w:tcPr>
          <w:p w14:paraId="311B32F7" w14:textId="77777777" w:rsidR="003244CE" w:rsidRPr="00A73A1E" w:rsidRDefault="003244CE" w:rsidP="009C40C0">
            <w:pPr>
              <w:pStyle w:val="Tabletext"/>
              <w:jc w:val="center"/>
            </w:pPr>
            <w:r w:rsidRPr="00A73A1E">
              <w:t>SNR (dB)</w:t>
            </w:r>
          </w:p>
        </w:tc>
        <w:tc>
          <w:tcPr>
            <w:tcW w:w="1134" w:type="dxa"/>
            <w:noWrap/>
          </w:tcPr>
          <w:p w14:paraId="7B7EF1FD" w14:textId="7207C786" w:rsidR="003244CE" w:rsidRPr="00A73A1E" w:rsidRDefault="003244CE" w:rsidP="009C40C0">
            <w:pPr>
              <w:pStyle w:val="Tabletext"/>
              <w:jc w:val="center"/>
            </w:pPr>
            <w:r>
              <w:rPr>
                <w:spacing w:val="-2"/>
                <w:szCs w:val="24"/>
              </w:rPr>
              <w:t>−</w:t>
            </w:r>
            <w:r w:rsidRPr="00A73A1E">
              <w:t>1</w:t>
            </w:r>
            <w:r w:rsidR="002C381E">
              <w:t>.</w:t>
            </w:r>
            <w:r w:rsidRPr="00A73A1E">
              <w:t>02</w:t>
            </w:r>
          </w:p>
        </w:tc>
        <w:tc>
          <w:tcPr>
            <w:tcW w:w="425" w:type="dxa"/>
            <w:noWrap/>
          </w:tcPr>
          <w:p w14:paraId="501662F5" w14:textId="556F66A7" w:rsidR="003244CE" w:rsidRPr="00A73A1E" w:rsidRDefault="002C7DA3" w:rsidP="009C40C0">
            <w:pPr>
              <w:pStyle w:val="Tabletext"/>
              <w:jc w:val="center"/>
            </w:pPr>
            <w:r>
              <w:t>−</w:t>
            </w:r>
          </w:p>
        </w:tc>
        <w:tc>
          <w:tcPr>
            <w:tcW w:w="1134" w:type="dxa"/>
            <w:noWrap/>
          </w:tcPr>
          <w:p w14:paraId="05DF2826" w14:textId="6FB9DD4F" w:rsidR="003244CE" w:rsidRPr="00A73A1E" w:rsidRDefault="003244CE" w:rsidP="009C40C0">
            <w:pPr>
              <w:pStyle w:val="Tabletext"/>
              <w:jc w:val="center"/>
            </w:pPr>
            <w:r>
              <w:t>−</w:t>
            </w:r>
            <w:r w:rsidRPr="00A73A1E">
              <w:t>0</w:t>
            </w:r>
            <w:r w:rsidR="002C381E">
              <w:t>.</w:t>
            </w:r>
            <w:r w:rsidRPr="00A73A1E">
              <w:t>96</w:t>
            </w:r>
          </w:p>
        </w:tc>
        <w:tc>
          <w:tcPr>
            <w:tcW w:w="567" w:type="dxa"/>
            <w:noWrap/>
          </w:tcPr>
          <w:p w14:paraId="5D13F6CB" w14:textId="6D0B1440" w:rsidR="003244CE" w:rsidRPr="00A73A1E" w:rsidRDefault="002C7DA3" w:rsidP="009C40C0">
            <w:pPr>
              <w:pStyle w:val="Tabletext"/>
              <w:jc w:val="center"/>
            </w:pPr>
            <w:r>
              <w:t>−</w:t>
            </w:r>
          </w:p>
        </w:tc>
        <w:tc>
          <w:tcPr>
            <w:tcW w:w="1134" w:type="dxa"/>
            <w:noWrap/>
          </w:tcPr>
          <w:p w14:paraId="61EFC467" w14:textId="18942EA3" w:rsidR="003244CE" w:rsidRPr="00A73A1E" w:rsidRDefault="003244CE" w:rsidP="009C40C0">
            <w:pPr>
              <w:pStyle w:val="Tabletext"/>
              <w:jc w:val="center"/>
            </w:pPr>
            <w:r>
              <w:t>−</w:t>
            </w:r>
            <w:r w:rsidRPr="00A73A1E">
              <w:t>2</w:t>
            </w:r>
            <w:r w:rsidR="002C381E">
              <w:t>.</w:t>
            </w:r>
            <w:r w:rsidRPr="00A73A1E">
              <w:t>61</w:t>
            </w:r>
          </w:p>
        </w:tc>
        <w:tc>
          <w:tcPr>
            <w:tcW w:w="567" w:type="dxa"/>
            <w:noWrap/>
          </w:tcPr>
          <w:p w14:paraId="464E8A85" w14:textId="272E4D33" w:rsidR="003244CE" w:rsidRPr="00A73A1E" w:rsidRDefault="002C7DA3" w:rsidP="009C40C0">
            <w:pPr>
              <w:pStyle w:val="Tabletext"/>
              <w:jc w:val="center"/>
              <w:rPr>
                <w:highlight w:val="cyan"/>
              </w:rPr>
            </w:pPr>
            <w:r>
              <w:t>−</w:t>
            </w:r>
          </w:p>
        </w:tc>
      </w:tr>
      <w:tr w:rsidR="003244CE" w:rsidRPr="00A73A1E" w14:paraId="36E0D667" w14:textId="77777777" w:rsidTr="009C40C0">
        <w:trPr>
          <w:trHeight w:val="283"/>
          <w:jc w:val="center"/>
        </w:trPr>
        <w:tc>
          <w:tcPr>
            <w:tcW w:w="1966" w:type="dxa"/>
            <w:vMerge w:val="restart"/>
            <w:noWrap/>
            <w:vAlign w:val="center"/>
          </w:tcPr>
          <w:p w14:paraId="78DBD657" w14:textId="77777777" w:rsidR="003244CE" w:rsidRPr="00A73A1E" w:rsidRDefault="003244CE" w:rsidP="009C40C0">
            <w:pPr>
              <w:pStyle w:val="Tabletext"/>
            </w:pPr>
            <w:r w:rsidRPr="00A73A1E">
              <w:t>Indoor positioning</w:t>
            </w:r>
          </w:p>
        </w:tc>
        <w:tc>
          <w:tcPr>
            <w:tcW w:w="1323" w:type="dxa"/>
            <w:vMerge w:val="restart"/>
            <w:vAlign w:val="center"/>
          </w:tcPr>
          <w:p w14:paraId="24BAB1C8" w14:textId="77777777" w:rsidR="003244CE" w:rsidRPr="00A73A1E" w:rsidRDefault="003244CE" w:rsidP="009C40C0">
            <w:pPr>
              <w:pStyle w:val="Tabletext"/>
              <w:jc w:val="center"/>
            </w:pPr>
            <w:r w:rsidRPr="00A73A1E">
              <w:t>30</w:t>
            </w:r>
          </w:p>
        </w:tc>
        <w:tc>
          <w:tcPr>
            <w:tcW w:w="1276" w:type="dxa"/>
            <w:noWrap/>
            <w:vAlign w:val="center"/>
          </w:tcPr>
          <w:p w14:paraId="294307F8" w14:textId="77777777" w:rsidR="003244CE" w:rsidRPr="00A73A1E" w:rsidRDefault="003244CE" w:rsidP="009C40C0">
            <w:pPr>
              <w:pStyle w:val="Tabletext"/>
              <w:jc w:val="center"/>
            </w:pPr>
            <w:r w:rsidRPr="00A73A1E">
              <w:t>PDC</w:t>
            </w:r>
          </w:p>
        </w:tc>
        <w:tc>
          <w:tcPr>
            <w:tcW w:w="1134" w:type="dxa"/>
            <w:noWrap/>
          </w:tcPr>
          <w:p w14:paraId="0B95856C" w14:textId="59595775" w:rsidR="003244CE" w:rsidRPr="00A73A1E" w:rsidRDefault="003244CE" w:rsidP="009C40C0">
            <w:pPr>
              <w:pStyle w:val="Tabletext"/>
              <w:jc w:val="center"/>
            </w:pPr>
            <w:r w:rsidRPr="00A73A1E">
              <w:t>0</w:t>
            </w:r>
            <w:r w:rsidR="002C381E">
              <w:t>.</w:t>
            </w:r>
            <w:r w:rsidRPr="00A73A1E">
              <w:t>11</w:t>
            </w:r>
          </w:p>
        </w:tc>
        <w:tc>
          <w:tcPr>
            <w:tcW w:w="425" w:type="dxa"/>
            <w:noWrap/>
          </w:tcPr>
          <w:p w14:paraId="022C28ED" w14:textId="78BA3053" w:rsidR="003244CE" w:rsidRPr="00A73A1E" w:rsidRDefault="002C7DA3" w:rsidP="009C40C0">
            <w:pPr>
              <w:pStyle w:val="Tabletext"/>
              <w:jc w:val="center"/>
            </w:pPr>
            <w:r>
              <w:t>−</w:t>
            </w:r>
          </w:p>
        </w:tc>
        <w:tc>
          <w:tcPr>
            <w:tcW w:w="1134" w:type="dxa"/>
            <w:noWrap/>
          </w:tcPr>
          <w:p w14:paraId="732AB169" w14:textId="13F01176" w:rsidR="003244CE" w:rsidRPr="00A73A1E" w:rsidRDefault="003244CE" w:rsidP="009C40C0">
            <w:pPr>
              <w:pStyle w:val="Tabletext"/>
              <w:jc w:val="center"/>
            </w:pPr>
            <w:r w:rsidRPr="00A73A1E">
              <w:t>0</w:t>
            </w:r>
            <w:r w:rsidR="002C381E">
              <w:t>.</w:t>
            </w:r>
            <w:r w:rsidRPr="00A73A1E">
              <w:t>10</w:t>
            </w:r>
          </w:p>
        </w:tc>
        <w:tc>
          <w:tcPr>
            <w:tcW w:w="567" w:type="dxa"/>
            <w:noWrap/>
          </w:tcPr>
          <w:p w14:paraId="47E4F485" w14:textId="1D55D844" w:rsidR="003244CE" w:rsidRPr="00A73A1E" w:rsidRDefault="002C7DA3" w:rsidP="009C40C0">
            <w:pPr>
              <w:pStyle w:val="Tabletext"/>
              <w:jc w:val="center"/>
            </w:pPr>
            <w:r>
              <w:t>−</w:t>
            </w:r>
          </w:p>
        </w:tc>
        <w:tc>
          <w:tcPr>
            <w:tcW w:w="1134" w:type="dxa"/>
            <w:noWrap/>
          </w:tcPr>
          <w:p w14:paraId="358567F6" w14:textId="7E7EC6EC" w:rsidR="003244CE" w:rsidRPr="00A73A1E" w:rsidRDefault="003244CE" w:rsidP="009C40C0">
            <w:pPr>
              <w:pStyle w:val="Tabletext"/>
              <w:jc w:val="center"/>
            </w:pPr>
            <w:r w:rsidRPr="00A73A1E">
              <w:t>0</w:t>
            </w:r>
            <w:r w:rsidR="002C381E">
              <w:t>.</w:t>
            </w:r>
            <w:r w:rsidRPr="00A73A1E">
              <w:t>26</w:t>
            </w:r>
          </w:p>
        </w:tc>
        <w:tc>
          <w:tcPr>
            <w:tcW w:w="567" w:type="dxa"/>
            <w:noWrap/>
          </w:tcPr>
          <w:p w14:paraId="59F21372" w14:textId="32F51205" w:rsidR="003244CE" w:rsidRPr="00A73A1E" w:rsidRDefault="002C7DA3" w:rsidP="009C40C0">
            <w:pPr>
              <w:pStyle w:val="Tabletext"/>
              <w:jc w:val="center"/>
              <w:rPr>
                <w:highlight w:val="cyan"/>
              </w:rPr>
            </w:pPr>
            <w:r>
              <w:t>−</w:t>
            </w:r>
          </w:p>
        </w:tc>
      </w:tr>
      <w:tr w:rsidR="003244CE" w:rsidRPr="00A73A1E" w14:paraId="4985E0B6" w14:textId="77777777" w:rsidTr="009C40C0">
        <w:trPr>
          <w:trHeight w:val="255"/>
          <w:jc w:val="center"/>
        </w:trPr>
        <w:tc>
          <w:tcPr>
            <w:tcW w:w="1966" w:type="dxa"/>
            <w:vMerge/>
          </w:tcPr>
          <w:p w14:paraId="6A8E0D06" w14:textId="77777777" w:rsidR="003244CE" w:rsidRPr="00A73A1E" w:rsidRDefault="003244CE" w:rsidP="009C40C0">
            <w:pPr>
              <w:pStyle w:val="Tabletext"/>
            </w:pPr>
          </w:p>
        </w:tc>
        <w:tc>
          <w:tcPr>
            <w:tcW w:w="1323" w:type="dxa"/>
            <w:vMerge/>
            <w:vAlign w:val="center"/>
          </w:tcPr>
          <w:p w14:paraId="669696B0" w14:textId="77777777" w:rsidR="003244CE" w:rsidRPr="00A73A1E" w:rsidRDefault="003244CE" w:rsidP="009C40C0">
            <w:pPr>
              <w:pStyle w:val="Tabletext"/>
              <w:jc w:val="center"/>
            </w:pPr>
          </w:p>
        </w:tc>
        <w:tc>
          <w:tcPr>
            <w:tcW w:w="1276" w:type="dxa"/>
            <w:noWrap/>
            <w:vAlign w:val="center"/>
          </w:tcPr>
          <w:p w14:paraId="3A1FD347" w14:textId="77777777" w:rsidR="003244CE" w:rsidRPr="00A73A1E" w:rsidRDefault="003244CE" w:rsidP="009C40C0">
            <w:pPr>
              <w:pStyle w:val="Tabletext"/>
              <w:jc w:val="center"/>
            </w:pPr>
            <w:r w:rsidRPr="00A73A1E">
              <w:t>SNR (dB)</w:t>
            </w:r>
          </w:p>
        </w:tc>
        <w:tc>
          <w:tcPr>
            <w:tcW w:w="1134" w:type="dxa"/>
            <w:noWrap/>
          </w:tcPr>
          <w:p w14:paraId="71F90F80" w14:textId="7BC87D69" w:rsidR="003244CE" w:rsidRPr="00A73A1E" w:rsidRDefault="003244CE" w:rsidP="009C40C0">
            <w:pPr>
              <w:pStyle w:val="Tabletext"/>
              <w:jc w:val="center"/>
            </w:pPr>
            <w:r>
              <w:rPr>
                <w:spacing w:val="-2"/>
                <w:szCs w:val="24"/>
              </w:rPr>
              <w:t>−</w:t>
            </w:r>
            <w:r w:rsidRPr="00A73A1E">
              <w:t>1</w:t>
            </w:r>
            <w:r w:rsidR="002C381E">
              <w:t>.</w:t>
            </w:r>
            <w:r w:rsidRPr="00A73A1E">
              <w:t>02</w:t>
            </w:r>
          </w:p>
        </w:tc>
        <w:tc>
          <w:tcPr>
            <w:tcW w:w="425" w:type="dxa"/>
            <w:noWrap/>
          </w:tcPr>
          <w:p w14:paraId="7AD490FD" w14:textId="16CB6886" w:rsidR="003244CE" w:rsidRPr="00A73A1E" w:rsidRDefault="002C7DA3" w:rsidP="009C40C0">
            <w:pPr>
              <w:pStyle w:val="Tabletext"/>
              <w:jc w:val="center"/>
            </w:pPr>
            <w:r>
              <w:t>−</w:t>
            </w:r>
          </w:p>
        </w:tc>
        <w:tc>
          <w:tcPr>
            <w:tcW w:w="1134" w:type="dxa"/>
            <w:noWrap/>
          </w:tcPr>
          <w:p w14:paraId="47CB44E7" w14:textId="3B9BFBE2" w:rsidR="003244CE" w:rsidRPr="00A73A1E" w:rsidRDefault="003244CE" w:rsidP="009C40C0">
            <w:pPr>
              <w:pStyle w:val="Tabletext"/>
              <w:jc w:val="center"/>
            </w:pPr>
            <w:r>
              <w:t>−</w:t>
            </w:r>
            <w:r w:rsidRPr="00A73A1E">
              <w:t>0</w:t>
            </w:r>
            <w:r w:rsidR="002C381E">
              <w:t>.</w:t>
            </w:r>
            <w:r w:rsidRPr="00A73A1E">
              <w:t>96</w:t>
            </w:r>
          </w:p>
        </w:tc>
        <w:tc>
          <w:tcPr>
            <w:tcW w:w="567" w:type="dxa"/>
            <w:noWrap/>
          </w:tcPr>
          <w:p w14:paraId="5C1F29A8" w14:textId="7D527E6A" w:rsidR="003244CE" w:rsidRPr="00A73A1E" w:rsidRDefault="002C7DA3" w:rsidP="009C40C0">
            <w:pPr>
              <w:pStyle w:val="Tabletext"/>
              <w:jc w:val="center"/>
            </w:pPr>
            <w:r>
              <w:t>−</w:t>
            </w:r>
          </w:p>
        </w:tc>
        <w:tc>
          <w:tcPr>
            <w:tcW w:w="1134" w:type="dxa"/>
            <w:noWrap/>
          </w:tcPr>
          <w:p w14:paraId="328E06C5" w14:textId="5CF45C14" w:rsidR="003244CE" w:rsidRPr="00A73A1E" w:rsidRDefault="003244CE" w:rsidP="009C40C0">
            <w:pPr>
              <w:pStyle w:val="Tabletext"/>
              <w:jc w:val="center"/>
            </w:pPr>
            <w:r>
              <w:t>−</w:t>
            </w:r>
            <w:r w:rsidRPr="00A73A1E">
              <w:t>2</w:t>
            </w:r>
            <w:r w:rsidR="002C381E">
              <w:t>.</w:t>
            </w:r>
            <w:r w:rsidRPr="00A73A1E">
              <w:t>61</w:t>
            </w:r>
          </w:p>
        </w:tc>
        <w:tc>
          <w:tcPr>
            <w:tcW w:w="567" w:type="dxa"/>
            <w:noWrap/>
          </w:tcPr>
          <w:p w14:paraId="0DA68D42" w14:textId="4E89C8E9" w:rsidR="003244CE" w:rsidRPr="00A73A1E" w:rsidRDefault="002C7DA3" w:rsidP="009C40C0">
            <w:pPr>
              <w:pStyle w:val="Tabletext"/>
              <w:jc w:val="center"/>
              <w:rPr>
                <w:highlight w:val="cyan"/>
              </w:rPr>
            </w:pPr>
            <w:r>
              <w:t>−</w:t>
            </w:r>
          </w:p>
        </w:tc>
      </w:tr>
      <w:tr w:rsidR="003244CE" w:rsidRPr="00A73A1E" w14:paraId="74CA58BF" w14:textId="77777777" w:rsidTr="009C40C0">
        <w:trPr>
          <w:trHeight w:val="291"/>
          <w:jc w:val="center"/>
        </w:trPr>
        <w:tc>
          <w:tcPr>
            <w:tcW w:w="1966" w:type="dxa"/>
            <w:vMerge w:val="restart"/>
            <w:noWrap/>
            <w:vAlign w:val="center"/>
          </w:tcPr>
          <w:p w14:paraId="300A87C0" w14:textId="77777777" w:rsidR="003244CE" w:rsidRPr="00A73A1E" w:rsidRDefault="003244CE" w:rsidP="009C40C0">
            <w:pPr>
              <w:pStyle w:val="Tabletext"/>
            </w:pPr>
            <w:r w:rsidRPr="00A73A1E">
              <w:t>General purpose</w:t>
            </w:r>
          </w:p>
        </w:tc>
        <w:tc>
          <w:tcPr>
            <w:tcW w:w="1323" w:type="dxa"/>
            <w:vMerge w:val="restart"/>
            <w:vAlign w:val="center"/>
          </w:tcPr>
          <w:p w14:paraId="1F069E3A" w14:textId="77777777" w:rsidR="003244CE" w:rsidRPr="00A73A1E" w:rsidRDefault="003244CE" w:rsidP="009C40C0">
            <w:pPr>
              <w:pStyle w:val="Tabletext"/>
              <w:jc w:val="center"/>
            </w:pPr>
            <w:r w:rsidRPr="00A73A1E">
              <w:t>30</w:t>
            </w:r>
          </w:p>
        </w:tc>
        <w:tc>
          <w:tcPr>
            <w:tcW w:w="1276" w:type="dxa"/>
            <w:noWrap/>
            <w:vAlign w:val="center"/>
          </w:tcPr>
          <w:p w14:paraId="5BF0E9DD" w14:textId="77777777" w:rsidR="003244CE" w:rsidRPr="00A73A1E" w:rsidRDefault="003244CE" w:rsidP="009C40C0">
            <w:pPr>
              <w:pStyle w:val="Tabletext"/>
              <w:jc w:val="center"/>
            </w:pPr>
            <w:r w:rsidRPr="00A73A1E">
              <w:t>PDC</w:t>
            </w:r>
          </w:p>
        </w:tc>
        <w:tc>
          <w:tcPr>
            <w:tcW w:w="1134" w:type="dxa"/>
            <w:noWrap/>
          </w:tcPr>
          <w:p w14:paraId="4448B879" w14:textId="43FFD3EC" w:rsidR="003244CE" w:rsidRPr="00A73A1E" w:rsidRDefault="003244CE" w:rsidP="009C40C0">
            <w:pPr>
              <w:pStyle w:val="Tabletext"/>
              <w:jc w:val="center"/>
            </w:pPr>
            <w:r w:rsidRPr="00A73A1E">
              <w:t>0</w:t>
            </w:r>
            <w:r w:rsidR="002C381E">
              <w:t>.</w:t>
            </w:r>
            <w:r w:rsidRPr="00A73A1E">
              <w:t>11</w:t>
            </w:r>
          </w:p>
        </w:tc>
        <w:tc>
          <w:tcPr>
            <w:tcW w:w="425" w:type="dxa"/>
            <w:noWrap/>
          </w:tcPr>
          <w:p w14:paraId="34D9D718" w14:textId="279CA9C2" w:rsidR="003244CE" w:rsidRPr="00A73A1E" w:rsidRDefault="002C7DA3" w:rsidP="009C40C0">
            <w:pPr>
              <w:pStyle w:val="Tabletext"/>
              <w:jc w:val="center"/>
            </w:pPr>
            <w:r>
              <w:t>−</w:t>
            </w:r>
          </w:p>
        </w:tc>
        <w:tc>
          <w:tcPr>
            <w:tcW w:w="1134" w:type="dxa"/>
            <w:noWrap/>
          </w:tcPr>
          <w:p w14:paraId="241D8518" w14:textId="2444DBBB" w:rsidR="003244CE" w:rsidRPr="00A73A1E" w:rsidRDefault="003244CE" w:rsidP="009C40C0">
            <w:pPr>
              <w:pStyle w:val="Tabletext"/>
              <w:jc w:val="center"/>
            </w:pPr>
            <w:r w:rsidRPr="00A73A1E">
              <w:t>0</w:t>
            </w:r>
            <w:r w:rsidR="002C381E">
              <w:t>.</w:t>
            </w:r>
            <w:r w:rsidRPr="00A73A1E">
              <w:t>10</w:t>
            </w:r>
          </w:p>
        </w:tc>
        <w:tc>
          <w:tcPr>
            <w:tcW w:w="567" w:type="dxa"/>
            <w:noWrap/>
          </w:tcPr>
          <w:p w14:paraId="1B87A73D" w14:textId="1CCDABE3" w:rsidR="003244CE" w:rsidRPr="00A73A1E" w:rsidRDefault="002C7DA3" w:rsidP="009C40C0">
            <w:pPr>
              <w:pStyle w:val="Tabletext"/>
              <w:jc w:val="center"/>
            </w:pPr>
            <w:r>
              <w:t>−</w:t>
            </w:r>
          </w:p>
        </w:tc>
        <w:tc>
          <w:tcPr>
            <w:tcW w:w="1134" w:type="dxa"/>
            <w:noWrap/>
          </w:tcPr>
          <w:p w14:paraId="3E278782" w14:textId="4386049D" w:rsidR="003244CE" w:rsidRPr="00A73A1E" w:rsidRDefault="003244CE" w:rsidP="009C40C0">
            <w:pPr>
              <w:pStyle w:val="Tabletext"/>
              <w:jc w:val="center"/>
            </w:pPr>
            <w:r w:rsidRPr="00A73A1E">
              <w:t>0</w:t>
            </w:r>
            <w:r w:rsidR="002C381E">
              <w:t>.</w:t>
            </w:r>
            <w:r w:rsidRPr="00A73A1E">
              <w:t>26</w:t>
            </w:r>
          </w:p>
        </w:tc>
        <w:tc>
          <w:tcPr>
            <w:tcW w:w="567" w:type="dxa"/>
            <w:noWrap/>
          </w:tcPr>
          <w:p w14:paraId="0D86507C" w14:textId="0015E0BB" w:rsidR="003244CE" w:rsidRPr="00A73A1E" w:rsidRDefault="002C7DA3" w:rsidP="009C40C0">
            <w:pPr>
              <w:pStyle w:val="Tabletext"/>
              <w:jc w:val="center"/>
              <w:rPr>
                <w:highlight w:val="cyan"/>
              </w:rPr>
            </w:pPr>
            <w:r>
              <w:t>−</w:t>
            </w:r>
          </w:p>
        </w:tc>
      </w:tr>
      <w:tr w:rsidR="003244CE" w:rsidRPr="00A73A1E" w14:paraId="0595FF86" w14:textId="77777777" w:rsidTr="009C40C0">
        <w:trPr>
          <w:trHeight w:val="255"/>
          <w:jc w:val="center"/>
        </w:trPr>
        <w:tc>
          <w:tcPr>
            <w:tcW w:w="1966" w:type="dxa"/>
            <w:vMerge/>
          </w:tcPr>
          <w:p w14:paraId="11BB7DF7" w14:textId="77777777" w:rsidR="003244CE" w:rsidRPr="00A73A1E" w:rsidRDefault="003244CE" w:rsidP="009C40C0">
            <w:pPr>
              <w:pStyle w:val="Tabletext"/>
              <w:jc w:val="center"/>
            </w:pPr>
          </w:p>
        </w:tc>
        <w:tc>
          <w:tcPr>
            <w:tcW w:w="1323" w:type="dxa"/>
            <w:vMerge/>
          </w:tcPr>
          <w:p w14:paraId="60DC39D4" w14:textId="77777777" w:rsidR="003244CE" w:rsidRPr="00A73A1E" w:rsidRDefault="003244CE" w:rsidP="009C40C0">
            <w:pPr>
              <w:pStyle w:val="Tabletext"/>
              <w:jc w:val="center"/>
            </w:pPr>
          </w:p>
        </w:tc>
        <w:tc>
          <w:tcPr>
            <w:tcW w:w="1276" w:type="dxa"/>
            <w:noWrap/>
            <w:vAlign w:val="center"/>
          </w:tcPr>
          <w:p w14:paraId="7BA376B1" w14:textId="77777777" w:rsidR="003244CE" w:rsidRPr="00A73A1E" w:rsidRDefault="003244CE" w:rsidP="009C40C0">
            <w:pPr>
              <w:pStyle w:val="Tabletext"/>
              <w:jc w:val="center"/>
            </w:pPr>
            <w:r w:rsidRPr="00A73A1E">
              <w:t>SNR (dB)</w:t>
            </w:r>
          </w:p>
        </w:tc>
        <w:tc>
          <w:tcPr>
            <w:tcW w:w="1134" w:type="dxa"/>
            <w:noWrap/>
          </w:tcPr>
          <w:p w14:paraId="490D6E18" w14:textId="7DD97441" w:rsidR="003244CE" w:rsidRPr="00A73A1E" w:rsidRDefault="003244CE" w:rsidP="009C40C0">
            <w:pPr>
              <w:pStyle w:val="Tabletext"/>
              <w:jc w:val="center"/>
            </w:pPr>
            <w:r>
              <w:rPr>
                <w:spacing w:val="-2"/>
                <w:szCs w:val="24"/>
              </w:rPr>
              <w:t>−</w:t>
            </w:r>
            <w:r w:rsidRPr="00A73A1E">
              <w:t>1</w:t>
            </w:r>
            <w:r w:rsidR="002C381E">
              <w:t>.</w:t>
            </w:r>
            <w:r w:rsidRPr="00A73A1E">
              <w:t>02</w:t>
            </w:r>
          </w:p>
        </w:tc>
        <w:tc>
          <w:tcPr>
            <w:tcW w:w="425" w:type="dxa"/>
            <w:noWrap/>
          </w:tcPr>
          <w:p w14:paraId="23456A0F" w14:textId="0F8E08A4" w:rsidR="003244CE" w:rsidRPr="00A73A1E" w:rsidRDefault="002C7DA3" w:rsidP="009C40C0">
            <w:pPr>
              <w:pStyle w:val="Tabletext"/>
              <w:jc w:val="center"/>
            </w:pPr>
            <w:r>
              <w:t>−</w:t>
            </w:r>
          </w:p>
        </w:tc>
        <w:tc>
          <w:tcPr>
            <w:tcW w:w="1134" w:type="dxa"/>
            <w:noWrap/>
          </w:tcPr>
          <w:p w14:paraId="39028509" w14:textId="244231E9" w:rsidR="003244CE" w:rsidRPr="00A73A1E" w:rsidRDefault="003244CE" w:rsidP="009C40C0">
            <w:pPr>
              <w:pStyle w:val="Tabletext"/>
              <w:jc w:val="center"/>
            </w:pPr>
            <w:r>
              <w:t>−</w:t>
            </w:r>
            <w:r w:rsidRPr="00A73A1E">
              <w:t>0</w:t>
            </w:r>
            <w:r w:rsidR="002C381E">
              <w:t>.</w:t>
            </w:r>
            <w:r w:rsidRPr="00A73A1E">
              <w:t>96</w:t>
            </w:r>
          </w:p>
        </w:tc>
        <w:tc>
          <w:tcPr>
            <w:tcW w:w="567" w:type="dxa"/>
            <w:noWrap/>
          </w:tcPr>
          <w:p w14:paraId="30B67DF7" w14:textId="771DDC25" w:rsidR="003244CE" w:rsidRPr="00A73A1E" w:rsidRDefault="002C7DA3" w:rsidP="009C40C0">
            <w:pPr>
              <w:pStyle w:val="Tabletext"/>
              <w:jc w:val="center"/>
            </w:pPr>
            <w:r>
              <w:t>−</w:t>
            </w:r>
          </w:p>
        </w:tc>
        <w:tc>
          <w:tcPr>
            <w:tcW w:w="1134" w:type="dxa"/>
            <w:noWrap/>
          </w:tcPr>
          <w:p w14:paraId="640B4272" w14:textId="235F6370" w:rsidR="003244CE" w:rsidRPr="00A73A1E" w:rsidRDefault="003244CE" w:rsidP="009C40C0">
            <w:pPr>
              <w:pStyle w:val="Tabletext"/>
              <w:jc w:val="center"/>
            </w:pPr>
            <w:r>
              <w:t>−</w:t>
            </w:r>
            <w:r w:rsidRPr="00A73A1E">
              <w:t>2</w:t>
            </w:r>
            <w:r w:rsidR="002C381E">
              <w:t>.</w:t>
            </w:r>
            <w:r w:rsidRPr="00A73A1E">
              <w:t>61</w:t>
            </w:r>
          </w:p>
        </w:tc>
        <w:tc>
          <w:tcPr>
            <w:tcW w:w="567" w:type="dxa"/>
            <w:noWrap/>
          </w:tcPr>
          <w:p w14:paraId="1F0107D3" w14:textId="7FB97B92" w:rsidR="003244CE" w:rsidRPr="00A73A1E" w:rsidRDefault="002C7DA3" w:rsidP="009C40C0">
            <w:pPr>
              <w:pStyle w:val="Tabletext"/>
              <w:jc w:val="center"/>
              <w:rPr>
                <w:highlight w:val="cyan"/>
              </w:rPr>
            </w:pPr>
            <w:r>
              <w:t>−</w:t>
            </w:r>
          </w:p>
        </w:tc>
      </w:tr>
    </w:tbl>
    <w:p w14:paraId="6678714C" w14:textId="77777777" w:rsidR="003244CE" w:rsidRPr="00A73A1E" w:rsidRDefault="003244CE" w:rsidP="003244CE">
      <w:pPr>
        <w:pStyle w:val="Tablefin"/>
        <w:rPr>
          <w:rFonts w:eastAsia="MS Mincho"/>
        </w:rPr>
      </w:pPr>
    </w:p>
    <w:p w14:paraId="359F6499" w14:textId="77777777" w:rsidR="003244CE" w:rsidRPr="00A73A1E" w:rsidRDefault="003244CE" w:rsidP="003244CE">
      <w:pPr>
        <w:spacing w:before="0"/>
        <w:rPr>
          <w:sz w:val="20"/>
        </w:rPr>
      </w:pPr>
    </w:p>
    <w:p w14:paraId="3EE32251" w14:textId="77777777" w:rsidR="003244CE" w:rsidRPr="00A73A1E" w:rsidRDefault="003244CE" w:rsidP="003244CE">
      <w:pPr>
        <w:spacing w:before="0"/>
        <w:rPr>
          <w:sz w:val="20"/>
        </w:rPr>
        <w:sectPr w:rsidR="003244CE" w:rsidRPr="00A73A1E" w:rsidSect="007333B5">
          <w:headerReference w:type="even" r:id="rId72"/>
          <w:headerReference w:type="default" r:id="rId73"/>
          <w:footerReference w:type="even" r:id="rId74"/>
          <w:footerReference w:type="default" r:id="rId75"/>
          <w:footerReference w:type="first" r:id="rId76"/>
          <w:pgSz w:w="11907" w:h="16834" w:code="9"/>
          <w:pgMar w:top="1418" w:right="1134" w:bottom="1134" w:left="1134" w:header="720" w:footer="482" w:gutter="0"/>
          <w:cols w:space="720"/>
          <w:docGrid w:linePitch="326"/>
        </w:sectPr>
      </w:pPr>
    </w:p>
    <w:p w14:paraId="2AA84403" w14:textId="1D639DDC" w:rsidR="003244CE" w:rsidRPr="00A73A1E" w:rsidRDefault="003244CE" w:rsidP="002C7DA3">
      <w:pPr>
        <w:pStyle w:val="TableNo"/>
        <w:spacing w:before="0"/>
      </w:pPr>
      <w:r w:rsidRPr="00A73A1E">
        <w:lastRenderedPageBreak/>
        <w:t>T</w:t>
      </w:r>
      <w:r w:rsidR="002C7DA3">
        <w:t>ABLE</w:t>
      </w:r>
      <w:r w:rsidRPr="00A73A1E">
        <w:t xml:space="preserve"> </w:t>
      </w:r>
      <w:r>
        <w:t>17</w:t>
      </w:r>
    </w:p>
    <w:p w14:paraId="1445DE9D" w14:textId="77777777" w:rsidR="003244CE" w:rsidRPr="00A73A1E" w:rsidRDefault="003244CE" w:rsidP="003244CE">
      <w:pPr>
        <w:pStyle w:val="Tabletitle"/>
        <w:rPr>
          <w:szCs w:val="24"/>
        </w:rPr>
      </w:pPr>
      <w:r w:rsidRPr="00A73A1E">
        <w:t>PDC parameters of certain EESS active sensors and the result of SNR degradation for GLONASS receivers</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108"/>
        <w:gridCol w:w="1066"/>
        <w:gridCol w:w="1023"/>
        <w:gridCol w:w="652"/>
        <w:gridCol w:w="746"/>
        <w:gridCol w:w="839"/>
        <w:gridCol w:w="838"/>
        <w:gridCol w:w="839"/>
        <w:gridCol w:w="838"/>
        <w:gridCol w:w="700"/>
        <w:gridCol w:w="780"/>
        <w:gridCol w:w="897"/>
        <w:gridCol w:w="838"/>
        <w:gridCol w:w="839"/>
        <w:gridCol w:w="838"/>
        <w:gridCol w:w="819"/>
        <w:gridCol w:w="799"/>
      </w:tblGrid>
      <w:tr w:rsidR="003244CE" w:rsidRPr="007E359E" w14:paraId="4FC5A454" w14:textId="77777777" w:rsidTr="002C381E">
        <w:trPr>
          <w:trHeight w:val="255"/>
          <w:jc w:val="center"/>
        </w:trPr>
        <w:tc>
          <w:tcPr>
            <w:tcW w:w="1123" w:type="dxa"/>
            <w:vMerge w:val="restart"/>
            <w:noWrap/>
            <w:vAlign w:val="center"/>
          </w:tcPr>
          <w:p w14:paraId="5779F75D" w14:textId="77777777" w:rsidR="003244CE" w:rsidRPr="007E359E" w:rsidRDefault="003244CE" w:rsidP="009C40C0">
            <w:pPr>
              <w:pStyle w:val="Tablehead"/>
              <w:rPr>
                <w:sz w:val="20"/>
              </w:rPr>
            </w:pPr>
            <w:r w:rsidRPr="007E359E">
              <w:rPr>
                <w:sz w:val="20"/>
              </w:rPr>
              <w:t>Receiver type</w:t>
            </w:r>
          </w:p>
        </w:tc>
        <w:tc>
          <w:tcPr>
            <w:tcW w:w="1080" w:type="dxa"/>
            <w:vMerge w:val="restart"/>
            <w:vAlign w:val="center"/>
          </w:tcPr>
          <w:p w14:paraId="7D138BD0" w14:textId="77777777" w:rsidR="003244CE" w:rsidRPr="007E359E" w:rsidRDefault="003244CE" w:rsidP="009C40C0">
            <w:pPr>
              <w:pStyle w:val="Tablehead"/>
              <w:rPr>
                <w:sz w:val="20"/>
              </w:rPr>
            </w:pPr>
            <w:r w:rsidRPr="007E359E">
              <w:rPr>
                <w:sz w:val="20"/>
              </w:rPr>
              <w:t>Overload recovery time (</w:t>
            </w:r>
            <w:r w:rsidRPr="007E359E">
              <w:rPr>
                <w:sz w:val="20"/>
                <w:lang w:eastAsia="ja-JP"/>
              </w:rPr>
              <w:t>µs)</w:t>
            </w:r>
          </w:p>
        </w:tc>
        <w:tc>
          <w:tcPr>
            <w:tcW w:w="1037" w:type="dxa"/>
            <w:vAlign w:val="center"/>
          </w:tcPr>
          <w:p w14:paraId="71E7B361" w14:textId="77777777" w:rsidR="003244CE" w:rsidRPr="007E359E" w:rsidRDefault="003244CE" w:rsidP="009C40C0">
            <w:pPr>
              <w:pStyle w:val="Tablehead"/>
              <w:rPr>
                <w:sz w:val="20"/>
              </w:rPr>
            </w:pPr>
            <w:r w:rsidRPr="007E359E">
              <w:rPr>
                <w:sz w:val="20"/>
              </w:rPr>
              <w:t>Active</w:t>
            </w:r>
            <w:r w:rsidRPr="007E359E">
              <w:rPr>
                <w:sz w:val="20"/>
              </w:rPr>
              <w:br/>
              <w:t>sensor</w:t>
            </w:r>
          </w:p>
        </w:tc>
        <w:tc>
          <w:tcPr>
            <w:tcW w:w="1417" w:type="dxa"/>
            <w:gridSpan w:val="2"/>
            <w:noWrap/>
            <w:vAlign w:val="center"/>
          </w:tcPr>
          <w:p w14:paraId="60D98427" w14:textId="77777777" w:rsidR="003244CE" w:rsidRPr="007E359E" w:rsidRDefault="003244CE" w:rsidP="009C40C0">
            <w:pPr>
              <w:pStyle w:val="Tablehead"/>
              <w:rPr>
                <w:sz w:val="20"/>
              </w:rPr>
            </w:pPr>
            <w:r w:rsidRPr="007E359E">
              <w:rPr>
                <w:sz w:val="20"/>
              </w:rPr>
              <w:t>Standard</w:t>
            </w:r>
            <w:r w:rsidRPr="007E359E">
              <w:rPr>
                <w:sz w:val="20"/>
              </w:rPr>
              <w:br/>
              <w:t>SAR4</w:t>
            </w:r>
          </w:p>
        </w:tc>
        <w:tc>
          <w:tcPr>
            <w:tcW w:w="2552" w:type="dxa"/>
            <w:gridSpan w:val="3"/>
            <w:noWrap/>
            <w:vAlign w:val="center"/>
          </w:tcPr>
          <w:p w14:paraId="13AFA603" w14:textId="77777777" w:rsidR="003244CE" w:rsidRPr="007E359E" w:rsidRDefault="003244CE" w:rsidP="009C40C0">
            <w:pPr>
              <w:pStyle w:val="Tablehead"/>
              <w:rPr>
                <w:sz w:val="20"/>
              </w:rPr>
            </w:pPr>
            <w:r w:rsidRPr="007E359E">
              <w:rPr>
                <w:sz w:val="20"/>
              </w:rPr>
              <w:t>Standard</w:t>
            </w:r>
            <w:r w:rsidRPr="007E359E">
              <w:rPr>
                <w:sz w:val="20"/>
              </w:rPr>
              <w:br/>
              <w:t>SAR5_PW_min</w:t>
            </w:r>
          </w:p>
        </w:tc>
        <w:tc>
          <w:tcPr>
            <w:tcW w:w="2350" w:type="dxa"/>
            <w:gridSpan w:val="3"/>
            <w:noWrap/>
            <w:vAlign w:val="center"/>
          </w:tcPr>
          <w:p w14:paraId="54806C66" w14:textId="77777777" w:rsidR="003244CE" w:rsidRPr="007E359E" w:rsidRDefault="003244CE" w:rsidP="009C40C0">
            <w:pPr>
              <w:pStyle w:val="Tablehead"/>
              <w:rPr>
                <w:sz w:val="20"/>
              </w:rPr>
            </w:pPr>
            <w:r w:rsidRPr="007E359E">
              <w:rPr>
                <w:sz w:val="20"/>
              </w:rPr>
              <w:t>Standard SAR5_PW_MAX</w:t>
            </w:r>
          </w:p>
        </w:tc>
        <w:tc>
          <w:tcPr>
            <w:tcW w:w="2611" w:type="dxa"/>
            <w:gridSpan w:val="3"/>
            <w:noWrap/>
            <w:vAlign w:val="center"/>
          </w:tcPr>
          <w:p w14:paraId="5DCB5E71" w14:textId="77777777" w:rsidR="003244CE" w:rsidRPr="007E359E" w:rsidRDefault="003244CE" w:rsidP="009C40C0">
            <w:pPr>
              <w:pStyle w:val="Tablehead"/>
              <w:rPr>
                <w:sz w:val="20"/>
              </w:rPr>
            </w:pPr>
            <w:r w:rsidRPr="007E359E">
              <w:rPr>
                <w:sz w:val="20"/>
              </w:rPr>
              <w:t>Standard</w:t>
            </w:r>
            <w:r w:rsidRPr="007E359E">
              <w:rPr>
                <w:sz w:val="20"/>
              </w:rPr>
              <w:br/>
              <w:t>SAR6_PW_min</w:t>
            </w:r>
          </w:p>
        </w:tc>
        <w:tc>
          <w:tcPr>
            <w:tcW w:w="2490" w:type="dxa"/>
            <w:gridSpan w:val="3"/>
            <w:noWrap/>
            <w:vAlign w:val="center"/>
          </w:tcPr>
          <w:p w14:paraId="5DF309A3" w14:textId="77777777" w:rsidR="003244CE" w:rsidRPr="007E359E" w:rsidRDefault="003244CE" w:rsidP="009C40C0">
            <w:pPr>
              <w:pStyle w:val="Tablehead"/>
              <w:rPr>
                <w:sz w:val="20"/>
              </w:rPr>
            </w:pPr>
            <w:r w:rsidRPr="007E359E">
              <w:rPr>
                <w:sz w:val="20"/>
              </w:rPr>
              <w:t xml:space="preserve">Standard </w:t>
            </w:r>
            <w:r w:rsidRPr="007E359E">
              <w:rPr>
                <w:sz w:val="20"/>
              </w:rPr>
              <w:br/>
              <w:t>SAR6_PW_MAX</w:t>
            </w:r>
          </w:p>
        </w:tc>
      </w:tr>
      <w:tr w:rsidR="003244CE" w:rsidRPr="007E359E" w14:paraId="7A65E1E6" w14:textId="77777777" w:rsidTr="002C381E">
        <w:trPr>
          <w:trHeight w:val="255"/>
          <w:jc w:val="center"/>
        </w:trPr>
        <w:tc>
          <w:tcPr>
            <w:tcW w:w="1123" w:type="dxa"/>
            <w:vMerge/>
            <w:vAlign w:val="center"/>
          </w:tcPr>
          <w:p w14:paraId="6C3E1CDB" w14:textId="77777777" w:rsidR="003244CE" w:rsidRPr="007E359E" w:rsidRDefault="003244CE" w:rsidP="009C40C0">
            <w:pPr>
              <w:pStyle w:val="Tablehead"/>
              <w:rPr>
                <w:sz w:val="20"/>
              </w:rPr>
            </w:pPr>
          </w:p>
        </w:tc>
        <w:tc>
          <w:tcPr>
            <w:tcW w:w="1080" w:type="dxa"/>
            <w:vMerge/>
            <w:vAlign w:val="center"/>
          </w:tcPr>
          <w:p w14:paraId="25E5DE71" w14:textId="77777777" w:rsidR="003244CE" w:rsidRPr="007E359E" w:rsidRDefault="003244CE" w:rsidP="009C40C0">
            <w:pPr>
              <w:pStyle w:val="Tablehead"/>
              <w:rPr>
                <w:sz w:val="20"/>
              </w:rPr>
            </w:pPr>
          </w:p>
        </w:tc>
        <w:tc>
          <w:tcPr>
            <w:tcW w:w="1037" w:type="dxa"/>
            <w:vMerge w:val="restart"/>
            <w:vAlign w:val="center"/>
          </w:tcPr>
          <w:p w14:paraId="7E9369A4" w14:textId="77777777" w:rsidR="003244CE" w:rsidRPr="007E359E" w:rsidRDefault="003244CE" w:rsidP="009C40C0">
            <w:pPr>
              <w:pStyle w:val="Tablehead"/>
              <w:rPr>
                <w:sz w:val="20"/>
              </w:rPr>
            </w:pPr>
            <w:r w:rsidRPr="007E359E">
              <w:rPr>
                <w:sz w:val="20"/>
              </w:rPr>
              <w:t>Frequency (MHz)</w:t>
            </w:r>
          </w:p>
        </w:tc>
        <w:tc>
          <w:tcPr>
            <w:tcW w:w="1417" w:type="dxa"/>
            <w:gridSpan w:val="2"/>
            <w:vAlign w:val="center"/>
          </w:tcPr>
          <w:p w14:paraId="7848BB8D" w14:textId="77777777" w:rsidR="003244CE" w:rsidRPr="007E359E" w:rsidRDefault="003244CE" w:rsidP="009C40C0">
            <w:pPr>
              <w:pStyle w:val="Tablehead"/>
              <w:rPr>
                <w:sz w:val="20"/>
              </w:rPr>
            </w:pPr>
            <w:r w:rsidRPr="007E359E">
              <w:rPr>
                <w:sz w:val="20"/>
              </w:rPr>
              <w:t xml:space="preserve">Centre freq. </w:t>
            </w:r>
            <w:r w:rsidRPr="007E359E">
              <w:rPr>
                <w:sz w:val="20"/>
              </w:rPr>
              <w:br/>
              <w:t>(MHz)</w:t>
            </w:r>
          </w:p>
        </w:tc>
        <w:tc>
          <w:tcPr>
            <w:tcW w:w="2552" w:type="dxa"/>
            <w:gridSpan w:val="3"/>
          </w:tcPr>
          <w:p w14:paraId="194FFD8C" w14:textId="77777777" w:rsidR="003244CE" w:rsidRPr="007E359E" w:rsidRDefault="003244CE" w:rsidP="009C40C0">
            <w:pPr>
              <w:pStyle w:val="Tablehead"/>
              <w:rPr>
                <w:sz w:val="20"/>
              </w:rPr>
            </w:pPr>
            <w:r w:rsidRPr="007E359E">
              <w:rPr>
                <w:sz w:val="20"/>
              </w:rPr>
              <w:t xml:space="preserve">Centre freq. </w:t>
            </w:r>
            <w:r w:rsidRPr="007E359E">
              <w:rPr>
                <w:sz w:val="20"/>
              </w:rPr>
              <w:br/>
              <w:t>(MHz)</w:t>
            </w:r>
          </w:p>
        </w:tc>
        <w:tc>
          <w:tcPr>
            <w:tcW w:w="2350" w:type="dxa"/>
            <w:gridSpan w:val="3"/>
          </w:tcPr>
          <w:p w14:paraId="2CBE97F0" w14:textId="77777777" w:rsidR="003244CE" w:rsidRPr="007E359E" w:rsidRDefault="003244CE" w:rsidP="009C40C0">
            <w:pPr>
              <w:pStyle w:val="Tablehead"/>
              <w:rPr>
                <w:sz w:val="20"/>
              </w:rPr>
            </w:pPr>
            <w:r w:rsidRPr="007E359E">
              <w:rPr>
                <w:sz w:val="20"/>
              </w:rPr>
              <w:t xml:space="preserve">Centre freq. </w:t>
            </w:r>
            <w:r w:rsidRPr="007E359E">
              <w:rPr>
                <w:sz w:val="20"/>
              </w:rPr>
              <w:br/>
              <w:t>(MHz)</w:t>
            </w:r>
          </w:p>
        </w:tc>
        <w:tc>
          <w:tcPr>
            <w:tcW w:w="2611" w:type="dxa"/>
            <w:gridSpan w:val="3"/>
          </w:tcPr>
          <w:p w14:paraId="26D78EE2" w14:textId="77777777" w:rsidR="003244CE" w:rsidRPr="007E359E" w:rsidRDefault="003244CE" w:rsidP="009C40C0">
            <w:pPr>
              <w:pStyle w:val="Tablehead"/>
              <w:rPr>
                <w:sz w:val="20"/>
              </w:rPr>
            </w:pPr>
            <w:r w:rsidRPr="007E359E">
              <w:rPr>
                <w:sz w:val="20"/>
              </w:rPr>
              <w:t xml:space="preserve">Centre freq. </w:t>
            </w:r>
            <w:r w:rsidRPr="007E359E">
              <w:rPr>
                <w:sz w:val="20"/>
              </w:rPr>
              <w:br/>
              <w:t>(MHz)</w:t>
            </w:r>
          </w:p>
        </w:tc>
        <w:tc>
          <w:tcPr>
            <w:tcW w:w="2490" w:type="dxa"/>
            <w:gridSpan w:val="3"/>
          </w:tcPr>
          <w:p w14:paraId="36912C86" w14:textId="77777777" w:rsidR="003244CE" w:rsidRPr="007E359E" w:rsidRDefault="003244CE" w:rsidP="009C40C0">
            <w:pPr>
              <w:pStyle w:val="Tablehead"/>
              <w:rPr>
                <w:sz w:val="20"/>
              </w:rPr>
            </w:pPr>
            <w:r w:rsidRPr="007E359E">
              <w:rPr>
                <w:sz w:val="20"/>
              </w:rPr>
              <w:t xml:space="preserve">Centre freq. </w:t>
            </w:r>
            <w:r w:rsidRPr="007E359E">
              <w:rPr>
                <w:sz w:val="20"/>
              </w:rPr>
              <w:br/>
              <w:t>(MHz)</w:t>
            </w:r>
          </w:p>
        </w:tc>
      </w:tr>
      <w:tr w:rsidR="003244CE" w:rsidRPr="007E359E" w14:paraId="27DC5217" w14:textId="77777777" w:rsidTr="002C381E">
        <w:trPr>
          <w:trHeight w:val="319"/>
          <w:jc w:val="center"/>
        </w:trPr>
        <w:tc>
          <w:tcPr>
            <w:tcW w:w="1123" w:type="dxa"/>
            <w:vMerge/>
            <w:vAlign w:val="center"/>
          </w:tcPr>
          <w:p w14:paraId="319830DD" w14:textId="77777777" w:rsidR="003244CE" w:rsidRPr="007E359E" w:rsidRDefault="003244CE" w:rsidP="009C40C0">
            <w:pPr>
              <w:pStyle w:val="Tablehead"/>
              <w:rPr>
                <w:sz w:val="20"/>
              </w:rPr>
            </w:pPr>
          </w:p>
        </w:tc>
        <w:tc>
          <w:tcPr>
            <w:tcW w:w="1080" w:type="dxa"/>
            <w:vMerge/>
            <w:vAlign w:val="center"/>
          </w:tcPr>
          <w:p w14:paraId="36974EF3" w14:textId="77777777" w:rsidR="003244CE" w:rsidRPr="007E359E" w:rsidRDefault="003244CE" w:rsidP="009C40C0">
            <w:pPr>
              <w:pStyle w:val="Tablehead"/>
              <w:rPr>
                <w:bCs/>
                <w:sz w:val="20"/>
              </w:rPr>
            </w:pPr>
          </w:p>
        </w:tc>
        <w:tc>
          <w:tcPr>
            <w:tcW w:w="1037" w:type="dxa"/>
            <w:vMerge/>
            <w:vAlign w:val="center"/>
          </w:tcPr>
          <w:p w14:paraId="65BC90C0" w14:textId="77777777" w:rsidR="003244CE" w:rsidRPr="007E359E" w:rsidRDefault="003244CE" w:rsidP="009C40C0">
            <w:pPr>
              <w:pStyle w:val="Tablehead"/>
              <w:rPr>
                <w:bCs/>
                <w:sz w:val="20"/>
              </w:rPr>
            </w:pPr>
          </w:p>
        </w:tc>
        <w:tc>
          <w:tcPr>
            <w:tcW w:w="1417" w:type="dxa"/>
            <w:gridSpan w:val="2"/>
            <w:vAlign w:val="center"/>
          </w:tcPr>
          <w:p w14:paraId="0E09F2BD" w14:textId="77777777" w:rsidR="003244CE" w:rsidRPr="007E359E" w:rsidRDefault="003244CE" w:rsidP="009C40C0">
            <w:pPr>
              <w:pStyle w:val="Tablehead"/>
              <w:rPr>
                <w:bCs/>
                <w:sz w:val="20"/>
              </w:rPr>
            </w:pPr>
            <w:r w:rsidRPr="007E359E">
              <w:rPr>
                <w:sz w:val="20"/>
              </w:rPr>
              <w:t>1 257.5</w:t>
            </w:r>
          </w:p>
        </w:tc>
        <w:tc>
          <w:tcPr>
            <w:tcW w:w="851" w:type="dxa"/>
            <w:vAlign w:val="center"/>
          </w:tcPr>
          <w:p w14:paraId="2EB20019" w14:textId="77777777" w:rsidR="003244CE" w:rsidRPr="007E359E" w:rsidRDefault="003244CE" w:rsidP="009C40C0">
            <w:pPr>
              <w:pStyle w:val="Tablehead"/>
              <w:rPr>
                <w:sz w:val="20"/>
              </w:rPr>
            </w:pPr>
            <w:r w:rsidRPr="007E359E">
              <w:rPr>
                <w:sz w:val="20"/>
              </w:rPr>
              <w:t>1 236.5</w:t>
            </w:r>
          </w:p>
        </w:tc>
        <w:tc>
          <w:tcPr>
            <w:tcW w:w="850" w:type="dxa"/>
            <w:noWrap/>
            <w:vAlign w:val="center"/>
          </w:tcPr>
          <w:p w14:paraId="7DBA84D6" w14:textId="77777777" w:rsidR="003244CE" w:rsidRPr="007E359E" w:rsidRDefault="003244CE" w:rsidP="009C40C0">
            <w:pPr>
              <w:pStyle w:val="Tablehead"/>
              <w:rPr>
                <w:sz w:val="20"/>
              </w:rPr>
            </w:pPr>
            <w:r w:rsidRPr="007E359E">
              <w:rPr>
                <w:sz w:val="20"/>
              </w:rPr>
              <w:t>1 257.5</w:t>
            </w:r>
          </w:p>
        </w:tc>
        <w:tc>
          <w:tcPr>
            <w:tcW w:w="851" w:type="dxa"/>
            <w:noWrap/>
            <w:vAlign w:val="center"/>
          </w:tcPr>
          <w:p w14:paraId="77870A10" w14:textId="77777777" w:rsidR="003244CE" w:rsidRPr="007E359E" w:rsidRDefault="003244CE" w:rsidP="009C40C0">
            <w:pPr>
              <w:pStyle w:val="Tablehead"/>
              <w:rPr>
                <w:sz w:val="20"/>
              </w:rPr>
            </w:pPr>
            <w:r w:rsidRPr="007E359E">
              <w:rPr>
                <w:sz w:val="20"/>
              </w:rPr>
              <w:t>1 278.5</w:t>
            </w:r>
          </w:p>
        </w:tc>
        <w:tc>
          <w:tcPr>
            <w:tcW w:w="850" w:type="dxa"/>
            <w:noWrap/>
            <w:vAlign w:val="center"/>
          </w:tcPr>
          <w:p w14:paraId="1299FFA0" w14:textId="77777777" w:rsidR="003244CE" w:rsidRPr="007E359E" w:rsidRDefault="003244CE" w:rsidP="009C40C0">
            <w:pPr>
              <w:pStyle w:val="Tablehead"/>
              <w:rPr>
                <w:sz w:val="20"/>
              </w:rPr>
            </w:pPr>
            <w:r w:rsidRPr="007E359E">
              <w:rPr>
                <w:sz w:val="20"/>
              </w:rPr>
              <w:t>1 236.5</w:t>
            </w:r>
          </w:p>
        </w:tc>
        <w:tc>
          <w:tcPr>
            <w:tcW w:w="709" w:type="dxa"/>
            <w:noWrap/>
            <w:vAlign w:val="center"/>
          </w:tcPr>
          <w:p w14:paraId="38F061AF" w14:textId="77777777" w:rsidR="003244CE" w:rsidRPr="007E359E" w:rsidRDefault="003244CE" w:rsidP="009C40C0">
            <w:pPr>
              <w:pStyle w:val="Tablehead"/>
              <w:rPr>
                <w:sz w:val="20"/>
              </w:rPr>
            </w:pPr>
            <w:r w:rsidRPr="007E359E">
              <w:rPr>
                <w:sz w:val="20"/>
              </w:rPr>
              <w:t>1 258</w:t>
            </w:r>
          </w:p>
        </w:tc>
        <w:tc>
          <w:tcPr>
            <w:tcW w:w="791" w:type="dxa"/>
            <w:noWrap/>
            <w:vAlign w:val="center"/>
          </w:tcPr>
          <w:p w14:paraId="78E05821" w14:textId="77777777" w:rsidR="003244CE" w:rsidRPr="007E359E" w:rsidRDefault="003244CE" w:rsidP="009C40C0">
            <w:pPr>
              <w:pStyle w:val="Tablehead"/>
              <w:rPr>
                <w:sz w:val="20"/>
              </w:rPr>
            </w:pPr>
            <w:r w:rsidRPr="007E359E">
              <w:rPr>
                <w:sz w:val="20"/>
              </w:rPr>
              <w:t>1 278.5</w:t>
            </w:r>
          </w:p>
        </w:tc>
        <w:tc>
          <w:tcPr>
            <w:tcW w:w="910" w:type="dxa"/>
            <w:noWrap/>
            <w:vAlign w:val="center"/>
          </w:tcPr>
          <w:p w14:paraId="51A1D6DC" w14:textId="77777777" w:rsidR="003244CE" w:rsidRPr="007E359E" w:rsidRDefault="003244CE" w:rsidP="009C40C0">
            <w:pPr>
              <w:pStyle w:val="Tablehead"/>
              <w:rPr>
                <w:sz w:val="20"/>
              </w:rPr>
            </w:pPr>
            <w:r w:rsidRPr="007E359E">
              <w:rPr>
                <w:sz w:val="20"/>
              </w:rPr>
              <w:t>1 236.5</w:t>
            </w:r>
          </w:p>
        </w:tc>
        <w:tc>
          <w:tcPr>
            <w:tcW w:w="850" w:type="dxa"/>
            <w:noWrap/>
            <w:vAlign w:val="center"/>
          </w:tcPr>
          <w:p w14:paraId="48BC8CEA" w14:textId="77777777" w:rsidR="003244CE" w:rsidRPr="007E359E" w:rsidRDefault="003244CE" w:rsidP="009C40C0">
            <w:pPr>
              <w:pStyle w:val="Tablehead"/>
              <w:rPr>
                <w:sz w:val="20"/>
              </w:rPr>
            </w:pPr>
            <w:r w:rsidRPr="007E359E">
              <w:rPr>
                <w:sz w:val="20"/>
              </w:rPr>
              <w:t>1 257.5</w:t>
            </w:r>
          </w:p>
        </w:tc>
        <w:tc>
          <w:tcPr>
            <w:tcW w:w="851" w:type="dxa"/>
            <w:noWrap/>
            <w:vAlign w:val="center"/>
          </w:tcPr>
          <w:p w14:paraId="0476C26E" w14:textId="77777777" w:rsidR="003244CE" w:rsidRPr="007E359E" w:rsidRDefault="003244CE" w:rsidP="009C40C0">
            <w:pPr>
              <w:pStyle w:val="Tablehead"/>
              <w:rPr>
                <w:sz w:val="20"/>
              </w:rPr>
            </w:pPr>
            <w:r w:rsidRPr="007E359E">
              <w:rPr>
                <w:sz w:val="20"/>
              </w:rPr>
              <w:t>1 278.5</w:t>
            </w:r>
          </w:p>
        </w:tc>
        <w:tc>
          <w:tcPr>
            <w:tcW w:w="850" w:type="dxa"/>
            <w:noWrap/>
            <w:vAlign w:val="center"/>
          </w:tcPr>
          <w:p w14:paraId="5B0DAC22" w14:textId="77777777" w:rsidR="003244CE" w:rsidRPr="007E359E" w:rsidRDefault="003244CE" w:rsidP="009C40C0">
            <w:pPr>
              <w:pStyle w:val="Tablehead"/>
              <w:rPr>
                <w:sz w:val="20"/>
              </w:rPr>
            </w:pPr>
            <w:r w:rsidRPr="007E359E">
              <w:rPr>
                <w:sz w:val="20"/>
              </w:rPr>
              <w:t>1 236.5</w:t>
            </w:r>
          </w:p>
        </w:tc>
        <w:tc>
          <w:tcPr>
            <w:tcW w:w="830" w:type="dxa"/>
            <w:noWrap/>
            <w:vAlign w:val="center"/>
          </w:tcPr>
          <w:p w14:paraId="36917AB4" w14:textId="77777777" w:rsidR="003244CE" w:rsidRPr="007E359E" w:rsidRDefault="003244CE" w:rsidP="009C40C0">
            <w:pPr>
              <w:pStyle w:val="Tablehead"/>
              <w:rPr>
                <w:sz w:val="20"/>
              </w:rPr>
            </w:pPr>
            <w:r w:rsidRPr="007E359E">
              <w:rPr>
                <w:sz w:val="20"/>
              </w:rPr>
              <w:t>1 257.5</w:t>
            </w:r>
          </w:p>
        </w:tc>
        <w:tc>
          <w:tcPr>
            <w:tcW w:w="810" w:type="dxa"/>
            <w:noWrap/>
            <w:vAlign w:val="center"/>
          </w:tcPr>
          <w:p w14:paraId="061D29E1" w14:textId="77777777" w:rsidR="003244CE" w:rsidRPr="007E359E" w:rsidRDefault="003244CE" w:rsidP="009C40C0">
            <w:pPr>
              <w:pStyle w:val="Tablehead"/>
              <w:rPr>
                <w:sz w:val="20"/>
              </w:rPr>
            </w:pPr>
            <w:r w:rsidRPr="007E359E">
              <w:rPr>
                <w:sz w:val="20"/>
              </w:rPr>
              <w:t>1 278.5</w:t>
            </w:r>
          </w:p>
        </w:tc>
      </w:tr>
      <w:tr w:rsidR="003244CE" w:rsidRPr="007E359E" w14:paraId="3AB4141B" w14:textId="77777777" w:rsidTr="002C381E">
        <w:trPr>
          <w:trHeight w:val="323"/>
          <w:jc w:val="center"/>
        </w:trPr>
        <w:tc>
          <w:tcPr>
            <w:tcW w:w="1123" w:type="dxa"/>
            <w:vMerge w:val="restart"/>
            <w:noWrap/>
            <w:vAlign w:val="center"/>
          </w:tcPr>
          <w:p w14:paraId="4A45FC6B" w14:textId="77777777" w:rsidR="003244CE" w:rsidRPr="007E359E" w:rsidRDefault="003244CE" w:rsidP="002C381E">
            <w:pPr>
              <w:pStyle w:val="Tabletext"/>
              <w:jc w:val="left"/>
              <w:rPr>
                <w:sz w:val="20"/>
              </w:rPr>
            </w:pPr>
            <w:r w:rsidRPr="007E359E">
              <w:rPr>
                <w:sz w:val="20"/>
              </w:rPr>
              <w:t>Air navigation</w:t>
            </w:r>
          </w:p>
        </w:tc>
        <w:tc>
          <w:tcPr>
            <w:tcW w:w="1080" w:type="dxa"/>
            <w:vMerge w:val="restart"/>
            <w:vAlign w:val="center"/>
          </w:tcPr>
          <w:p w14:paraId="79F17A52" w14:textId="77777777" w:rsidR="003244CE" w:rsidRPr="007E359E" w:rsidRDefault="003244CE" w:rsidP="009C40C0">
            <w:pPr>
              <w:pStyle w:val="Tabletext"/>
              <w:jc w:val="center"/>
              <w:rPr>
                <w:sz w:val="20"/>
              </w:rPr>
            </w:pPr>
            <w:r w:rsidRPr="007E359E">
              <w:rPr>
                <w:sz w:val="20"/>
              </w:rPr>
              <w:t>1</w:t>
            </w:r>
          </w:p>
        </w:tc>
        <w:tc>
          <w:tcPr>
            <w:tcW w:w="1037" w:type="dxa"/>
          </w:tcPr>
          <w:p w14:paraId="3FEE99BE" w14:textId="77777777" w:rsidR="003244CE" w:rsidRPr="007E359E" w:rsidRDefault="003244CE" w:rsidP="009C40C0">
            <w:pPr>
              <w:pStyle w:val="Tabletext"/>
              <w:jc w:val="center"/>
              <w:rPr>
                <w:sz w:val="20"/>
              </w:rPr>
            </w:pPr>
            <w:r w:rsidRPr="007E359E">
              <w:rPr>
                <w:sz w:val="20"/>
              </w:rPr>
              <w:t>PDC</w:t>
            </w:r>
          </w:p>
        </w:tc>
        <w:tc>
          <w:tcPr>
            <w:tcW w:w="661" w:type="dxa"/>
            <w:noWrap/>
          </w:tcPr>
          <w:p w14:paraId="3F8CF4E6" w14:textId="77777777" w:rsidR="003244CE" w:rsidRPr="007E359E" w:rsidRDefault="003244CE" w:rsidP="009C40C0">
            <w:pPr>
              <w:pStyle w:val="Tabletext"/>
              <w:jc w:val="center"/>
              <w:rPr>
                <w:sz w:val="20"/>
              </w:rPr>
            </w:pPr>
            <w:r w:rsidRPr="007E359E">
              <w:rPr>
                <w:sz w:val="20"/>
              </w:rPr>
              <w:t>0.12</w:t>
            </w:r>
          </w:p>
        </w:tc>
        <w:tc>
          <w:tcPr>
            <w:tcW w:w="756" w:type="dxa"/>
            <w:noWrap/>
          </w:tcPr>
          <w:p w14:paraId="1D9C0475" w14:textId="77777777" w:rsidR="003244CE" w:rsidRPr="007E359E" w:rsidRDefault="003244CE" w:rsidP="009C40C0">
            <w:pPr>
              <w:pStyle w:val="Tabletext"/>
              <w:jc w:val="center"/>
              <w:rPr>
                <w:sz w:val="20"/>
              </w:rPr>
            </w:pPr>
            <w:r w:rsidRPr="007E359E">
              <w:rPr>
                <w:sz w:val="20"/>
              </w:rPr>
              <w:t>0.12</w:t>
            </w:r>
          </w:p>
        </w:tc>
        <w:tc>
          <w:tcPr>
            <w:tcW w:w="851" w:type="dxa"/>
            <w:noWrap/>
          </w:tcPr>
          <w:p w14:paraId="0563BB5F" w14:textId="77777777" w:rsidR="003244CE" w:rsidRPr="007E359E" w:rsidRDefault="003244CE" w:rsidP="009C40C0">
            <w:pPr>
              <w:pStyle w:val="Tabletext"/>
              <w:jc w:val="center"/>
              <w:rPr>
                <w:sz w:val="20"/>
              </w:rPr>
            </w:pPr>
            <w:r w:rsidRPr="007E359E">
              <w:rPr>
                <w:sz w:val="20"/>
              </w:rPr>
              <w:t>0.07</w:t>
            </w:r>
          </w:p>
        </w:tc>
        <w:tc>
          <w:tcPr>
            <w:tcW w:w="850" w:type="dxa"/>
            <w:noWrap/>
          </w:tcPr>
          <w:p w14:paraId="5E17EE32" w14:textId="77777777" w:rsidR="003244CE" w:rsidRPr="007E359E" w:rsidRDefault="003244CE" w:rsidP="009C40C0">
            <w:pPr>
              <w:pStyle w:val="Tabletext"/>
              <w:jc w:val="center"/>
              <w:rPr>
                <w:sz w:val="20"/>
              </w:rPr>
            </w:pPr>
            <w:r w:rsidRPr="007E359E">
              <w:rPr>
                <w:sz w:val="20"/>
              </w:rPr>
              <w:t>0.07</w:t>
            </w:r>
          </w:p>
        </w:tc>
        <w:tc>
          <w:tcPr>
            <w:tcW w:w="851" w:type="dxa"/>
            <w:noWrap/>
          </w:tcPr>
          <w:p w14:paraId="5719E754" w14:textId="77777777" w:rsidR="003244CE" w:rsidRPr="007E359E" w:rsidRDefault="003244CE" w:rsidP="009C40C0">
            <w:pPr>
              <w:pStyle w:val="Tabletext"/>
              <w:jc w:val="center"/>
              <w:rPr>
                <w:sz w:val="20"/>
              </w:rPr>
            </w:pPr>
            <w:r w:rsidRPr="007E359E">
              <w:rPr>
                <w:sz w:val="20"/>
              </w:rPr>
              <w:t>–</w:t>
            </w:r>
          </w:p>
        </w:tc>
        <w:tc>
          <w:tcPr>
            <w:tcW w:w="850" w:type="dxa"/>
            <w:noWrap/>
          </w:tcPr>
          <w:p w14:paraId="17CC6253" w14:textId="77777777" w:rsidR="003244CE" w:rsidRPr="007E359E" w:rsidRDefault="003244CE" w:rsidP="009C40C0">
            <w:pPr>
              <w:pStyle w:val="Tabletext"/>
              <w:jc w:val="center"/>
              <w:rPr>
                <w:sz w:val="20"/>
              </w:rPr>
            </w:pPr>
            <w:r w:rsidRPr="007E359E">
              <w:rPr>
                <w:sz w:val="20"/>
              </w:rPr>
              <w:t>0.07</w:t>
            </w:r>
          </w:p>
        </w:tc>
        <w:tc>
          <w:tcPr>
            <w:tcW w:w="709" w:type="dxa"/>
            <w:noWrap/>
          </w:tcPr>
          <w:p w14:paraId="16E4D7B5" w14:textId="77777777" w:rsidR="003244CE" w:rsidRPr="007E359E" w:rsidRDefault="003244CE" w:rsidP="009C40C0">
            <w:pPr>
              <w:pStyle w:val="Tabletext"/>
              <w:jc w:val="center"/>
              <w:rPr>
                <w:sz w:val="20"/>
              </w:rPr>
            </w:pPr>
            <w:r w:rsidRPr="007E359E">
              <w:rPr>
                <w:sz w:val="20"/>
              </w:rPr>
              <w:t>0.07</w:t>
            </w:r>
          </w:p>
        </w:tc>
        <w:tc>
          <w:tcPr>
            <w:tcW w:w="791" w:type="dxa"/>
            <w:noWrap/>
          </w:tcPr>
          <w:p w14:paraId="6433EE27" w14:textId="77777777" w:rsidR="003244CE" w:rsidRPr="007E359E" w:rsidRDefault="003244CE" w:rsidP="009C40C0">
            <w:pPr>
              <w:pStyle w:val="Tabletext"/>
              <w:jc w:val="center"/>
              <w:rPr>
                <w:sz w:val="20"/>
              </w:rPr>
            </w:pPr>
            <w:r w:rsidRPr="007E359E">
              <w:rPr>
                <w:sz w:val="20"/>
              </w:rPr>
              <w:t>–</w:t>
            </w:r>
          </w:p>
        </w:tc>
        <w:tc>
          <w:tcPr>
            <w:tcW w:w="910" w:type="dxa"/>
            <w:noWrap/>
          </w:tcPr>
          <w:p w14:paraId="37443F3C" w14:textId="77777777" w:rsidR="003244CE" w:rsidRPr="007E359E" w:rsidRDefault="003244CE" w:rsidP="009C40C0">
            <w:pPr>
              <w:pStyle w:val="Tabletext"/>
              <w:jc w:val="center"/>
              <w:rPr>
                <w:sz w:val="20"/>
              </w:rPr>
            </w:pPr>
            <w:r w:rsidRPr="007E359E">
              <w:rPr>
                <w:sz w:val="20"/>
              </w:rPr>
              <w:t>0.07</w:t>
            </w:r>
          </w:p>
        </w:tc>
        <w:tc>
          <w:tcPr>
            <w:tcW w:w="850" w:type="dxa"/>
            <w:noWrap/>
          </w:tcPr>
          <w:p w14:paraId="503ABE4F" w14:textId="77777777" w:rsidR="003244CE" w:rsidRPr="007E359E" w:rsidRDefault="003244CE" w:rsidP="009C40C0">
            <w:pPr>
              <w:pStyle w:val="Tabletext"/>
              <w:jc w:val="center"/>
              <w:rPr>
                <w:sz w:val="20"/>
              </w:rPr>
            </w:pPr>
            <w:r w:rsidRPr="007E359E">
              <w:rPr>
                <w:sz w:val="20"/>
              </w:rPr>
              <w:t>0.07</w:t>
            </w:r>
          </w:p>
        </w:tc>
        <w:tc>
          <w:tcPr>
            <w:tcW w:w="851" w:type="dxa"/>
            <w:noWrap/>
          </w:tcPr>
          <w:p w14:paraId="78A3AA8C" w14:textId="77777777" w:rsidR="003244CE" w:rsidRPr="007E359E" w:rsidRDefault="003244CE" w:rsidP="009C40C0">
            <w:pPr>
              <w:pStyle w:val="Tabletext"/>
              <w:jc w:val="center"/>
              <w:rPr>
                <w:sz w:val="20"/>
              </w:rPr>
            </w:pPr>
            <w:r w:rsidRPr="007E359E">
              <w:rPr>
                <w:sz w:val="20"/>
              </w:rPr>
              <w:t>–</w:t>
            </w:r>
          </w:p>
        </w:tc>
        <w:tc>
          <w:tcPr>
            <w:tcW w:w="850" w:type="dxa"/>
            <w:noWrap/>
          </w:tcPr>
          <w:p w14:paraId="39D2B27F" w14:textId="77777777" w:rsidR="003244CE" w:rsidRPr="007E359E" w:rsidRDefault="003244CE" w:rsidP="009C40C0">
            <w:pPr>
              <w:pStyle w:val="Tabletext"/>
              <w:jc w:val="center"/>
              <w:rPr>
                <w:sz w:val="20"/>
              </w:rPr>
            </w:pPr>
            <w:r w:rsidRPr="007E359E">
              <w:rPr>
                <w:sz w:val="20"/>
              </w:rPr>
              <w:t>0.07</w:t>
            </w:r>
          </w:p>
        </w:tc>
        <w:tc>
          <w:tcPr>
            <w:tcW w:w="830" w:type="dxa"/>
            <w:noWrap/>
          </w:tcPr>
          <w:p w14:paraId="631692DE" w14:textId="77777777" w:rsidR="003244CE" w:rsidRPr="007E359E" w:rsidRDefault="003244CE" w:rsidP="009C40C0">
            <w:pPr>
              <w:pStyle w:val="Tabletext"/>
              <w:jc w:val="center"/>
              <w:rPr>
                <w:sz w:val="20"/>
              </w:rPr>
            </w:pPr>
            <w:r w:rsidRPr="007E359E">
              <w:rPr>
                <w:sz w:val="20"/>
              </w:rPr>
              <w:t>0.07</w:t>
            </w:r>
          </w:p>
        </w:tc>
        <w:tc>
          <w:tcPr>
            <w:tcW w:w="810" w:type="dxa"/>
            <w:noWrap/>
          </w:tcPr>
          <w:p w14:paraId="740D3B97" w14:textId="77777777" w:rsidR="003244CE" w:rsidRPr="007E359E" w:rsidRDefault="003244CE" w:rsidP="009C40C0">
            <w:pPr>
              <w:pStyle w:val="Tabletext"/>
              <w:jc w:val="center"/>
              <w:rPr>
                <w:sz w:val="20"/>
              </w:rPr>
            </w:pPr>
            <w:r w:rsidRPr="007E359E">
              <w:rPr>
                <w:sz w:val="20"/>
              </w:rPr>
              <w:t>–</w:t>
            </w:r>
          </w:p>
        </w:tc>
      </w:tr>
      <w:tr w:rsidR="003244CE" w:rsidRPr="007E359E" w14:paraId="0151FCAE" w14:textId="77777777" w:rsidTr="002C381E">
        <w:trPr>
          <w:trHeight w:val="255"/>
          <w:jc w:val="center"/>
        </w:trPr>
        <w:tc>
          <w:tcPr>
            <w:tcW w:w="1123" w:type="dxa"/>
            <w:vMerge/>
            <w:noWrap/>
            <w:vAlign w:val="center"/>
          </w:tcPr>
          <w:p w14:paraId="29741A37" w14:textId="77777777" w:rsidR="003244CE" w:rsidRPr="007E359E" w:rsidRDefault="003244CE" w:rsidP="002C381E">
            <w:pPr>
              <w:pStyle w:val="Tabletext"/>
              <w:jc w:val="left"/>
              <w:rPr>
                <w:sz w:val="20"/>
              </w:rPr>
            </w:pPr>
          </w:p>
        </w:tc>
        <w:tc>
          <w:tcPr>
            <w:tcW w:w="1080" w:type="dxa"/>
            <w:vMerge/>
            <w:vAlign w:val="center"/>
          </w:tcPr>
          <w:p w14:paraId="661E719E" w14:textId="77777777" w:rsidR="003244CE" w:rsidRPr="007E359E" w:rsidRDefault="003244CE" w:rsidP="009C40C0">
            <w:pPr>
              <w:pStyle w:val="Tabletext"/>
              <w:jc w:val="center"/>
              <w:rPr>
                <w:sz w:val="20"/>
              </w:rPr>
            </w:pPr>
          </w:p>
        </w:tc>
        <w:tc>
          <w:tcPr>
            <w:tcW w:w="1037" w:type="dxa"/>
          </w:tcPr>
          <w:p w14:paraId="38F998BC" w14:textId="77777777" w:rsidR="003244CE" w:rsidRPr="007E359E" w:rsidRDefault="003244CE" w:rsidP="009C40C0">
            <w:pPr>
              <w:pStyle w:val="Tabletext"/>
              <w:jc w:val="center"/>
              <w:rPr>
                <w:sz w:val="20"/>
              </w:rPr>
            </w:pPr>
            <w:r w:rsidRPr="007E359E">
              <w:rPr>
                <w:sz w:val="20"/>
              </w:rPr>
              <w:t>SNR (dB)</w:t>
            </w:r>
          </w:p>
        </w:tc>
        <w:tc>
          <w:tcPr>
            <w:tcW w:w="661" w:type="dxa"/>
            <w:noWrap/>
          </w:tcPr>
          <w:p w14:paraId="5A653212" w14:textId="77777777" w:rsidR="003244CE" w:rsidRPr="007E359E" w:rsidRDefault="003244CE" w:rsidP="009C40C0">
            <w:pPr>
              <w:pStyle w:val="Tabletext"/>
              <w:jc w:val="center"/>
              <w:rPr>
                <w:sz w:val="20"/>
              </w:rPr>
            </w:pPr>
            <w:r w:rsidRPr="007E359E">
              <w:rPr>
                <w:sz w:val="20"/>
              </w:rPr>
              <w:t>−1.08</w:t>
            </w:r>
          </w:p>
        </w:tc>
        <w:tc>
          <w:tcPr>
            <w:tcW w:w="756" w:type="dxa"/>
            <w:noWrap/>
          </w:tcPr>
          <w:p w14:paraId="773ECB35" w14:textId="77777777" w:rsidR="003244CE" w:rsidRPr="007E359E" w:rsidRDefault="003244CE" w:rsidP="009C40C0">
            <w:pPr>
              <w:pStyle w:val="Tabletext"/>
              <w:jc w:val="center"/>
              <w:rPr>
                <w:sz w:val="20"/>
              </w:rPr>
            </w:pPr>
            <w:r w:rsidRPr="007E359E">
              <w:rPr>
                <w:sz w:val="20"/>
              </w:rPr>
              <w:t>−1.08</w:t>
            </w:r>
          </w:p>
        </w:tc>
        <w:tc>
          <w:tcPr>
            <w:tcW w:w="851" w:type="dxa"/>
            <w:noWrap/>
          </w:tcPr>
          <w:p w14:paraId="3F0694F5" w14:textId="77777777" w:rsidR="003244CE" w:rsidRPr="007E359E" w:rsidRDefault="003244CE" w:rsidP="009C40C0">
            <w:pPr>
              <w:pStyle w:val="Tabletext"/>
              <w:jc w:val="center"/>
              <w:rPr>
                <w:sz w:val="20"/>
              </w:rPr>
            </w:pPr>
            <w:r w:rsidRPr="007E359E">
              <w:rPr>
                <w:sz w:val="20"/>
              </w:rPr>
              <w:t>−0.64</w:t>
            </w:r>
          </w:p>
        </w:tc>
        <w:tc>
          <w:tcPr>
            <w:tcW w:w="850" w:type="dxa"/>
            <w:noWrap/>
          </w:tcPr>
          <w:p w14:paraId="7A8D59A3" w14:textId="77777777" w:rsidR="003244CE" w:rsidRPr="007E359E" w:rsidRDefault="003244CE" w:rsidP="009C40C0">
            <w:pPr>
              <w:pStyle w:val="Tabletext"/>
              <w:jc w:val="center"/>
              <w:rPr>
                <w:sz w:val="20"/>
              </w:rPr>
            </w:pPr>
            <w:r w:rsidRPr="007E359E">
              <w:rPr>
                <w:sz w:val="20"/>
              </w:rPr>
              <w:t>−0.64</w:t>
            </w:r>
          </w:p>
        </w:tc>
        <w:tc>
          <w:tcPr>
            <w:tcW w:w="851" w:type="dxa"/>
            <w:noWrap/>
          </w:tcPr>
          <w:p w14:paraId="1BB4ABDE" w14:textId="77777777" w:rsidR="003244CE" w:rsidRPr="007E359E" w:rsidRDefault="003244CE" w:rsidP="009C40C0">
            <w:pPr>
              <w:pStyle w:val="Tabletext"/>
              <w:jc w:val="center"/>
              <w:rPr>
                <w:sz w:val="20"/>
              </w:rPr>
            </w:pPr>
            <w:r w:rsidRPr="007E359E">
              <w:rPr>
                <w:sz w:val="20"/>
              </w:rPr>
              <w:t>–</w:t>
            </w:r>
          </w:p>
        </w:tc>
        <w:tc>
          <w:tcPr>
            <w:tcW w:w="850" w:type="dxa"/>
            <w:noWrap/>
          </w:tcPr>
          <w:p w14:paraId="7D321B9E" w14:textId="77777777" w:rsidR="003244CE" w:rsidRPr="007E359E" w:rsidRDefault="003244CE" w:rsidP="009C40C0">
            <w:pPr>
              <w:pStyle w:val="Tabletext"/>
              <w:jc w:val="center"/>
              <w:rPr>
                <w:sz w:val="20"/>
              </w:rPr>
            </w:pPr>
            <w:r w:rsidRPr="007E359E">
              <w:rPr>
                <w:sz w:val="20"/>
              </w:rPr>
              <w:t>−0.64</w:t>
            </w:r>
          </w:p>
        </w:tc>
        <w:tc>
          <w:tcPr>
            <w:tcW w:w="709" w:type="dxa"/>
            <w:noWrap/>
          </w:tcPr>
          <w:p w14:paraId="065A708B" w14:textId="77777777" w:rsidR="003244CE" w:rsidRPr="007E359E" w:rsidRDefault="003244CE" w:rsidP="009C40C0">
            <w:pPr>
              <w:pStyle w:val="Tabletext"/>
              <w:jc w:val="center"/>
              <w:rPr>
                <w:sz w:val="20"/>
              </w:rPr>
            </w:pPr>
            <w:r w:rsidRPr="007E359E">
              <w:rPr>
                <w:sz w:val="20"/>
              </w:rPr>
              <w:t>−0.64</w:t>
            </w:r>
          </w:p>
        </w:tc>
        <w:tc>
          <w:tcPr>
            <w:tcW w:w="791" w:type="dxa"/>
            <w:noWrap/>
          </w:tcPr>
          <w:p w14:paraId="569C2696" w14:textId="77777777" w:rsidR="003244CE" w:rsidRPr="007E359E" w:rsidRDefault="003244CE" w:rsidP="009C40C0">
            <w:pPr>
              <w:pStyle w:val="Tabletext"/>
              <w:jc w:val="center"/>
              <w:rPr>
                <w:sz w:val="20"/>
              </w:rPr>
            </w:pPr>
            <w:r w:rsidRPr="007E359E">
              <w:rPr>
                <w:sz w:val="20"/>
              </w:rPr>
              <w:t>–</w:t>
            </w:r>
          </w:p>
        </w:tc>
        <w:tc>
          <w:tcPr>
            <w:tcW w:w="910" w:type="dxa"/>
            <w:noWrap/>
          </w:tcPr>
          <w:p w14:paraId="3F813B22" w14:textId="77777777" w:rsidR="003244CE" w:rsidRPr="007E359E" w:rsidRDefault="003244CE" w:rsidP="009C40C0">
            <w:pPr>
              <w:pStyle w:val="Tabletext"/>
              <w:jc w:val="center"/>
              <w:rPr>
                <w:sz w:val="20"/>
              </w:rPr>
            </w:pPr>
            <w:r w:rsidRPr="007E359E">
              <w:rPr>
                <w:sz w:val="20"/>
              </w:rPr>
              <w:t>−0.62</w:t>
            </w:r>
          </w:p>
        </w:tc>
        <w:tc>
          <w:tcPr>
            <w:tcW w:w="850" w:type="dxa"/>
            <w:noWrap/>
          </w:tcPr>
          <w:p w14:paraId="5BC65DBE" w14:textId="77777777" w:rsidR="003244CE" w:rsidRPr="007E359E" w:rsidRDefault="003244CE" w:rsidP="009C40C0">
            <w:pPr>
              <w:pStyle w:val="Tabletext"/>
              <w:jc w:val="center"/>
              <w:rPr>
                <w:sz w:val="20"/>
              </w:rPr>
            </w:pPr>
            <w:r w:rsidRPr="007E359E">
              <w:rPr>
                <w:sz w:val="20"/>
              </w:rPr>
              <w:t>−0.62</w:t>
            </w:r>
          </w:p>
        </w:tc>
        <w:tc>
          <w:tcPr>
            <w:tcW w:w="851" w:type="dxa"/>
            <w:noWrap/>
          </w:tcPr>
          <w:p w14:paraId="64072C6B" w14:textId="77777777" w:rsidR="003244CE" w:rsidRPr="007E359E" w:rsidRDefault="003244CE" w:rsidP="009C40C0">
            <w:pPr>
              <w:pStyle w:val="Tabletext"/>
              <w:jc w:val="center"/>
              <w:rPr>
                <w:sz w:val="20"/>
              </w:rPr>
            </w:pPr>
            <w:r w:rsidRPr="007E359E">
              <w:rPr>
                <w:sz w:val="20"/>
              </w:rPr>
              <w:t>–</w:t>
            </w:r>
          </w:p>
        </w:tc>
        <w:tc>
          <w:tcPr>
            <w:tcW w:w="850" w:type="dxa"/>
            <w:noWrap/>
          </w:tcPr>
          <w:p w14:paraId="02400261" w14:textId="77777777" w:rsidR="003244CE" w:rsidRPr="007E359E" w:rsidRDefault="003244CE" w:rsidP="009C40C0">
            <w:pPr>
              <w:pStyle w:val="Tabletext"/>
              <w:jc w:val="center"/>
              <w:rPr>
                <w:sz w:val="20"/>
              </w:rPr>
            </w:pPr>
            <w:r w:rsidRPr="007E359E">
              <w:rPr>
                <w:sz w:val="20"/>
              </w:rPr>
              <w:t>−0.61</w:t>
            </w:r>
          </w:p>
        </w:tc>
        <w:tc>
          <w:tcPr>
            <w:tcW w:w="830" w:type="dxa"/>
            <w:noWrap/>
          </w:tcPr>
          <w:p w14:paraId="6CA8003A" w14:textId="77777777" w:rsidR="003244CE" w:rsidRPr="007E359E" w:rsidRDefault="003244CE" w:rsidP="009C40C0">
            <w:pPr>
              <w:pStyle w:val="Tabletext"/>
              <w:jc w:val="center"/>
              <w:rPr>
                <w:sz w:val="20"/>
              </w:rPr>
            </w:pPr>
            <w:r w:rsidRPr="007E359E">
              <w:rPr>
                <w:sz w:val="20"/>
              </w:rPr>
              <w:t>−0.61</w:t>
            </w:r>
          </w:p>
        </w:tc>
        <w:tc>
          <w:tcPr>
            <w:tcW w:w="810" w:type="dxa"/>
            <w:noWrap/>
          </w:tcPr>
          <w:p w14:paraId="041DABBC" w14:textId="77777777" w:rsidR="003244CE" w:rsidRPr="007E359E" w:rsidRDefault="003244CE" w:rsidP="009C40C0">
            <w:pPr>
              <w:pStyle w:val="Tabletext"/>
              <w:jc w:val="center"/>
              <w:rPr>
                <w:sz w:val="20"/>
              </w:rPr>
            </w:pPr>
            <w:r w:rsidRPr="007E359E">
              <w:rPr>
                <w:sz w:val="20"/>
              </w:rPr>
              <w:t>–</w:t>
            </w:r>
          </w:p>
        </w:tc>
      </w:tr>
      <w:tr w:rsidR="003244CE" w:rsidRPr="007E359E" w14:paraId="2AE4E22A" w14:textId="77777777" w:rsidTr="002C381E">
        <w:trPr>
          <w:trHeight w:val="255"/>
          <w:jc w:val="center"/>
        </w:trPr>
        <w:tc>
          <w:tcPr>
            <w:tcW w:w="1123" w:type="dxa"/>
            <w:vMerge/>
            <w:noWrap/>
            <w:vAlign w:val="center"/>
          </w:tcPr>
          <w:p w14:paraId="41574739" w14:textId="77777777" w:rsidR="003244CE" w:rsidRPr="007E359E" w:rsidRDefault="003244CE" w:rsidP="002C381E">
            <w:pPr>
              <w:pStyle w:val="Tabletext"/>
              <w:jc w:val="left"/>
              <w:rPr>
                <w:sz w:val="20"/>
              </w:rPr>
            </w:pPr>
          </w:p>
        </w:tc>
        <w:tc>
          <w:tcPr>
            <w:tcW w:w="1080" w:type="dxa"/>
            <w:vMerge w:val="restart"/>
            <w:vAlign w:val="center"/>
          </w:tcPr>
          <w:p w14:paraId="4C542F66" w14:textId="77777777" w:rsidR="003244CE" w:rsidRPr="007E359E" w:rsidRDefault="003244CE" w:rsidP="009C40C0">
            <w:pPr>
              <w:pStyle w:val="Tabletext"/>
              <w:jc w:val="center"/>
              <w:rPr>
                <w:sz w:val="20"/>
              </w:rPr>
            </w:pPr>
            <w:r w:rsidRPr="007E359E">
              <w:rPr>
                <w:sz w:val="20"/>
              </w:rPr>
              <w:t>30</w:t>
            </w:r>
          </w:p>
        </w:tc>
        <w:tc>
          <w:tcPr>
            <w:tcW w:w="1037" w:type="dxa"/>
          </w:tcPr>
          <w:p w14:paraId="54AB2B41" w14:textId="77777777" w:rsidR="003244CE" w:rsidRPr="007E359E" w:rsidRDefault="003244CE" w:rsidP="009C40C0">
            <w:pPr>
              <w:pStyle w:val="Tabletext"/>
              <w:jc w:val="center"/>
              <w:rPr>
                <w:sz w:val="20"/>
              </w:rPr>
            </w:pPr>
            <w:r w:rsidRPr="007E359E">
              <w:rPr>
                <w:sz w:val="20"/>
              </w:rPr>
              <w:t>PDC</w:t>
            </w:r>
          </w:p>
        </w:tc>
        <w:tc>
          <w:tcPr>
            <w:tcW w:w="661" w:type="dxa"/>
            <w:noWrap/>
          </w:tcPr>
          <w:p w14:paraId="45A7363A" w14:textId="77777777" w:rsidR="003244CE" w:rsidRPr="007E359E" w:rsidRDefault="003244CE" w:rsidP="009C40C0">
            <w:pPr>
              <w:pStyle w:val="Tabletext"/>
              <w:jc w:val="center"/>
              <w:rPr>
                <w:sz w:val="20"/>
              </w:rPr>
            </w:pPr>
            <w:r w:rsidRPr="007E359E">
              <w:rPr>
                <w:sz w:val="20"/>
              </w:rPr>
              <w:t>0.19</w:t>
            </w:r>
          </w:p>
        </w:tc>
        <w:tc>
          <w:tcPr>
            <w:tcW w:w="756" w:type="dxa"/>
            <w:noWrap/>
          </w:tcPr>
          <w:p w14:paraId="3AD83233" w14:textId="77777777" w:rsidR="003244CE" w:rsidRPr="007E359E" w:rsidRDefault="003244CE" w:rsidP="009C40C0">
            <w:pPr>
              <w:pStyle w:val="Tabletext"/>
              <w:jc w:val="center"/>
              <w:rPr>
                <w:sz w:val="20"/>
              </w:rPr>
            </w:pPr>
            <w:r w:rsidRPr="007E359E">
              <w:rPr>
                <w:sz w:val="20"/>
              </w:rPr>
              <w:t>0.16</w:t>
            </w:r>
          </w:p>
        </w:tc>
        <w:tc>
          <w:tcPr>
            <w:tcW w:w="851" w:type="dxa"/>
            <w:noWrap/>
          </w:tcPr>
          <w:p w14:paraId="130AB448" w14:textId="77777777" w:rsidR="003244CE" w:rsidRPr="007E359E" w:rsidRDefault="003244CE" w:rsidP="009C40C0">
            <w:pPr>
              <w:pStyle w:val="Tabletext"/>
              <w:jc w:val="center"/>
              <w:rPr>
                <w:sz w:val="20"/>
              </w:rPr>
            </w:pPr>
            <w:r w:rsidRPr="007E359E">
              <w:rPr>
                <w:sz w:val="20"/>
              </w:rPr>
              <w:t>0.12</w:t>
            </w:r>
          </w:p>
        </w:tc>
        <w:tc>
          <w:tcPr>
            <w:tcW w:w="850" w:type="dxa"/>
            <w:noWrap/>
          </w:tcPr>
          <w:p w14:paraId="1CB2FB43" w14:textId="77777777" w:rsidR="003244CE" w:rsidRPr="007E359E" w:rsidRDefault="003244CE" w:rsidP="009C40C0">
            <w:pPr>
              <w:pStyle w:val="Tabletext"/>
              <w:jc w:val="center"/>
              <w:rPr>
                <w:sz w:val="20"/>
              </w:rPr>
            </w:pPr>
            <w:r w:rsidRPr="007E359E">
              <w:rPr>
                <w:sz w:val="20"/>
              </w:rPr>
              <w:t>0.12</w:t>
            </w:r>
          </w:p>
        </w:tc>
        <w:tc>
          <w:tcPr>
            <w:tcW w:w="851" w:type="dxa"/>
            <w:noWrap/>
          </w:tcPr>
          <w:p w14:paraId="195DE94C" w14:textId="77777777" w:rsidR="003244CE" w:rsidRPr="007E359E" w:rsidRDefault="003244CE" w:rsidP="009C40C0">
            <w:pPr>
              <w:pStyle w:val="Tabletext"/>
              <w:jc w:val="center"/>
              <w:rPr>
                <w:sz w:val="20"/>
              </w:rPr>
            </w:pPr>
            <w:r w:rsidRPr="007E359E">
              <w:rPr>
                <w:sz w:val="20"/>
              </w:rPr>
              <w:t>–</w:t>
            </w:r>
          </w:p>
        </w:tc>
        <w:tc>
          <w:tcPr>
            <w:tcW w:w="850" w:type="dxa"/>
            <w:noWrap/>
          </w:tcPr>
          <w:p w14:paraId="42CBC5AD" w14:textId="77777777" w:rsidR="003244CE" w:rsidRPr="007E359E" w:rsidRDefault="003244CE" w:rsidP="009C40C0">
            <w:pPr>
              <w:pStyle w:val="Tabletext"/>
              <w:jc w:val="center"/>
              <w:rPr>
                <w:sz w:val="20"/>
              </w:rPr>
            </w:pPr>
            <w:r w:rsidRPr="007E359E">
              <w:rPr>
                <w:sz w:val="20"/>
              </w:rPr>
              <w:t>0.10</w:t>
            </w:r>
          </w:p>
        </w:tc>
        <w:tc>
          <w:tcPr>
            <w:tcW w:w="709" w:type="dxa"/>
            <w:noWrap/>
          </w:tcPr>
          <w:p w14:paraId="1E6B591D" w14:textId="77777777" w:rsidR="003244CE" w:rsidRPr="007E359E" w:rsidRDefault="003244CE" w:rsidP="009C40C0">
            <w:pPr>
              <w:pStyle w:val="Tabletext"/>
              <w:jc w:val="center"/>
              <w:rPr>
                <w:sz w:val="20"/>
              </w:rPr>
            </w:pPr>
            <w:r w:rsidRPr="007E359E">
              <w:rPr>
                <w:sz w:val="20"/>
              </w:rPr>
              <w:t>0.10</w:t>
            </w:r>
          </w:p>
        </w:tc>
        <w:tc>
          <w:tcPr>
            <w:tcW w:w="791" w:type="dxa"/>
            <w:noWrap/>
          </w:tcPr>
          <w:p w14:paraId="17466A28" w14:textId="77777777" w:rsidR="003244CE" w:rsidRPr="007E359E" w:rsidRDefault="003244CE" w:rsidP="009C40C0">
            <w:pPr>
              <w:pStyle w:val="Tabletext"/>
              <w:jc w:val="center"/>
              <w:rPr>
                <w:sz w:val="20"/>
              </w:rPr>
            </w:pPr>
            <w:r w:rsidRPr="007E359E">
              <w:rPr>
                <w:sz w:val="20"/>
              </w:rPr>
              <w:t>–</w:t>
            </w:r>
          </w:p>
        </w:tc>
        <w:tc>
          <w:tcPr>
            <w:tcW w:w="910" w:type="dxa"/>
            <w:noWrap/>
          </w:tcPr>
          <w:p w14:paraId="036331FD" w14:textId="77777777" w:rsidR="003244CE" w:rsidRPr="007E359E" w:rsidRDefault="003244CE" w:rsidP="009C40C0">
            <w:pPr>
              <w:pStyle w:val="Tabletext"/>
              <w:jc w:val="center"/>
              <w:rPr>
                <w:sz w:val="20"/>
              </w:rPr>
            </w:pPr>
            <w:r w:rsidRPr="007E359E">
              <w:rPr>
                <w:sz w:val="20"/>
              </w:rPr>
              <w:t>0.17</w:t>
            </w:r>
          </w:p>
        </w:tc>
        <w:tc>
          <w:tcPr>
            <w:tcW w:w="850" w:type="dxa"/>
            <w:noWrap/>
          </w:tcPr>
          <w:p w14:paraId="0F8165E5" w14:textId="77777777" w:rsidR="003244CE" w:rsidRPr="007E359E" w:rsidRDefault="003244CE" w:rsidP="009C40C0">
            <w:pPr>
              <w:pStyle w:val="Tabletext"/>
              <w:jc w:val="center"/>
              <w:rPr>
                <w:sz w:val="20"/>
              </w:rPr>
            </w:pPr>
            <w:r w:rsidRPr="007E359E">
              <w:rPr>
                <w:sz w:val="20"/>
              </w:rPr>
              <w:t>0.17</w:t>
            </w:r>
          </w:p>
        </w:tc>
        <w:tc>
          <w:tcPr>
            <w:tcW w:w="851" w:type="dxa"/>
            <w:noWrap/>
          </w:tcPr>
          <w:p w14:paraId="722EB165" w14:textId="77777777" w:rsidR="003244CE" w:rsidRPr="007E359E" w:rsidRDefault="003244CE" w:rsidP="009C40C0">
            <w:pPr>
              <w:pStyle w:val="Tabletext"/>
              <w:jc w:val="center"/>
              <w:rPr>
                <w:sz w:val="20"/>
              </w:rPr>
            </w:pPr>
            <w:r w:rsidRPr="007E359E">
              <w:rPr>
                <w:sz w:val="20"/>
              </w:rPr>
              <w:t>–</w:t>
            </w:r>
          </w:p>
        </w:tc>
        <w:tc>
          <w:tcPr>
            <w:tcW w:w="850" w:type="dxa"/>
            <w:noWrap/>
          </w:tcPr>
          <w:p w14:paraId="04585A2B" w14:textId="77777777" w:rsidR="003244CE" w:rsidRPr="007E359E" w:rsidRDefault="003244CE" w:rsidP="009C40C0">
            <w:pPr>
              <w:pStyle w:val="Tabletext"/>
              <w:jc w:val="center"/>
              <w:rPr>
                <w:sz w:val="20"/>
              </w:rPr>
            </w:pPr>
            <w:r w:rsidRPr="007E359E">
              <w:rPr>
                <w:sz w:val="20"/>
              </w:rPr>
              <w:t>0.11</w:t>
            </w:r>
          </w:p>
        </w:tc>
        <w:tc>
          <w:tcPr>
            <w:tcW w:w="830" w:type="dxa"/>
            <w:noWrap/>
          </w:tcPr>
          <w:p w14:paraId="4C87DB71" w14:textId="77777777" w:rsidR="003244CE" w:rsidRPr="007E359E" w:rsidRDefault="003244CE" w:rsidP="009C40C0">
            <w:pPr>
              <w:pStyle w:val="Tabletext"/>
              <w:jc w:val="center"/>
              <w:rPr>
                <w:sz w:val="20"/>
              </w:rPr>
            </w:pPr>
            <w:r w:rsidRPr="007E359E">
              <w:rPr>
                <w:sz w:val="20"/>
              </w:rPr>
              <w:t>0.11</w:t>
            </w:r>
          </w:p>
        </w:tc>
        <w:tc>
          <w:tcPr>
            <w:tcW w:w="810" w:type="dxa"/>
            <w:noWrap/>
          </w:tcPr>
          <w:p w14:paraId="12FA6442" w14:textId="77777777" w:rsidR="003244CE" w:rsidRPr="007E359E" w:rsidRDefault="003244CE" w:rsidP="009C40C0">
            <w:pPr>
              <w:pStyle w:val="Tabletext"/>
              <w:jc w:val="center"/>
              <w:rPr>
                <w:sz w:val="20"/>
              </w:rPr>
            </w:pPr>
            <w:r w:rsidRPr="007E359E">
              <w:rPr>
                <w:sz w:val="20"/>
              </w:rPr>
              <w:t>–</w:t>
            </w:r>
          </w:p>
        </w:tc>
      </w:tr>
      <w:tr w:rsidR="003244CE" w:rsidRPr="007E359E" w14:paraId="55268355" w14:textId="77777777" w:rsidTr="002C381E">
        <w:trPr>
          <w:trHeight w:val="255"/>
          <w:jc w:val="center"/>
        </w:trPr>
        <w:tc>
          <w:tcPr>
            <w:tcW w:w="1123" w:type="dxa"/>
            <w:vMerge/>
            <w:noWrap/>
            <w:vAlign w:val="center"/>
          </w:tcPr>
          <w:p w14:paraId="29C522DA" w14:textId="77777777" w:rsidR="003244CE" w:rsidRPr="007E359E" w:rsidRDefault="003244CE" w:rsidP="002C381E">
            <w:pPr>
              <w:pStyle w:val="Tabletext"/>
              <w:jc w:val="left"/>
              <w:rPr>
                <w:sz w:val="20"/>
              </w:rPr>
            </w:pPr>
          </w:p>
        </w:tc>
        <w:tc>
          <w:tcPr>
            <w:tcW w:w="1080" w:type="dxa"/>
            <w:vMerge/>
            <w:vAlign w:val="center"/>
          </w:tcPr>
          <w:p w14:paraId="0AD6C483" w14:textId="77777777" w:rsidR="003244CE" w:rsidRPr="007E359E" w:rsidRDefault="003244CE" w:rsidP="009C40C0">
            <w:pPr>
              <w:pStyle w:val="Tabletext"/>
              <w:jc w:val="center"/>
              <w:rPr>
                <w:sz w:val="20"/>
              </w:rPr>
            </w:pPr>
          </w:p>
        </w:tc>
        <w:tc>
          <w:tcPr>
            <w:tcW w:w="1037" w:type="dxa"/>
          </w:tcPr>
          <w:p w14:paraId="6C3D9BB8" w14:textId="77777777" w:rsidR="003244CE" w:rsidRPr="007E359E" w:rsidRDefault="003244CE" w:rsidP="009C40C0">
            <w:pPr>
              <w:pStyle w:val="Tabletext"/>
              <w:jc w:val="center"/>
              <w:rPr>
                <w:sz w:val="20"/>
              </w:rPr>
            </w:pPr>
            <w:r w:rsidRPr="007E359E">
              <w:rPr>
                <w:sz w:val="20"/>
              </w:rPr>
              <w:t>SNR (dB)</w:t>
            </w:r>
          </w:p>
        </w:tc>
        <w:tc>
          <w:tcPr>
            <w:tcW w:w="661" w:type="dxa"/>
            <w:noWrap/>
          </w:tcPr>
          <w:p w14:paraId="128BE2A6" w14:textId="77777777" w:rsidR="003244CE" w:rsidRPr="007E359E" w:rsidRDefault="003244CE" w:rsidP="009C40C0">
            <w:pPr>
              <w:pStyle w:val="Tabletext"/>
              <w:jc w:val="center"/>
              <w:rPr>
                <w:sz w:val="20"/>
              </w:rPr>
            </w:pPr>
            <w:r w:rsidRPr="007E359E">
              <w:rPr>
                <w:sz w:val="20"/>
              </w:rPr>
              <w:t>−1.88</w:t>
            </w:r>
          </w:p>
        </w:tc>
        <w:tc>
          <w:tcPr>
            <w:tcW w:w="756" w:type="dxa"/>
            <w:noWrap/>
          </w:tcPr>
          <w:p w14:paraId="1B82B713" w14:textId="77777777" w:rsidR="003244CE" w:rsidRPr="007E359E" w:rsidRDefault="003244CE" w:rsidP="009C40C0">
            <w:pPr>
              <w:pStyle w:val="Tabletext"/>
              <w:jc w:val="center"/>
              <w:rPr>
                <w:sz w:val="20"/>
              </w:rPr>
            </w:pPr>
            <w:r w:rsidRPr="007E359E">
              <w:rPr>
                <w:sz w:val="20"/>
              </w:rPr>
              <w:t>−1.55</w:t>
            </w:r>
          </w:p>
        </w:tc>
        <w:tc>
          <w:tcPr>
            <w:tcW w:w="851" w:type="dxa"/>
            <w:noWrap/>
          </w:tcPr>
          <w:p w14:paraId="00B6134C" w14:textId="77777777" w:rsidR="003244CE" w:rsidRPr="007E359E" w:rsidRDefault="003244CE" w:rsidP="009C40C0">
            <w:pPr>
              <w:pStyle w:val="Tabletext"/>
              <w:jc w:val="center"/>
              <w:rPr>
                <w:sz w:val="20"/>
              </w:rPr>
            </w:pPr>
            <w:r w:rsidRPr="007E359E">
              <w:rPr>
                <w:sz w:val="20"/>
              </w:rPr>
              <w:t>−1.16</w:t>
            </w:r>
          </w:p>
        </w:tc>
        <w:tc>
          <w:tcPr>
            <w:tcW w:w="850" w:type="dxa"/>
            <w:noWrap/>
          </w:tcPr>
          <w:p w14:paraId="640EF158" w14:textId="77777777" w:rsidR="003244CE" w:rsidRPr="007E359E" w:rsidRDefault="003244CE" w:rsidP="009C40C0">
            <w:pPr>
              <w:pStyle w:val="Tabletext"/>
              <w:jc w:val="center"/>
              <w:rPr>
                <w:sz w:val="20"/>
              </w:rPr>
            </w:pPr>
            <w:r w:rsidRPr="007E359E">
              <w:rPr>
                <w:sz w:val="20"/>
              </w:rPr>
              <w:t>−1.16</w:t>
            </w:r>
          </w:p>
        </w:tc>
        <w:tc>
          <w:tcPr>
            <w:tcW w:w="851" w:type="dxa"/>
            <w:noWrap/>
          </w:tcPr>
          <w:p w14:paraId="2C4DB9A7" w14:textId="77777777" w:rsidR="003244CE" w:rsidRPr="007E359E" w:rsidRDefault="003244CE" w:rsidP="009C40C0">
            <w:pPr>
              <w:pStyle w:val="Tabletext"/>
              <w:jc w:val="center"/>
              <w:rPr>
                <w:sz w:val="20"/>
              </w:rPr>
            </w:pPr>
            <w:r w:rsidRPr="007E359E">
              <w:rPr>
                <w:sz w:val="20"/>
              </w:rPr>
              <w:t>–</w:t>
            </w:r>
          </w:p>
        </w:tc>
        <w:tc>
          <w:tcPr>
            <w:tcW w:w="850" w:type="dxa"/>
            <w:noWrap/>
          </w:tcPr>
          <w:p w14:paraId="3CD80433" w14:textId="77777777" w:rsidR="003244CE" w:rsidRPr="007E359E" w:rsidRDefault="003244CE" w:rsidP="009C40C0">
            <w:pPr>
              <w:pStyle w:val="Tabletext"/>
              <w:jc w:val="center"/>
              <w:rPr>
                <w:sz w:val="20"/>
              </w:rPr>
            </w:pPr>
            <w:r w:rsidRPr="007E359E">
              <w:rPr>
                <w:sz w:val="20"/>
              </w:rPr>
              <w:t>−0.93</w:t>
            </w:r>
          </w:p>
        </w:tc>
        <w:tc>
          <w:tcPr>
            <w:tcW w:w="709" w:type="dxa"/>
            <w:noWrap/>
          </w:tcPr>
          <w:p w14:paraId="4625EBC6" w14:textId="77777777" w:rsidR="003244CE" w:rsidRPr="007E359E" w:rsidRDefault="003244CE" w:rsidP="009C40C0">
            <w:pPr>
              <w:pStyle w:val="Tabletext"/>
              <w:jc w:val="center"/>
              <w:rPr>
                <w:sz w:val="20"/>
              </w:rPr>
            </w:pPr>
            <w:r w:rsidRPr="007E359E">
              <w:rPr>
                <w:sz w:val="20"/>
              </w:rPr>
              <w:t>−0.93</w:t>
            </w:r>
          </w:p>
        </w:tc>
        <w:tc>
          <w:tcPr>
            <w:tcW w:w="791" w:type="dxa"/>
            <w:noWrap/>
          </w:tcPr>
          <w:p w14:paraId="37D2DD34" w14:textId="77777777" w:rsidR="003244CE" w:rsidRPr="007E359E" w:rsidRDefault="003244CE" w:rsidP="009C40C0">
            <w:pPr>
              <w:pStyle w:val="Tabletext"/>
              <w:jc w:val="center"/>
              <w:rPr>
                <w:sz w:val="20"/>
              </w:rPr>
            </w:pPr>
            <w:r w:rsidRPr="007E359E">
              <w:rPr>
                <w:sz w:val="20"/>
              </w:rPr>
              <w:t>–</w:t>
            </w:r>
          </w:p>
        </w:tc>
        <w:tc>
          <w:tcPr>
            <w:tcW w:w="910" w:type="dxa"/>
            <w:noWrap/>
          </w:tcPr>
          <w:p w14:paraId="2F7CD84D" w14:textId="77777777" w:rsidR="003244CE" w:rsidRPr="007E359E" w:rsidRDefault="003244CE" w:rsidP="009C40C0">
            <w:pPr>
              <w:pStyle w:val="Tabletext"/>
              <w:jc w:val="center"/>
              <w:rPr>
                <w:sz w:val="20"/>
              </w:rPr>
            </w:pPr>
            <w:r w:rsidRPr="007E359E">
              <w:rPr>
                <w:sz w:val="20"/>
              </w:rPr>
              <w:t>−1.67</w:t>
            </w:r>
          </w:p>
        </w:tc>
        <w:tc>
          <w:tcPr>
            <w:tcW w:w="850" w:type="dxa"/>
            <w:noWrap/>
          </w:tcPr>
          <w:p w14:paraId="6382D597" w14:textId="77777777" w:rsidR="003244CE" w:rsidRPr="007E359E" w:rsidRDefault="003244CE" w:rsidP="009C40C0">
            <w:pPr>
              <w:pStyle w:val="Tabletext"/>
              <w:jc w:val="center"/>
              <w:rPr>
                <w:sz w:val="20"/>
              </w:rPr>
            </w:pPr>
            <w:r w:rsidRPr="007E359E">
              <w:rPr>
                <w:sz w:val="20"/>
              </w:rPr>
              <w:t>−1.67</w:t>
            </w:r>
          </w:p>
        </w:tc>
        <w:tc>
          <w:tcPr>
            <w:tcW w:w="851" w:type="dxa"/>
            <w:noWrap/>
          </w:tcPr>
          <w:p w14:paraId="2D48F6F8" w14:textId="77777777" w:rsidR="003244CE" w:rsidRPr="007E359E" w:rsidRDefault="003244CE" w:rsidP="009C40C0">
            <w:pPr>
              <w:pStyle w:val="Tabletext"/>
              <w:jc w:val="center"/>
              <w:rPr>
                <w:sz w:val="20"/>
              </w:rPr>
            </w:pPr>
            <w:r w:rsidRPr="007E359E">
              <w:rPr>
                <w:sz w:val="20"/>
              </w:rPr>
              <w:t>–</w:t>
            </w:r>
          </w:p>
        </w:tc>
        <w:tc>
          <w:tcPr>
            <w:tcW w:w="850" w:type="dxa"/>
            <w:noWrap/>
          </w:tcPr>
          <w:p w14:paraId="63375E42" w14:textId="77777777" w:rsidR="003244CE" w:rsidRPr="007E359E" w:rsidRDefault="003244CE" w:rsidP="009C40C0">
            <w:pPr>
              <w:pStyle w:val="Tabletext"/>
              <w:jc w:val="center"/>
              <w:rPr>
                <w:sz w:val="20"/>
              </w:rPr>
            </w:pPr>
            <w:r w:rsidRPr="007E359E">
              <w:rPr>
                <w:sz w:val="20"/>
              </w:rPr>
              <w:t>−1.04</w:t>
            </w:r>
          </w:p>
        </w:tc>
        <w:tc>
          <w:tcPr>
            <w:tcW w:w="830" w:type="dxa"/>
            <w:noWrap/>
          </w:tcPr>
          <w:p w14:paraId="5E2805D5" w14:textId="77777777" w:rsidR="003244CE" w:rsidRPr="007E359E" w:rsidRDefault="003244CE" w:rsidP="009C40C0">
            <w:pPr>
              <w:pStyle w:val="Tabletext"/>
              <w:jc w:val="center"/>
              <w:rPr>
                <w:sz w:val="20"/>
              </w:rPr>
            </w:pPr>
            <w:r w:rsidRPr="007E359E">
              <w:rPr>
                <w:sz w:val="20"/>
              </w:rPr>
              <w:t>−1.04</w:t>
            </w:r>
          </w:p>
        </w:tc>
        <w:tc>
          <w:tcPr>
            <w:tcW w:w="810" w:type="dxa"/>
            <w:noWrap/>
          </w:tcPr>
          <w:p w14:paraId="40749FE2" w14:textId="77777777" w:rsidR="003244CE" w:rsidRPr="007E359E" w:rsidRDefault="003244CE" w:rsidP="009C40C0">
            <w:pPr>
              <w:pStyle w:val="Tabletext"/>
              <w:jc w:val="center"/>
              <w:rPr>
                <w:sz w:val="20"/>
              </w:rPr>
            </w:pPr>
            <w:r w:rsidRPr="007E359E">
              <w:rPr>
                <w:sz w:val="20"/>
              </w:rPr>
              <w:t>–</w:t>
            </w:r>
          </w:p>
        </w:tc>
      </w:tr>
      <w:tr w:rsidR="003244CE" w:rsidRPr="007E359E" w14:paraId="7DAB3F10" w14:textId="77777777" w:rsidTr="002C381E">
        <w:trPr>
          <w:trHeight w:val="333"/>
          <w:jc w:val="center"/>
        </w:trPr>
        <w:tc>
          <w:tcPr>
            <w:tcW w:w="1123" w:type="dxa"/>
            <w:vMerge w:val="restart"/>
            <w:noWrap/>
          </w:tcPr>
          <w:p w14:paraId="418932BD" w14:textId="77777777" w:rsidR="003244CE" w:rsidRPr="007E359E" w:rsidRDefault="003244CE" w:rsidP="002C381E">
            <w:pPr>
              <w:pStyle w:val="Tabletext"/>
              <w:jc w:val="left"/>
              <w:rPr>
                <w:sz w:val="20"/>
              </w:rPr>
            </w:pPr>
            <w:r w:rsidRPr="007E359E">
              <w:rPr>
                <w:sz w:val="20"/>
              </w:rPr>
              <w:t>Indoor positioning</w:t>
            </w:r>
          </w:p>
        </w:tc>
        <w:tc>
          <w:tcPr>
            <w:tcW w:w="1080" w:type="dxa"/>
            <w:vMerge w:val="restart"/>
            <w:vAlign w:val="center"/>
          </w:tcPr>
          <w:p w14:paraId="476C54DA" w14:textId="77777777" w:rsidR="003244CE" w:rsidRPr="007E359E" w:rsidRDefault="003244CE" w:rsidP="009C40C0">
            <w:pPr>
              <w:pStyle w:val="Tabletext"/>
              <w:jc w:val="center"/>
              <w:rPr>
                <w:sz w:val="20"/>
              </w:rPr>
            </w:pPr>
            <w:r w:rsidRPr="007E359E">
              <w:rPr>
                <w:sz w:val="20"/>
              </w:rPr>
              <w:t>30</w:t>
            </w:r>
          </w:p>
        </w:tc>
        <w:tc>
          <w:tcPr>
            <w:tcW w:w="1037" w:type="dxa"/>
          </w:tcPr>
          <w:p w14:paraId="22000105" w14:textId="77777777" w:rsidR="003244CE" w:rsidRPr="007E359E" w:rsidRDefault="003244CE" w:rsidP="009C40C0">
            <w:pPr>
              <w:pStyle w:val="Tabletext"/>
              <w:jc w:val="center"/>
              <w:rPr>
                <w:sz w:val="20"/>
              </w:rPr>
            </w:pPr>
            <w:r w:rsidRPr="007E359E">
              <w:rPr>
                <w:sz w:val="20"/>
              </w:rPr>
              <w:t>PDC</w:t>
            </w:r>
          </w:p>
        </w:tc>
        <w:tc>
          <w:tcPr>
            <w:tcW w:w="661" w:type="dxa"/>
            <w:noWrap/>
          </w:tcPr>
          <w:p w14:paraId="7533DDC7" w14:textId="77777777" w:rsidR="003244CE" w:rsidRPr="007E359E" w:rsidRDefault="003244CE" w:rsidP="009C40C0">
            <w:pPr>
              <w:pStyle w:val="Tabletext"/>
              <w:jc w:val="center"/>
              <w:rPr>
                <w:sz w:val="20"/>
              </w:rPr>
            </w:pPr>
            <w:r w:rsidRPr="007E359E">
              <w:rPr>
                <w:sz w:val="20"/>
              </w:rPr>
              <w:t>0.19</w:t>
            </w:r>
          </w:p>
        </w:tc>
        <w:tc>
          <w:tcPr>
            <w:tcW w:w="756" w:type="dxa"/>
            <w:noWrap/>
          </w:tcPr>
          <w:p w14:paraId="61D007A3" w14:textId="77777777" w:rsidR="003244CE" w:rsidRPr="007E359E" w:rsidRDefault="003244CE" w:rsidP="009C40C0">
            <w:pPr>
              <w:pStyle w:val="Tabletext"/>
              <w:jc w:val="center"/>
              <w:rPr>
                <w:sz w:val="20"/>
              </w:rPr>
            </w:pPr>
            <w:r w:rsidRPr="007E359E">
              <w:rPr>
                <w:sz w:val="20"/>
              </w:rPr>
              <w:t>0.16</w:t>
            </w:r>
          </w:p>
        </w:tc>
        <w:tc>
          <w:tcPr>
            <w:tcW w:w="851" w:type="dxa"/>
            <w:noWrap/>
          </w:tcPr>
          <w:p w14:paraId="04C1EB3C" w14:textId="77777777" w:rsidR="003244CE" w:rsidRPr="007E359E" w:rsidRDefault="003244CE" w:rsidP="009C40C0">
            <w:pPr>
              <w:pStyle w:val="Tabletext"/>
              <w:jc w:val="center"/>
              <w:rPr>
                <w:sz w:val="20"/>
              </w:rPr>
            </w:pPr>
            <w:r w:rsidRPr="007E359E">
              <w:rPr>
                <w:sz w:val="20"/>
              </w:rPr>
              <w:t>0.12</w:t>
            </w:r>
          </w:p>
        </w:tc>
        <w:tc>
          <w:tcPr>
            <w:tcW w:w="850" w:type="dxa"/>
            <w:noWrap/>
          </w:tcPr>
          <w:p w14:paraId="1E6A094F" w14:textId="77777777" w:rsidR="003244CE" w:rsidRPr="007E359E" w:rsidRDefault="003244CE" w:rsidP="009C40C0">
            <w:pPr>
              <w:pStyle w:val="Tabletext"/>
              <w:jc w:val="center"/>
              <w:rPr>
                <w:sz w:val="20"/>
              </w:rPr>
            </w:pPr>
            <w:r w:rsidRPr="007E359E">
              <w:rPr>
                <w:sz w:val="20"/>
              </w:rPr>
              <w:t>0.12</w:t>
            </w:r>
          </w:p>
        </w:tc>
        <w:tc>
          <w:tcPr>
            <w:tcW w:w="851" w:type="dxa"/>
            <w:noWrap/>
          </w:tcPr>
          <w:p w14:paraId="64F3CB20" w14:textId="77777777" w:rsidR="003244CE" w:rsidRPr="007E359E" w:rsidRDefault="003244CE" w:rsidP="009C40C0">
            <w:pPr>
              <w:pStyle w:val="Tabletext"/>
              <w:jc w:val="center"/>
              <w:rPr>
                <w:sz w:val="20"/>
              </w:rPr>
            </w:pPr>
            <w:r w:rsidRPr="007E359E">
              <w:rPr>
                <w:sz w:val="20"/>
              </w:rPr>
              <w:t>–</w:t>
            </w:r>
          </w:p>
        </w:tc>
        <w:tc>
          <w:tcPr>
            <w:tcW w:w="850" w:type="dxa"/>
            <w:noWrap/>
          </w:tcPr>
          <w:p w14:paraId="77C48A00" w14:textId="77777777" w:rsidR="003244CE" w:rsidRPr="007E359E" w:rsidRDefault="003244CE" w:rsidP="009C40C0">
            <w:pPr>
              <w:pStyle w:val="Tabletext"/>
              <w:jc w:val="center"/>
              <w:rPr>
                <w:sz w:val="20"/>
              </w:rPr>
            </w:pPr>
            <w:r w:rsidRPr="007E359E">
              <w:rPr>
                <w:sz w:val="20"/>
              </w:rPr>
              <w:t>0.10</w:t>
            </w:r>
          </w:p>
        </w:tc>
        <w:tc>
          <w:tcPr>
            <w:tcW w:w="709" w:type="dxa"/>
            <w:noWrap/>
          </w:tcPr>
          <w:p w14:paraId="49EF1A1C" w14:textId="77777777" w:rsidR="003244CE" w:rsidRPr="007E359E" w:rsidRDefault="003244CE" w:rsidP="009C40C0">
            <w:pPr>
              <w:pStyle w:val="Tabletext"/>
              <w:jc w:val="center"/>
              <w:rPr>
                <w:sz w:val="20"/>
              </w:rPr>
            </w:pPr>
            <w:r w:rsidRPr="007E359E">
              <w:rPr>
                <w:sz w:val="20"/>
              </w:rPr>
              <w:t>0.10</w:t>
            </w:r>
          </w:p>
        </w:tc>
        <w:tc>
          <w:tcPr>
            <w:tcW w:w="791" w:type="dxa"/>
            <w:noWrap/>
          </w:tcPr>
          <w:p w14:paraId="74C9849A" w14:textId="77777777" w:rsidR="003244CE" w:rsidRPr="007E359E" w:rsidRDefault="003244CE" w:rsidP="009C40C0">
            <w:pPr>
              <w:pStyle w:val="Tabletext"/>
              <w:jc w:val="center"/>
              <w:rPr>
                <w:sz w:val="20"/>
              </w:rPr>
            </w:pPr>
            <w:r w:rsidRPr="007E359E">
              <w:rPr>
                <w:sz w:val="20"/>
              </w:rPr>
              <w:t>–</w:t>
            </w:r>
          </w:p>
        </w:tc>
        <w:tc>
          <w:tcPr>
            <w:tcW w:w="910" w:type="dxa"/>
            <w:noWrap/>
          </w:tcPr>
          <w:p w14:paraId="71F0FF61" w14:textId="77777777" w:rsidR="003244CE" w:rsidRPr="007E359E" w:rsidRDefault="003244CE" w:rsidP="009C40C0">
            <w:pPr>
              <w:pStyle w:val="Tabletext"/>
              <w:jc w:val="center"/>
              <w:rPr>
                <w:sz w:val="20"/>
              </w:rPr>
            </w:pPr>
            <w:r w:rsidRPr="007E359E">
              <w:rPr>
                <w:sz w:val="20"/>
              </w:rPr>
              <w:t>0.17</w:t>
            </w:r>
          </w:p>
        </w:tc>
        <w:tc>
          <w:tcPr>
            <w:tcW w:w="850" w:type="dxa"/>
            <w:noWrap/>
          </w:tcPr>
          <w:p w14:paraId="45821AC2" w14:textId="77777777" w:rsidR="003244CE" w:rsidRPr="007E359E" w:rsidRDefault="003244CE" w:rsidP="009C40C0">
            <w:pPr>
              <w:pStyle w:val="Tabletext"/>
              <w:jc w:val="center"/>
              <w:rPr>
                <w:sz w:val="20"/>
              </w:rPr>
            </w:pPr>
            <w:r w:rsidRPr="007E359E">
              <w:rPr>
                <w:sz w:val="20"/>
              </w:rPr>
              <w:t>0.17</w:t>
            </w:r>
          </w:p>
        </w:tc>
        <w:tc>
          <w:tcPr>
            <w:tcW w:w="851" w:type="dxa"/>
            <w:noWrap/>
          </w:tcPr>
          <w:p w14:paraId="2B495B52" w14:textId="77777777" w:rsidR="003244CE" w:rsidRPr="007E359E" w:rsidRDefault="003244CE" w:rsidP="009C40C0">
            <w:pPr>
              <w:pStyle w:val="Tabletext"/>
              <w:jc w:val="center"/>
              <w:rPr>
                <w:sz w:val="20"/>
              </w:rPr>
            </w:pPr>
            <w:r w:rsidRPr="007E359E">
              <w:rPr>
                <w:sz w:val="20"/>
              </w:rPr>
              <w:t>–</w:t>
            </w:r>
          </w:p>
        </w:tc>
        <w:tc>
          <w:tcPr>
            <w:tcW w:w="850" w:type="dxa"/>
            <w:noWrap/>
          </w:tcPr>
          <w:p w14:paraId="38412045" w14:textId="77777777" w:rsidR="003244CE" w:rsidRPr="007E359E" w:rsidRDefault="003244CE" w:rsidP="009C40C0">
            <w:pPr>
              <w:pStyle w:val="Tabletext"/>
              <w:jc w:val="center"/>
              <w:rPr>
                <w:sz w:val="20"/>
              </w:rPr>
            </w:pPr>
            <w:r w:rsidRPr="007E359E">
              <w:rPr>
                <w:sz w:val="20"/>
              </w:rPr>
              <w:t>0.11</w:t>
            </w:r>
          </w:p>
        </w:tc>
        <w:tc>
          <w:tcPr>
            <w:tcW w:w="830" w:type="dxa"/>
            <w:noWrap/>
          </w:tcPr>
          <w:p w14:paraId="357FDBD9" w14:textId="77777777" w:rsidR="003244CE" w:rsidRPr="007E359E" w:rsidRDefault="003244CE" w:rsidP="009C40C0">
            <w:pPr>
              <w:pStyle w:val="Tabletext"/>
              <w:jc w:val="center"/>
              <w:rPr>
                <w:sz w:val="20"/>
              </w:rPr>
            </w:pPr>
            <w:r w:rsidRPr="007E359E">
              <w:rPr>
                <w:sz w:val="20"/>
              </w:rPr>
              <w:t>0.11</w:t>
            </w:r>
          </w:p>
        </w:tc>
        <w:tc>
          <w:tcPr>
            <w:tcW w:w="810" w:type="dxa"/>
            <w:noWrap/>
          </w:tcPr>
          <w:p w14:paraId="0521D313" w14:textId="77777777" w:rsidR="003244CE" w:rsidRPr="007E359E" w:rsidRDefault="003244CE" w:rsidP="009C40C0">
            <w:pPr>
              <w:pStyle w:val="Tabletext"/>
              <w:jc w:val="center"/>
              <w:rPr>
                <w:sz w:val="20"/>
              </w:rPr>
            </w:pPr>
            <w:r w:rsidRPr="007E359E">
              <w:rPr>
                <w:sz w:val="20"/>
              </w:rPr>
              <w:t>–</w:t>
            </w:r>
          </w:p>
        </w:tc>
      </w:tr>
      <w:tr w:rsidR="003244CE" w:rsidRPr="007E359E" w14:paraId="65ABD695" w14:textId="77777777" w:rsidTr="002C381E">
        <w:trPr>
          <w:trHeight w:val="255"/>
          <w:jc w:val="center"/>
        </w:trPr>
        <w:tc>
          <w:tcPr>
            <w:tcW w:w="1123" w:type="dxa"/>
            <w:vMerge/>
            <w:noWrap/>
            <w:vAlign w:val="center"/>
          </w:tcPr>
          <w:p w14:paraId="2D9F4DBD" w14:textId="77777777" w:rsidR="003244CE" w:rsidRPr="007E359E" w:rsidRDefault="003244CE" w:rsidP="002C381E">
            <w:pPr>
              <w:pStyle w:val="Tabletext"/>
              <w:jc w:val="left"/>
              <w:rPr>
                <w:sz w:val="20"/>
              </w:rPr>
            </w:pPr>
          </w:p>
        </w:tc>
        <w:tc>
          <w:tcPr>
            <w:tcW w:w="1080" w:type="dxa"/>
            <w:vMerge/>
            <w:vAlign w:val="center"/>
          </w:tcPr>
          <w:p w14:paraId="53760820" w14:textId="77777777" w:rsidR="003244CE" w:rsidRPr="007E359E" w:rsidRDefault="003244CE" w:rsidP="009C40C0">
            <w:pPr>
              <w:pStyle w:val="Tabletext"/>
              <w:jc w:val="center"/>
              <w:rPr>
                <w:sz w:val="20"/>
              </w:rPr>
            </w:pPr>
          </w:p>
        </w:tc>
        <w:tc>
          <w:tcPr>
            <w:tcW w:w="1037" w:type="dxa"/>
          </w:tcPr>
          <w:p w14:paraId="7222A3DD" w14:textId="77777777" w:rsidR="003244CE" w:rsidRPr="007E359E" w:rsidRDefault="003244CE" w:rsidP="009C40C0">
            <w:pPr>
              <w:pStyle w:val="Tabletext"/>
              <w:jc w:val="center"/>
              <w:rPr>
                <w:sz w:val="20"/>
              </w:rPr>
            </w:pPr>
            <w:r w:rsidRPr="007E359E">
              <w:rPr>
                <w:sz w:val="20"/>
              </w:rPr>
              <w:t>SNR (dB)</w:t>
            </w:r>
          </w:p>
        </w:tc>
        <w:tc>
          <w:tcPr>
            <w:tcW w:w="661" w:type="dxa"/>
            <w:noWrap/>
          </w:tcPr>
          <w:p w14:paraId="35F5593C" w14:textId="77777777" w:rsidR="003244CE" w:rsidRPr="007E359E" w:rsidRDefault="003244CE" w:rsidP="009C40C0">
            <w:pPr>
              <w:pStyle w:val="Tabletext"/>
              <w:jc w:val="center"/>
              <w:rPr>
                <w:sz w:val="20"/>
              </w:rPr>
            </w:pPr>
            <w:r w:rsidRPr="007E359E">
              <w:rPr>
                <w:sz w:val="20"/>
              </w:rPr>
              <w:t>−1.88</w:t>
            </w:r>
          </w:p>
        </w:tc>
        <w:tc>
          <w:tcPr>
            <w:tcW w:w="756" w:type="dxa"/>
            <w:noWrap/>
          </w:tcPr>
          <w:p w14:paraId="206D27B1" w14:textId="77777777" w:rsidR="003244CE" w:rsidRPr="007E359E" w:rsidRDefault="003244CE" w:rsidP="009C40C0">
            <w:pPr>
              <w:pStyle w:val="Tabletext"/>
              <w:jc w:val="center"/>
              <w:rPr>
                <w:sz w:val="20"/>
              </w:rPr>
            </w:pPr>
            <w:r w:rsidRPr="007E359E">
              <w:rPr>
                <w:sz w:val="20"/>
              </w:rPr>
              <w:t>−1.55</w:t>
            </w:r>
          </w:p>
        </w:tc>
        <w:tc>
          <w:tcPr>
            <w:tcW w:w="851" w:type="dxa"/>
            <w:noWrap/>
          </w:tcPr>
          <w:p w14:paraId="1698836D" w14:textId="77777777" w:rsidR="003244CE" w:rsidRPr="007E359E" w:rsidRDefault="003244CE" w:rsidP="009C40C0">
            <w:pPr>
              <w:pStyle w:val="Tabletext"/>
              <w:jc w:val="center"/>
              <w:rPr>
                <w:sz w:val="20"/>
              </w:rPr>
            </w:pPr>
            <w:r w:rsidRPr="007E359E">
              <w:rPr>
                <w:sz w:val="20"/>
              </w:rPr>
              <w:t>−1.16</w:t>
            </w:r>
          </w:p>
        </w:tc>
        <w:tc>
          <w:tcPr>
            <w:tcW w:w="850" w:type="dxa"/>
            <w:noWrap/>
          </w:tcPr>
          <w:p w14:paraId="73F6A311" w14:textId="77777777" w:rsidR="003244CE" w:rsidRPr="007E359E" w:rsidRDefault="003244CE" w:rsidP="009C40C0">
            <w:pPr>
              <w:pStyle w:val="Tabletext"/>
              <w:jc w:val="center"/>
              <w:rPr>
                <w:sz w:val="20"/>
              </w:rPr>
            </w:pPr>
            <w:r w:rsidRPr="007E359E">
              <w:rPr>
                <w:sz w:val="20"/>
              </w:rPr>
              <w:t>−1.16</w:t>
            </w:r>
          </w:p>
        </w:tc>
        <w:tc>
          <w:tcPr>
            <w:tcW w:w="851" w:type="dxa"/>
            <w:noWrap/>
          </w:tcPr>
          <w:p w14:paraId="57DAC566" w14:textId="77777777" w:rsidR="003244CE" w:rsidRPr="007E359E" w:rsidRDefault="003244CE" w:rsidP="009C40C0">
            <w:pPr>
              <w:pStyle w:val="Tabletext"/>
              <w:jc w:val="center"/>
              <w:rPr>
                <w:sz w:val="20"/>
              </w:rPr>
            </w:pPr>
            <w:r w:rsidRPr="007E359E">
              <w:rPr>
                <w:sz w:val="20"/>
              </w:rPr>
              <w:t>–</w:t>
            </w:r>
          </w:p>
        </w:tc>
        <w:tc>
          <w:tcPr>
            <w:tcW w:w="850" w:type="dxa"/>
            <w:noWrap/>
          </w:tcPr>
          <w:p w14:paraId="7ED3CE91" w14:textId="77777777" w:rsidR="003244CE" w:rsidRPr="007E359E" w:rsidRDefault="003244CE" w:rsidP="009C40C0">
            <w:pPr>
              <w:pStyle w:val="Tabletext"/>
              <w:jc w:val="center"/>
              <w:rPr>
                <w:sz w:val="20"/>
              </w:rPr>
            </w:pPr>
            <w:r w:rsidRPr="007E359E">
              <w:rPr>
                <w:sz w:val="20"/>
              </w:rPr>
              <w:t>−0.93</w:t>
            </w:r>
          </w:p>
        </w:tc>
        <w:tc>
          <w:tcPr>
            <w:tcW w:w="709" w:type="dxa"/>
            <w:noWrap/>
          </w:tcPr>
          <w:p w14:paraId="1EA87BD3" w14:textId="77777777" w:rsidR="003244CE" w:rsidRPr="007E359E" w:rsidRDefault="003244CE" w:rsidP="009C40C0">
            <w:pPr>
              <w:pStyle w:val="Tabletext"/>
              <w:jc w:val="center"/>
              <w:rPr>
                <w:sz w:val="20"/>
              </w:rPr>
            </w:pPr>
            <w:r w:rsidRPr="007E359E">
              <w:rPr>
                <w:sz w:val="20"/>
              </w:rPr>
              <w:t>−0.93</w:t>
            </w:r>
          </w:p>
        </w:tc>
        <w:tc>
          <w:tcPr>
            <w:tcW w:w="791" w:type="dxa"/>
            <w:noWrap/>
          </w:tcPr>
          <w:p w14:paraId="40A31DE7" w14:textId="77777777" w:rsidR="003244CE" w:rsidRPr="007E359E" w:rsidRDefault="003244CE" w:rsidP="009C40C0">
            <w:pPr>
              <w:pStyle w:val="Tabletext"/>
              <w:jc w:val="center"/>
              <w:rPr>
                <w:sz w:val="20"/>
              </w:rPr>
            </w:pPr>
            <w:r w:rsidRPr="007E359E">
              <w:rPr>
                <w:sz w:val="20"/>
              </w:rPr>
              <w:t>–</w:t>
            </w:r>
          </w:p>
        </w:tc>
        <w:tc>
          <w:tcPr>
            <w:tcW w:w="910" w:type="dxa"/>
            <w:noWrap/>
          </w:tcPr>
          <w:p w14:paraId="4CBEEF00" w14:textId="77777777" w:rsidR="003244CE" w:rsidRPr="007E359E" w:rsidRDefault="003244CE" w:rsidP="009C40C0">
            <w:pPr>
              <w:pStyle w:val="Tabletext"/>
              <w:jc w:val="center"/>
              <w:rPr>
                <w:sz w:val="20"/>
              </w:rPr>
            </w:pPr>
            <w:r w:rsidRPr="007E359E">
              <w:rPr>
                <w:sz w:val="20"/>
              </w:rPr>
              <w:t>−1.67</w:t>
            </w:r>
          </w:p>
        </w:tc>
        <w:tc>
          <w:tcPr>
            <w:tcW w:w="850" w:type="dxa"/>
            <w:noWrap/>
          </w:tcPr>
          <w:p w14:paraId="53E3A2CC" w14:textId="77777777" w:rsidR="003244CE" w:rsidRPr="007E359E" w:rsidRDefault="003244CE" w:rsidP="009C40C0">
            <w:pPr>
              <w:pStyle w:val="Tabletext"/>
              <w:jc w:val="center"/>
              <w:rPr>
                <w:sz w:val="20"/>
              </w:rPr>
            </w:pPr>
            <w:r w:rsidRPr="007E359E">
              <w:rPr>
                <w:sz w:val="20"/>
              </w:rPr>
              <w:t>−1.67</w:t>
            </w:r>
          </w:p>
        </w:tc>
        <w:tc>
          <w:tcPr>
            <w:tcW w:w="851" w:type="dxa"/>
            <w:noWrap/>
          </w:tcPr>
          <w:p w14:paraId="5EE9571B" w14:textId="77777777" w:rsidR="003244CE" w:rsidRPr="007E359E" w:rsidRDefault="003244CE" w:rsidP="009C40C0">
            <w:pPr>
              <w:pStyle w:val="Tabletext"/>
              <w:jc w:val="center"/>
              <w:rPr>
                <w:sz w:val="20"/>
              </w:rPr>
            </w:pPr>
            <w:r w:rsidRPr="007E359E">
              <w:rPr>
                <w:sz w:val="20"/>
              </w:rPr>
              <w:t>–</w:t>
            </w:r>
          </w:p>
        </w:tc>
        <w:tc>
          <w:tcPr>
            <w:tcW w:w="850" w:type="dxa"/>
            <w:noWrap/>
          </w:tcPr>
          <w:p w14:paraId="38BF8F56" w14:textId="77777777" w:rsidR="003244CE" w:rsidRPr="007E359E" w:rsidRDefault="003244CE" w:rsidP="009C40C0">
            <w:pPr>
              <w:pStyle w:val="Tabletext"/>
              <w:jc w:val="center"/>
              <w:rPr>
                <w:sz w:val="20"/>
              </w:rPr>
            </w:pPr>
            <w:r w:rsidRPr="007E359E">
              <w:rPr>
                <w:sz w:val="20"/>
              </w:rPr>
              <w:t>−1.04</w:t>
            </w:r>
          </w:p>
        </w:tc>
        <w:tc>
          <w:tcPr>
            <w:tcW w:w="830" w:type="dxa"/>
            <w:noWrap/>
          </w:tcPr>
          <w:p w14:paraId="27EA98A1" w14:textId="77777777" w:rsidR="003244CE" w:rsidRPr="007E359E" w:rsidRDefault="003244CE" w:rsidP="009C40C0">
            <w:pPr>
              <w:pStyle w:val="Tabletext"/>
              <w:jc w:val="center"/>
              <w:rPr>
                <w:sz w:val="20"/>
              </w:rPr>
            </w:pPr>
            <w:r w:rsidRPr="007E359E">
              <w:rPr>
                <w:sz w:val="20"/>
              </w:rPr>
              <w:t>−1.04</w:t>
            </w:r>
          </w:p>
        </w:tc>
        <w:tc>
          <w:tcPr>
            <w:tcW w:w="810" w:type="dxa"/>
            <w:noWrap/>
          </w:tcPr>
          <w:p w14:paraId="6DEE2FC7" w14:textId="77777777" w:rsidR="003244CE" w:rsidRPr="007E359E" w:rsidRDefault="003244CE" w:rsidP="009C40C0">
            <w:pPr>
              <w:pStyle w:val="Tabletext"/>
              <w:jc w:val="center"/>
              <w:rPr>
                <w:sz w:val="20"/>
              </w:rPr>
            </w:pPr>
            <w:r w:rsidRPr="007E359E">
              <w:rPr>
                <w:sz w:val="20"/>
              </w:rPr>
              <w:t>–</w:t>
            </w:r>
          </w:p>
        </w:tc>
      </w:tr>
      <w:tr w:rsidR="003244CE" w:rsidRPr="007E359E" w14:paraId="4C995B00" w14:textId="77777777" w:rsidTr="002C381E">
        <w:trPr>
          <w:trHeight w:val="299"/>
          <w:jc w:val="center"/>
        </w:trPr>
        <w:tc>
          <w:tcPr>
            <w:tcW w:w="1123" w:type="dxa"/>
            <w:vMerge w:val="restart"/>
            <w:noWrap/>
          </w:tcPr>
          <w:p w14:paraId="0C54048C" w14:textId="77777777" w:rsidR="003244CE" w:rsidRPr="007E359E" w:rsidRDefault="003244CE" w:rsidP="002C381E">
            <w:pPr>
              <w:pStyle w:val="Tabletext"/>
              <w:jc w:val="left"/>
              <w:rPr>
                <w:sz w:val="20"/>
              </w:rPr>
            </w:pPr>
            <w:r w:rsidRPr="007E359E">
              <w:rPr>
                <w:sz w:val="20"/>
              </w:rPr>
              <w:t>General Purpose</w:t>
            </w:r>
          </w:p>
        </w:tc>
        <w:tc>
          <w:tcPr>
            <w:tcW w:w="1080" w:type="dxa"/>
            <w:vMerge w:val="restart"/>
            <w:vAlign w:val="center"/>
          </w:tcPr>
          <w:p w14:paraId="0E3F305A" w14:textId="77777777" w:rsidR="003244CE" w:rsidRPr="007E359E" w:rsidRDefault="003244CE" w:rsidP="009C40C0">
            <w:pPr>
              <w:pStyle w:val="Tabletext"/>
              <w:jc w:val="center"/>
              <w:rPr>
                <w:sz w:val="20"/>
              </w:rPr>
            </w:pPr>
            <w:r w:rsidRPr="007E359E">
              <w:rPr>
                <w:sz w:val="20"/>
              </w:rPr>
              <w:t>30</w:t>
            </w:r>
          </w:p>
        </w:tc>
        <w:tc>
          <w:tcPr>
            <w:tcW w:w="1037" w:type="dxa"/>
          </w:tcPr>
          <w:p w14:paraId="292E96BB" w14:textId="77777777" w:rsidR="003244CE" w:rsidRPr="007E359E" w:rsidRDefault="003244CE" w:rsidP="009C40C0">
            <w:pPr>
              <w:pStyle w:val="Tabletext"/>
              <w:jc w:val="center"/>
              <w:rPr>
                <w:sz w:val="20"/>
              </w:rPr>
            </w:pPr>
            <w:r w:rsidRPr="007E359E">
              <w:rPr>
                <w:sz w:val="20"/>
              </w:rPr>
              <w:t>PDC</w:t>
            </w:r>
          </w:p>
        </w:tc>
        <w:tc>
          <w:tcPr>
            <w:tcW w:w="661" w:type="dxa"/>
            <w:noWrap/>
          </w:tcPr>
          <w:p w14:paraId="7B5959F3" w14:textId="77777777" w:rsidR="003244CE" w:rsidRPr="007E359E" w:rsidRDefault="003244CE" w:rsidP="009C40C0">
            <w:pPr>
              <w:pStyle w:val="Tabletext"/>
              <w:jc w:val="center"/>
              <w:rPr>
                <w:sz w:val="20"/>
              </w:rPr>
            </w:pPr>
            <w:r w:rsidRPr="007E359E">
              <w:rPr>
                <w:sz w:val="20"/>
              </w:rPr>
              <w:t>0.19</w:t>
            </w:r>
          </w:p>
        </w:tc>
        <w:tc>
          <w:tcPr>
            <w:tcW w:w="756" w:type="dxa"/>
            <w:noWrap/>
          </w:tcPr>
          <w:p w14:paraId="2DDCAD33" w14:textId="77777777" w:rsidR="003244CE" w:rsidRPr="007E359E" w:rsidRDefault="003244CE" w:rsidP="009C40C0">
            <w:pPr>
              <w:pStyle w:val="Tabletext"/>
              <w:jc w:val="center"/>
              <w:rPr>
                <w:sz w:val="20"/>
              </w:rPr>
            </w:pPr>
            <w:r w:rsidRPr="007E359E">
              <w:rPr>
                <w:sz w:val="20"/>
              </w:rPr>
              <w:t>0.16</w:t>
            </w:r>
          </w:p>
        </w:tc>
        <w:tc>
          <w:tcPr>
            <w:tcW w:w="851" w:type="dxa"/>
            <w:noWrap/>
          </w:tcPr>
          <w:p w14:paraId="05ED42FD" w14:textId="77777777" w:rsidR="003244CE" w:rsidRPr="007E359E" w:rsidRDefault="003244CE" w:rsidP="009C40C0">
            <w:pPr>
              <w:pStyle w:val="Tabletext"/>
              <w:jc w:val="center"/>
              <w:rPr>
                <w:sz w:val="20"/>
              </w:rPr>
            </w:pPr>
            <w:r w:rsidRPr="007E359E">
              <w:rPr>
                <w:sz w:val="20"/>
              </w:rPr>
              <w:t>0.12</w:t>
            </w:r>
          </w:p>
        </w:tc>
        <w:tc>
          <w:tcPr>
            <w:tcW w:w="850" w:type="dxa"/>
            <w:noWrap/>
          </w:tcPr>
          <w:p w14:paraId="7A2FA5FE" w14:textId="77777777" w:rsidR="003244CE" w:rsidRPr="007E359E" w:rsidRDefault="003244CE" w:rsidP="009C40C0">
            <w:pPr>
              <w:pStyle w:val="Tabletext"/>
              <w:jc w:val="center"/>
              <w:rPr>
                <w:sz w:val="20"/>
              </w:rPr>
            </w:pPr>
            <w:r w:rsidRPr="007E359E">
              <w:rPr>
                <w:sz w:val="20"/>
              </w:rPr>
              <w:t>0.12</w:t>
            </w:r>
          </w:p>
        </w:tc>
        <w:tc>
          <w:tcPr>
            <w:tcW w:w="851" w:type="dxa"/>
            <w:noWrap/>
          </w:tcPr>
          <w:p w14:paraId="1100096C" w14:textId="77777777" w:rsidR="003244CE" w:rsidRPr="007E359E" w:rsidRDefault="003244CE" w:rsidP="009C40C0">
            <w:pPr>
              <w:pStyle w:val="Tabletext"/>
              <w:jc w:val="center"/>
              <w:rPr>
                <w:sz w:val="20"/>
              </w:rPr>
            </w:pPr>
            <w:r w:rsidRPr="007E359E">
              <w:rPr>
                <w:sz w:val="20"/>
              </w:rPr>
              <w:t>–</w:t>
            </w:r>
          </w:p>
        </w:tc>
        <w:tc>
          <w:tcPr>
            <w:tcW w:w="850" w:type="dxa"/>
            <w:noWrap/>
          </w:tcPr>
          <w:p w14:paraId="4976295C" w14:textId="77777777" w:rsidR="003244CE" w:rsidRPr="007E359E" w:rsidRDefault="003244CE" w:rsidP="009C40C0">
            <w:pPr>
              <w:pStyle w:val="Tabletext"/>
              <w:jc w:val="center"/>
              <w:rPr>
                <w:sz w:val="20"/>
              </w:rPr>
            </w:pPr>
            <w:r w:rsidRPr="007E359E">
              <w:rPr>
                <w:sz w:val="20"/>
              </w:rPr>
              <w:t>0.10</w:t>
            </w:r>
          </w:p>
        </w:tc>
        <w:tc>
          <w:tcPr>
            <w:tcW w:w="709" w:type="dxa"/>
            <w:noWrap/>
          </w:tcPr>
          <w:p w14:paraId="551D7FF1" w14:textId="77777777" w:rsidR="003244CE" w:rsidRPr="007E359E" w:rsidRDefault="003244CE" w:rsidP="009C40C0">
            <w:pPr>
              <w:pStyle w:val="Tabletext"/>
              <w:jc w:val="center"/>
              <w:rPr>
                <w:sz w:val="20"/>
              </w:rPr>
            </w:pPr>
            <w:r w:rsidRPr="007E359E">
              <w:rPr>
                <w:sz w:val="20"/>
              </w:rPr>
              <w:t>0.10</w:t>
            </w:r>
          </w:p>
        </w:tc>
        <w:tc>
          <w:tcPr>
            <w:tcW w:w="791" w:type="dxa"/>
            <w:noWrap/>
          </w:tcPr>
          <w:p w14:paraId="67C2325D" w14:textId="77777777" w:rsidR="003244CE" w:rsidRPr="007E359E" w:rsidRDefault="003244CE" w:rsidP="009C40C0">
            <w:pPr>
              <w:pStyle w:val="Tabletext"/>
              <w:jc w:val="center"/>
              <w:rPr>
                <w:sz w:val="20"/>
              </w:rPr>
            </w:pPr>
            <w:r w:rsidRPr="007E359E">
              <w:rPr>
                <w:sz w:val="20"/>
              </w:rPr>
              <w:t>–</w:t>
            </w:r>
          </w:p>
        </w:tc>
        <w:tc>
          <w:tcPr>
            <w:tcW w:w="910" w:type="dxa"/>
            <w:noWrap/>
          </w:tcPr>
          <w:p w14:paraId="2013169E" w14:textId="77777777" w:rsidR="003244CE" w:rsidRPr="007E359E" w:rsidRDefault="003244CE" w:rsidP="009C40C0">
            <w:pPr>
              <w:pStyle w:val="Tabletext"/>
              <w:jc w:val="center"/>
              <w:rPr>
                <w:sz w:val="20"/>
              </w:rPr>
            </w:pPr>
            <w:r w:rsidRPr="007E359E">
              <w:rPr>
                <w:sz w:val="20"/>
              </w:rPr>
              <w:t>0.17</w:t>
            </w:r>
          </w:p>
        </w:tc>
        <w:tc>
          <w:tcPr>
            <w:tcW w:w="850" w:type="dxa"/>
            <w:noWrap/>
          </w:tcPr>
          <w:p w14:paraId="17577668" w14:textId="77777777" w:rsidR="003244CE" w:rsidRPr="007E359E" w:rsidRDefault="003244CE" w:rsidP="009C40C0">
            <w:pPr>
              <w:pStyle w:val="Tabletext"/>
              <w:jc w:val="center"/>
              <w:rPr>
                <w:sz w:val="20"/>
              </w:rPr>
            </w:pPr>
            <w:r w:rsidRPr="007E359E">
              <w:rPr>
                <w:sz w:val="20"/>
              </w:rPr>
              <w:t>0.17</w:t>
            </w:r>
          </w:p>
        </w:tc>
        <w:tc>
          <w:tcPr>
            <w:tcW w:w="851" w:type="dxa"/>
            <w:noWrap/>
          </w:tcPr>
          <w:p w14:paraId="11662071" w14:textId="77777777" w:rsidR="003244CE" w:rsidRPr="007E359E" w:rsidRDefault="003244CE" w:rsidP="009C40C0">
            <w:pPr>
              <w:pStyle w:val="Tabletext"/>
              <w:jc w:val="center"/>
              <w:rPr>
                <w:sz w:val="20"/>
              </w:rPr>
            </w:pPr>
            <w:r w:rsidRPr="007E359E">
              <w:rPr>
                <w:sz w:val="20"/>
              </w:rPr>
              <w:t>–</w:t>
            </w:r>
          </w:p>
        </w:tc>
        <w:tc>
          <w:tcPr>
            <w:tcW w:w="850" w:type="dxa"/>
            <w:noWrap/>
          </w:tcPr>
          <w:p w14:paraId="15F74C6C" w14:textId="77777777" w:rsidR="003244CE" w:rsidRPr="007E359E" w:rsidRDefault="003244CE" w:rsidP="009C40C0">
            <w:pPr>
              <w:pStyle w:val="Tabletext"/>
              <w:jc w:val="center"/>
              <w:rPr>
                <w:sz w:val="20"/>
              </w:rPr>
            </w:pPr>
            <w:r w:rsidRPr="007E359E">
              <w:rPr>
                <w:sz w:val="20"/>
              </w:rPr>
              <w:t>0.11</w:t>
            </w:r>
          </w:p>
        </w:tc>
        <w:tc>
          <w:tcPr>
            <w:tcW w:w="830" w:type="dxa"/>
            <w:noWrap/>
          </w:tcPr>
          <w:p w14:paraId="4B3B75A5" w14:textId="77777777" w:rsidR="003244CE" w:rsidRPr="007E359E" w:rsidRDefault="003244CE" w:rsidP="009C40C0">
            <w:pPr>
              <w:pStyle w:val="Tabletext"/>
              <w:jc w:val="center"/>
              <w:rPr>
                <w:sz w:val="20"/>
              </w:rPr>
            </w:pPr>
            <w:r w:rsidRPr="007E359E">
              <w:rPr>
                <w:sz w:val="20"/>
              </w:rPr>
              <w:t>0.11</w:t>
            </w:r>
          </w:p>
        </w:tc>
        <w:tc>
          <w:tcPr>
            <w:tcW w:w="810" w:type="dxa"/>
            <w:noWrap/>
          </w:tcPr>
          <w:p w14:paraId="431D0D70" w14:textId="77777777" w:rsidR="003244CE" w:rsidRPr="007E359E" w:rsidRDefault="003244CE" w:rsidP="009C40C0">
            <w:pPr>
              <w:pStyle w:val="Tabletext"/>
              <w:jc w:val="center"/>
              <w:rPr>
                <w:sz w:val="20"/>
              </w:rPr>
            </w:pPr>
            <w:r w:rsidRPr="007E359E">
              <w:rPr>
                <w:sz w:val="20"/>
              </w:rPr>
              <w:t>–</w:t>
            </w:r>
          </w:p>
        </w:tc>
      </w:tr>
      <w:tr w:rsidR="003244CE" w:rsidRPr="007E359E" w14:paraId="52690800" w14:textId="77777777" w:rsidTr="002C381E">
        <w:trPr>
          <w:trHeight w:val="255"/>
          <w:jc w:val="center"/>
        </w:trPr>
        <w:tc>
          <w:tcPr>
            <w:tcW w:w="1123" w:type="dxa"/>
            <w:vMerge/>
            <w:noWrap/>
          </w:tcPr>
          <w:p w14:paraId="3244FC9F" w14:textId="77777777" w:rsidR="003244CE" w:rsidRPr="007E359E" w:rsidRDefault="003244CE" w:rsidP="009C40C0">
            <w:pPr>
              <w:pStyle w:val="Tabletext"/>
              <w:jc w:val="center"/>
              <w:rPr>
                <w:sz w:val="20"/>
              </w:rPr>
            </w:pPr>
          </w:p>
        </w:tc>
        <w:tc>
          <w:tcPr>
            <w:tcW w:w="1080" w:type="dxa"/>
            <w:vMerge/>
          </w:tcPr>
          <w:p w14:paraId="1B9C2FA3" w14:textId="77777777" w:rsidR="003244CE" w:rsidRPr="007E359E" w:rsidRDefault="003244CE" w:rsidP="009C40C0">
            <w:pPr>
              <w:pStyle w:val="Tabletext"/>
              <w:jc w:val="center"/>
              <w:rPr>
                <w:sz w:val="20"/>
              </w:rPr>
            </w:pPr>
          </w:p>
        </w:tc>
        <w:tc>
          <w:tcPr>
            <w:tcW w:w="1037" w:type="dxa"/>
          </w:tcPr>
          <w:p w14:paraId="51DC4BD1" w14:textId="77777777" w:rsidR="003244CE" w:rsidRPr="007E359E" w:rsidRDefault="003244CE" w:rsidP="009C40C0">
            <w:pPr>
              <w:pStyle w:val="Tabletext"/>
              <w:jc w:val="center"/>
              <w:rPr>
                <w:sz w:val="20"/>
              </w:rPr>
            </w:pPr>
            <w:r w:rsidRPr="007E359E">
              <w:rPr>
                <w:sz w:val="20"/>
              </w:rPr>
              <w:t>SNR (dB)</w:t>
            </w:r>
          </w:p>
        </w:tc>
        <w:tc>
          <w:tcPr>
            <w:tcW w:w="661" w:type="dxa"/>
            <w:noWrap/>
          </w:tcPr>
          <w:p w14:paraId="0B557555" w14:textId="77777777" w:rsidR="003244CE" w:rsidRPr="007E359E" w:rsidRDefault="003244CE" w:rsidP="009C40C0">
            <w:pPr>
              <w:pStyle w:val="Tabletext"/>
              <w:jc w:val="center"/>
              <w:rPr>
                <w:sz w:val="20"/>
              </w:rPr>
            </w:pPr>
            <w:r w:rsidRPr="007E359E">
              <w:rPr>
                <w:sz w:val="20"/>
              </w:rPr>
              <w:t>−1.88</w:t>
            </w:r>
          </w:p>
        </w:tc>
        <w:tc>
          <w:tcPr>
            <w:tcW w:w="756" w:type="dxa"/>
            <w:noWrap/>
          </w:tcPr>
          <w:p w14:paraId="688300A3" w14:textId="77777777" w:rsidR="003244CE" w:rsidRPr="007E359E" w:rsidRDefault="003244CE" w:rsidP="009C40C0">
            <w:pPr>
              <w:pStyle w:val="Tabletext"/>
              <w:jc w:val="center"/>
              <w:rPr>
                <w:sz w:val="20"/>
              </w:rPr>
            </w:pPr>
            <w:r w:rsidRPr="007E359E">
              <w:rPr>
                <w:sz w:val="20"/>
              </w:rPr>
              <w:t>−1.55</w:t>
            </w:r>
          </w:p>
        </w:tc>
        <w:tc>
          <w:tcPr>
            <w:tcW w:w="851" w:type="dxa"/>
            <w:noWrap/>
          </w:tcPr>
          <w:p w14:paraId="04BC675A" w14:textId="77777777" w:rsidR="003244CE" w:rsidRPr="007E359E" w:rsidRDefault="003244CE" w:rsidP="009C40C0">
            <w:pPr>
              <w:pStyle w:val="Tabletext"/>
              <w:jc w:val="center"/>
              <w:rPr>
                <w:sz w:val="20"/>
              </w:rPr>
            </w:pPr>
            <w:r w:rsidRPr="007E359E">
              <w:rPr>
                <w:sz w:val="20"/>
              </w:rPr>
              <w:t>−1.16</w:t>
            </w:r>
          </w:p>
        </w:tc>
        <w:tc>
          <w:tcPr>
            <w:tcW w:w="850" w:type="dxa"/>
            <w:noWrap/>
          </w:tcPr>
          <w:p w14:paraId="4AD59E05" w14:textId="77777777" w:rsidR="003244CE" w:rsidRPr="007E359E" w:rsidRDefault="003244CE" w:rsidP="009C40C0">
            <w:pPr>
              <w:pStyle w:val="Tabletext"/>
              <w:jc w:val="center"/>
              <w:rPr>
                <w:sz w:val="20"/>
              </w:rPr>
            </w:pPr>
            <w:r w:rsidRPr="007E359E">
              <w:rPr>
                <w:sz w:val="20"/>
              </w:rPr>
              <w:t>−1.16</w:t>
            </w:r>
          </w:p>
        </w:tc>
        <w:tc>
          <w:tcPr>
            <w:tcW w:w="851" w:type="dxa"/>
            <w:noWrap/>
          </w:tcPr>
          <w:p w14:paraId="001BF3BF" w14:textId="77777777" w:rsidR="003244CE" w:rsidRPr="007E359E" w:rsidRDefault="003244CE" w:rsidP="009C40C0">
            <w:pPr>
              <w:pStyle w:val="Tabletext"/>
              <w:jc w:val="center"/>
              <w:rPr>
                <w:sz w:val="20"/>
              </w:rPr>
            </w:pPr>
            <w:r w:rsidRPr="007E359E">
              <w:rPr>
                <w:sz w:val="20"/>
              </w:rPr>
              <w:t>–</w:t>
            </w:r>
          </w:p>
        </w:tc>
        <w:tc>
          <w:tcPr>
            <w:tcW w:w="850" w:type="dxa"/>
            <w:noWrap/>
          </w:tcPr>
          <w:p w14:paraId="4B629644" w14:textId="77777777" w:rsidR="003244CE" w:rsidRPr="007E359E" w:rsidRDefault="003244CE" w:rsidP="009C40C0">
            <w:pPr>
              <w:pStyle w:val="Tabletext"/>
              <w:jc w:val="center"/>
              <w:rPr>
                <w:sz w:val="20"/>
              </w:rPr>
            </w:pPr>
            <w:r w:rsidRPr="007E359E">
              <w:rPr>
                <w:sz w:val="20"/>
              </w:rPr>
              <w:t>−0.93</w:t>
            </w:r>
          </w:p>
        </w:tc>
        <w:tc>
          <w:tcPr>
            <w:tcW w:w="709" w:type="dxa"/>
            <w:noWrap/>
          </w:tcPr>
          <w:p w14:paraId="202B8B2B" w14:textId="77777777" w:rsidR="003244CE" w:rsidRPr="007E359E" w:rsidRDefault="003244CE" w:rsidP="009C40C0">
            <w:pPr>
              <w:pStyle w:val="Tabletext"/>
              <w:jc w:val="center"/>
              <w:rPr>
                <w:sz w:val="20"/>
              </w:rPr>
            </w:pPr>
            <w:r w:rsidRPr="007E359E">
              <w:rPr>
                <w:sz w:val="20"/>
              </w:rPr>
              <w:t>−0.93</w:t>
            </w:r>
          </w:p>
        </w:tc>
        <w:tc>
          <w:tcPr>
            <w:tcW w:w="791" w:type="dxa"/>
            <w:noWrap/>
          </w:tcPr>
          <w:p w14:paraId="4186B807" w14:textId="77777777" w:rsidR="003244CE" w:rsidRPr="007E359E" w:rsidRDefault="003244CE" w:rsidP="009C40C0">
            <w:pPr>
              <w:pStyle w:val="Tabletext"/>
              <w:jc w:val="center"/>
              <w:rPr>
                <w:sz w:val="20"/>
              </w:rPr>
            </w:pPr>
            <w:r w:rsidRPr="007E359E">
              <w:rPr>
                <w:sz w:val="20"/>
              </w:rPr>
              <w:t>–</w:t>
            </w:r>
          </w:p>
        </w:tc>
        <w:tc>
          <w:tcPr>
            <w:tcW w:w="910" w:type="dxa"/>
            <w:noWrap/>
          </w:tcPr>
          <w:p w14:paraId="684EC25A" w14:textId="77777777" w:rsidR="003244CE" w:rsidRPr="007E359E" w:rsidRDefault="003244CE" w:rsidP="009C40C0">
            <w:pPr>
              <w:pStyle w:val="Tabletext"/>
              <w:jc w:val="center"/>
              <w:rPr>
                <w:sz w:val="20"/>
              </w:rPr>
            </w:pPr>
            <w:r w:rsidRPr="007E359E">
              <w:rPr>
                <w:sz w:val="20"/>
              </w:rPr>
              <w:t>−1.67</w:t>
            </w:r>
          </w:p>
        </w:tc>
        <w:tc>
          <w:tcPr>
            <w:tcW w:w="850" w:type="dxa"/>
            <w:noWrap/>
          </w:tcPr>
          <w:p w14:paraId="3082E06C" w14:textId="77777777" w:rsidR="003244CE" w:rsidRPr="007E359E" w:rsidRDefault="003244CE" w:rsidP="009C40C0">
            <w:pPr>
              <w:pStyle w:val="Tabletext"/>
              <w:jc w:val="center"/>
              <w:rPr>
                <w:sz w:val="20"/>
              </w:rPr>
            </w:pPr>
            <w:r w:rsidRPr="007E359E">
              <w:rPr>
                <w:sz w:val="20"/>
              </w:rPr>
              <w:t>−1.67</w:t>
            </w:r>
          </w:p>
        </w:tc>
        <w:tc>
          <w:tcPr>
            <w:tcW w:w="851" w:type="dxa"/>
            <w:noWrap/>
          </w:tcPr>
          <w:p w14:paraId="27E84E07" w14:textId="77777777" w:rsidR="003244CE" w:rsidRPr="007E359E" w:rsidRDefault="003244CE" w:rsidP="009C40C0">
            <w:pPr>
              <w:pStyle w:val="Tabletext"/>
              <w:jc w:val="center"/>
              <w:rPr>
                <w:sz w:val="20"/>
              </w:rPr>
            </w:pPr>
            <w:r w:rsidRPr="007E359E">
              <w:rPr>
                <w:sz w:val="20"/>
              </w:rPr>
              <w:t>–</w:t>
            </w:r>
          </w:p>
        </w:tc>
        <w:tc>
          <w:tcPr>
            <w:tcW w:w="850" w:type="dxa"/>
            <w:noWrap/>
          </w:tcPr>
          <w:p w14:paraId="16061E44" w14:textId="77777777" w:rsidR="003244CE" w:rsidRPr="007E359E" w:rsidRDefault="003244CE" w:rsidP="009C40C0">
            <w:pPr>
              <w:pStyle w:val="Tabletext"/>
              <w:jc w:val="center"/>
              <w:rPr>
                <w:sz w:val="20"/>
              </w:rPr>
            </w:pPr>
            <w:r w:rsidRPr="007E359E">
              <w:rPr>
                <w:sz w:val="20"/>
              </w:rPr>
              <w:t>−1.04</w:t>
            </w:r>
          </w:p>
        </w:tc>
        <w:tc>
          <w:tcPr>
            <w:tcW w:w="830" w:type="dxa"/>
            <w:noWrap/>
          </w:tcPr>
          <w:p w14:paraId="03C3C144" w14:textId="77777777" w:rsidR="003244CE" w:rsidRPr="007E359E" w:rsidRDefault="003244CE" w:rsidP="009C40C0">
            <w:pPr>
              <w:pStyle w:val="Tabletext"/>
              <w:jc w:val="center"/>
              <w:rPr>
                <w:sz w:val="20"/>
              </w:rPr>
            </w:pPr>
            <w:r w:rsidRPr="007E359E">
              <w:rPr>
                <w:sz w:val="20"/>
              </w:rPr>
              <w:t>−1.04</w:t>
            </w:r>
          </w:p>
        </w:tc>
        <w:tc>
          <w:tcPr>
            <w:tcW w:w="810" w:type="dxa"/>
            <w:noWrap/>
          </w:tcPr>
          <w:p w14:paraId="07DA07C7" w14:textId="77777777" w:rsidR="003244CE" w:rsidRPr="007E359E" w:rsidRDefault="003244CE" w:rsidP="009C40C0">
            <w:pPr>
              <w:pStyle w:val="Tabletext"/>
              <w:jc w:val="center"/>
              <w:rPr>
                <w:sz w:val="20"/>
              </w:rPr>
            </w:pPr>
            <w:r w:rsidRPr="007E359E">
              <w:rPr>
                <w:sz w:val="20"/>
              </w:rPr>
              <w:t>–</w:t>
            </w:r>
          </w:p>
        </w:tc>
      </w:tr>
    </w:tbl>
    <w:p w14:paraId="2264D65F" w14:textId="77777777" w:rsidR="003244CE" w:rsidRPr="00A73A1E" w:rsidRDefault="003244CE" w:rsidP="003244CE">
      <w:pPr>
        <w:pStyle w:val="Tablefin"/>
        <w:rPr>
          <w:rFonts w:eastAsia="MS Mincho"/>
        </w:rPr>
      </w:pPr>
    </w:p>
    <w:p w14:paraId="1180C358" w14:textId="77777777" w:rsidR="003244CE" w:rsidRPr="00A73A1E" w:rsidRDefault="003244CE" w:rsidP="003244CE">
      <w:pPr>
        <w:spacing w:before="0"/>
        <w:rPr>
          <w:rFonts w:eastAsia="MS Mincho"/>
          <w:sz w:val="20"/>
        </w:rPr>
      </w:pPr>
    </w:p>
    <w:p w14:paraId="13D2CFBA" w14:textId="77777777" w:rsidR="003244CE" w:rsidRPr="00A73A1E" w:rsidRDefault="003244CE" w:rsidP="003244CE">
      <w:pPr>
        <w:spacing w:before="0"/>
        <w:rPr>
          <w:sz w:val="20"/>
        </w:rPr>
        <w:sectPr w:rsidR="003244CE" w:rsidRPr="00A73A1E" w:rsidSect="00684163">
          <w:headerReference w:type="even" r:id="rId77"/>
          <w:headerReference w:type="default" r:id="rId78"/>
          <w:footerReference w:type="default" r:id="rId79"/>
          <w:footerReference w:type="first" r:id="rId80"/>
          <w:pgSz w:w="16834" w:h="11907" w:orient="landscape" w:code="9"/>
          <w:pgMar w:top="1134" w:right="1418" w:bottom="1134" w:left="1134" w:header="720" w:footer="482" w:gutter="0"/>
          <w:cols w:space="720"/>
          <w:docGrid w:linePitch="326"/>
        </w:sectPr>
      </w:pPr>
    </w:p>
    <w:p w14:paraId="1977D45C" w14:textId="77777777" w:rsidR="003244CE" w:rsidRPr="00A73A1E" w:rsidRDefault="003244CE" w:rsidP="003244CE">
      <w:pPr>
        <w:pStyle w:val="Heading1"/>
      </w:pPr>
      <w:bookmarkStart w:id="40" w:name="_Toc102659328"/>
      <w:bookmarkStart w:id="41" w:name="_Toc102659478"/>
      <w:r w:rsidRPr="00A73A1E">
        <w:lastRenderedPageBreak/>
        <w:t>4</w:t>
      </w:r>
      <w:r w:rsidRPr="00A73A1E">
        <w:tab/>
        <w:t>Summary</w:t>
      </w:r>
      <w:bookmarkEnd w:id="40"/>
      <w:bookmarkEnd w:id="41"/>
    </w:p>
    <w:p w14:paraId="251A9355" w14:textId="77777777" w:rsidR="003244CE" w:rsidRPr="00A73A1E" w:rsidRDefault="003244CE" w:rsidP="003244CE">
      <w:pPr>
        <w:rPr>
          <w:spacing w:val="-2"/>
        </w:rPr>
      </w:pPr>
      <w:r w:rsidRPr="00A73A1E">
        <w:rPr>
          <w:spacing w:val="-2"/>
        </w:rPr>
        <w:t xml:space="preserve">Annex 2 presented example applications of the worst-case received power portion of the interference evaluation analysis methodology (Annex 1, </w:t>
      </w:r>
      <w:r>
        <w:rPr>
          <w:spacing w:val="-2"/>
        </w:rPr>
        <w:t>§</w:t>
      </w:r>
      <w:r w:rsidRPr="00A73A1E">
        <w:rPr>
          <w:spacing w:val="-2"/>
        </w:rPr>
        <w:t xml:space="preserve"> 4.1) between each of six representative SAR systems in the EESS (active) of Annex 1 and three receivers in the RNSS. It also presented example applications of the pulsed RFI performance degradation evaluation method (Annex 1, </w:t>
      </w:r>
      <w:r>
        <w:rPr>
          <w:spacing w:val="-2"/>
        </w:rPr>
        <w:t>§</w:t>
      </w:r>
      <w:r w:rsidRPr="00A73A1E">
        <w:rPr>
          <w:spacing w:val="-2"/>
        </w:rPr>
        <w:t> 4.2) to the pulsed RFI effects from one of the several representative spaceborne active sensors provided in Annex 1 on two RNSS receiver types.</w:t>
      </w:r>
    </w:p>
    <w:p w14:paraId="0792E96B" w14:textId="77777777" w:rsidR="003244CE" w:rsidRPr="00A73A1E" w:rsidRDefault="003244CE" w:rsidP="003244CE">
      <w:r w:rsidRPr="00A73A1E">
        <w:t xml:space="preserve">In addition, it must be noted that the evaluation of the potential for pulsed interference from an EESS (active) sensor to an RNSS receiver should also consider the cumulative impact of multiple spaceborne active sensors that simultaneously illuminate the RNSS receivers, wherever relevant. One means of mitigating the potential aggregate interference from multiple spaceborne active sensors is through operational collaboration by EESS (active) operators of such sensors. </w:t>
      </w:r>
    </w:p>
    <w:p w14:paraId="7660A8AF" w14:textId="77777777" w:rsidR="00B874C6" w:rsidRDefault="00B874C6" w:rsidP="00B874C6"/>
    <w:p w14:paraId="753435EF" w14:textId="77777777" w:rsidR="00B874C6" w:rsidRDefault="00B874C6" w:rsidP="00B874C6"/>
    <w:p w14:paraId="6F061578" w14:textId="77777777" w:rsidR="00B874C6" w:rsidRPr="00BF487A" w:rsidRDefault="00B874C6" w:rsidP="00B874C6">
      <w:pPr>
        <w:pStyle w:val="Line"/>
      </w:pPr>
    </w:p>
    <w:sectPr w:rsidR="00B874C6" w:rsidRPr="00BF487A" w:rsidSect="00453D86">
      <w:headerReference w:type="default" r:id="rId81"/>
      <w:footerReference w:type="default" r:id="rId82"/>
      <w:pgSz w:w="11907" w:h="16834" w:code="9"/>
      <w:pgMar w:top="1418" w:right="1134" w:bottom="1134" w:left="1134" w:header="72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6F6D4" w14:textId="77777777" w:rsidR="00756AAD" w:rsidRDefault="00756AAD">
      <w:r>
        <w:separator/>
      </w:r>
    </w:p>
  </w:endnote>
  <w:endnote w:type="continuationSeparator" w:id="0">
    <w:p w14:paraId="26125065" w14:textId="77777777" w:rsidR="00756AAD" w:rsidRDefault="0075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625" w14:textId="77777777" w:rsidR="00301DB3" w:rsidRDefault="00301DB3">
    <w:pPr>
      <w:pStyle w:val="Footer"/>
    </w:pPr>
    <w:r>
      <w:drawing>
        <wp:anchor distT="0" distB="0" distL="0" distR="0" simplePos="0" relativeHeight="251656192" behindDoc="0" locked="0" layoutInCell="1" allowOverlap="1" wp14:anchorId="030B90F7" wp14:editId="6DC50734">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7A2A" w14:textId="6FE9CCC7" w:rsidR="003244CE" w:rsidRPr="00816C73" w:rsidRDefault="003244CE" w:rsidP="00F93461">
    <w:pPr>
      <w:pStyle w:val="Footer"/>
      <w:rPr>
        <w:lang w:val="fr-CH"/>
      </w:rPr>
    </w:pPr>
    <w:r>
      <w:fldChar w:fldCharType="begin"/>
    </w:r>
    <w:r w:rsidRPr="00816C73">
      <w:rPr>
        <w:lang w:val="fr-CH"/>
      </w:rPr>
      <w:instrText xml:space="preserve"> FILENAME \p  \* MERGEFORMAT </w:instrText>
    </w:r>
    <w:r>
      <w:fldChar w:fldCharType="separate"/>
    </w:r>
    <w:r w:rsidR="00F7477C">
      <w:rPr>
        <w:lang w:val="fr-CH"/>
      </w:rPr>
      <w:t>P:\QPUB\BR\RAPPORT\RS\2537-0\RS2537-0E.docx</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FB08" w14:textId="77777777" w:rsidR="00453D86" w:rsidRDefault="00453D8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3FCC" w14:textId="596A3BEA" w:rsidR="003244CE" w:rsidRPr="007333B5" w:rsidRDefault="003244CE" w:rsidP="007333B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EA02" w14:textId="32D09A76" w:rsidR="003244CE" w:rsidRPr="00816C73" w:rsidRDefault="003244CE" w:rsidP="00F93461">
    <w:pPr>
      <w:pStyle w:val="Footer"/>
      <w:rPr>
        <w:lang w:val="fr-CH"/>
      </w:rPr>
    </w:pPr>
    <w:r>
      <w:fldChar w:fldCharType="begin"/>
    </w:r>
    <w:r w:rsidRPr="00816C73">
      <w:rPr>
        <w:lang w:val="fr-CH"/>
      </w:rPr>
      <w:instrText xml:space="preserve"> FILENAME \p  \* MERGEFORMAT </w:instrText>
    </w:r>
    <w:r>
      <w:fldChar w:fldCharType="separate"/>
    </w:r>
    <w:r w:rsidR="00F7477C">
      <w:rPr>
        <w:lang w:val="fr-CH"/>
      </w:rPr>
      <w:t>P:\QPUB\BR\RAPPORT\RS\2537-0\RS2537-0E.docx</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7C2D" w14:textId="77777777" w:rsidR="007333B5" w:rsidRDefault="007333B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DA98" w14:textId="3CE78A42" w:rsidR="003244CE" w:rsidRPr="007333B5" w:rsidRDefault="003244CE" w:rsidP="007333B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9E32" w14:textId="2884C453" w:rsidR="003244CE" w:rsidRPr="00816C73" w:rsidRDefault="003244CE" w:rsidP="00F93461">
    <w:pPr>
      <w:pStyle w:val="Footer"/>
      <w:rPr>
        <w:lang w:val="fr-CH"/>
      </w:rPr>
    </w:pPr>
    <w:r>
      <w:fldChar w:fldCharType="begin"/>
    </w:r>
    <w:r w:rsidRPr="00816C73">
      <w:rPr>
        <w:lang w:val="fr-CH"/>
      </w:rPr>
      <w:instrText xml:space="preserve"> FILENAME \p  \* MERGEFORMAT </w:instrText>
    </w:r>
    <w:r>
      <w:fldChar w:fldCharType="separate"/>
    </w:r>
    <w:r w:rsidR="00F7477C">
      <w:rPr>
        <w:lang w:val="fr-CH"/>
      </w:rPr>
      <w:t>P:\QPUB\BR\RAPPORT\RS\2537-0\RS2537-0E.docx</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97C0" w14:textId="3CEF1619" w:rsidR="003244CE" w:rsidRPr="007333B5" w:rsidRDefault="003244CE" w:rsidP="007333B5">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356A" w14:textId="633B8ED3" w:rsidR="003244CE" w:rsidRPr="00816C73" w:rsidRDefault="003244CE" w:rsidP="00F93461">
    <w:pPr>
      <w:pStyle w:val="Footer"/>
      <w:rPr>
        <w:lang w:val="fr-CH"/>
      </w:rPr>
    </w:pPr>
    <w:r>
      <w:fldChar w:fldCharType="begin"/>
    </w:r>
    <w:r w:rsidRPr="00816C73">
      <w:rPr>
        <w:lang w:val="fr-CH"/>
      </w:rPr>
      <w:instrText xml:space="preserve"> FILENAME \p  \* MERGEFORMAT </w:instrText>
    </w:r>
    <w:r>
      <w:fldChar w:fldCharType="separate"/>
    </w:r>
    <w:r w:rsidR="00F7477C">
      <w:rPr>
        <w:lang w:val="fr-CH"/>
      </w:rPr>
      <w:t>P:\QPUB\BR\RAPPORT\RS\2537-0\RS2537-0E.docx</w:t>
    </w:r>
    <w:r>
      <w:fldChar w:fldCharType="end"/>
    </w:r>
    <w:r w:rsidRPr="00816C73">
      <w:rPr>
        <w:lang w:val="fr-CH"/>
      </w:rPr>
      <w:tab/>
    </w:r>
    <w:r>
      <w:fldChar w:fldCharType="begin"/>
    </w:r>
    <w:r>
      <w:instrText xml:space="preserve"> SAVEDATE \@ DD.MM.YY </w:instrText>
    </w:r>
    <w:r>
      <w:fldChar w:fldCharType="separate"/>
    </w:r>
    <w:r w:rsidR="00F7477C">
      <w:t>27.11.23</w:t>
    </w:r>
    <w:r>
      <w:fldChar w:fldCharType="end"/>
    </w:r>
    <w:r w:rsidRPr="00816C73">
      <w:rPr>
        <w:lang w:val="fr-CH"/>
      </w:rPr>
      <w:tab/>
    </w:r>
    <w:r>
      <w:fldChar w:fldCharType="begin"/>
    </w:r>
    <w:r>
      <w:instrText xml:space="preserve"> PRINTDATE \@ DD.MM.YY </w:instrText>
    </w:r>
    <w:r>
      <w:fldChar w:fldCharType="separate"/>
    </w:r>
    <w:r w:rsidR="00F7477C">
      <w:t>27.11.23</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D9F4" w14:textId="77777777" w:rsidR="00C15F3E" w:rsidRDefault="00C15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153B" w14:textId="77777777" w:rsidR="007333B5" w:rsidRDefault="00733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A8CD" w14:textId="56A2DDD4" w:rsidR="003244CE" w:rsidRPr="00F8291B" w:rsidRDefault="003244CE" w:rsidP="00F829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7A27" w14:textId="19F1A669" w:rsidR="003244CE" w:rsidRPr="00816C73" w:rsidRDefault="003244CE" w:rsidP="00C87CD5">
    <w:pPr>
      <w:pStyle w:val="Footer"/>
      <w:rPr>
        <w:lang w:val="fr-CH"/>
      </w:rPr>
    </w:pPr>
    <w:r>
      <w:fldChar w:fldCharType="begin"/>
    </w:r>
    <w:r w:rsidRPr="00816C73">
      <w:rPr>
        <w:lang w:val="fr-CH"/>
      </w:rPr>
      <w:instrText xml:space="preserve"> FILENAME \p \* MERGEFORMAT </w:instrText>
    </w:r>
    <w:r>
      <w:fldChar w:fldCharType="separate"/>
    </w:r>
    <w:r w:rsidR="00F7477C">
      <w:rPr>
        <w:lang w:val="fr-CH"/>
      </w:rPr>
      <w:t>P:\QPUB\BR\RAPPORT\RS\2537-0\RS2537-0E.docx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9E89" w14:textId="77777777" w:rsidR="00453D86" w:rsidRDefault="00453D8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8F93" w14:textId="23A43FDC" w:rsidR="003244CE" w:rsidRPr="00B73155" w:rsidRDefault="003244CE" w:rsidP="00B731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DCC8" w14:textId="6EA17632" w:rsidR="003244CE" w:rsidRPr="00816C73" w:rsidRDefault="003244CE" w:rsidP="00F93461">
    <w:pPr>
      <w:pStyle w:val="Footer"/>
      <w:rPr>
        <w:lang w:val="fr-CH"/>
      </w:rPr>
    </w:pPr>
    <w:r>
      <w:fldChar w:fldCharType="begin"/>
    </w:r>
    <w:r w:rsidRPr="00816C73">
      <w:rPr>
        <w:lang w:val="fr-CH"/>
      </w:rPr>
      <w:instrText xml:space="preserve"> FILENAME \p  \* MERGEFORMAT </w:instrText>
    </w:r>
    <w:r>
      <w:fldChar w:fldCharType="separate"/>
    </w:r>
    <w:r w:rsidR="00F7477C">
      <w:rPr>
        <w:lang w:val="fr-CH"/>
      </w:rPr>
      <w:t>P:\QPUB\BR\RAPPORT\RS\2537-0\RS2537-0E.docx</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1537" w14:textId="77777777" w:rsidR="007333B5" w:rsidRDefault="007333B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7C5A" w14:textId="304074E2" w:rsidR="003244CE" w:rsidRPr="007333B5" w:rsidRDefault="003244CE" w:rsidP="00733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A257" w14:textId="77777777" w:rsidR="00756AAD" w:rsidRDefault="00756AAD">
      <w:r>
        <w:separator/>
      </w:r>
    </w:p>
  </w:footnote>
  <w:footnote w:type="continuationSeparator" w:id="0">
    <w:p w14:paraId="7525C0D3" w14:textId="77777777" w:rsidR="00756AAD" w:rsidRDefault="00756AAD">
      <w:r>
        <w:continuationSeparator/>
      </w:r>
    </w:p>
  </w:footnote>
  <w:footnote w:id="1">
    <w:p w14:paraId="0DC3DF0A" w14:textId="77777777" w:rsidR="003244CE" w:rsidRPr="00F02281" w:rsidRDefault="003244CE" w:rsidP="00F02281">
      <w:pPr>
        <w:pStyle w:val="FootnoteText"/>
        <w:spacing w:before="0"/>
        <w:rPr>
          <w:lang w:val="en-US"/>
        </w:rPr>
      </w:pPr>
      <w:r w:rsidRPr="008D21DB">
        <w:rPr>
          <w:rStyle w:val="FootnoteReference"/>
        </w:rPr>
        <w:footnoteRef/>
      </w:r>
      <w:r>
        <w:tab/>
      </w:r>
      <w:r>
        <w:rPr>
          <w:color w:val="000000"/>
        </w:rPr>
        <w:t xml:space="preserve">Note that the set of RNSS </w:t>
      </w:r>
      <w:r w:rsidRPr="00F02281">
        <w:t>receivers</w:t>
      </w:r>
      <w:r>
        <w:rPr>
          <w:color w:val="000000"/>
        </w:rPr>
        <w:t xml:space="preserve"> whose characteristics are provided in </w:t>
      </w:r>
      <w:r w:rsidRPr="00F02281">
        <w:t xml:space="preserve">Recommendation </w:t>
      </w:r>
      <w:hyperlink r:id="rId1" w:history="1">
        <w:r w:rsidRPr="00F02281">
          <w:rPr>
            <w:rStyle w:val="Hyperlink"/>
            <w:rFonts w:eastAsia="SimSun"/>
            <w:color w:val="auto"/>
            <w:u w:val="none"/>
          </w:rPr>
          <w:t>ITU-R M.1902</w:t>
        </w:r>
      </w:hyperlink>
      <w:r w:rsidRPr="00F02281">
        <w:t xml:space="preserve"> does not include every type of RNSS receiver that may be deployed in this band. Additional studies are required to determine the potential of interference from EESS (active) systems into other RNSS receiver types.</w:t>
      </w:r>
    </w:p>
  </w:footnote>
  <w:footnote w:id="2">
    <w:p w14:paraId="2E503177" w14:textId="77777777" w:rsidR="003244CE" w:rsidRDefault="003244CE" w:rsidP="003244CE">
      <w:pPr>
        <w:pStyle w:val="FootnoteText"/>
        <w:spacing w:before="0"/>
        <w:rPr>
          <w:lang w:val="en-US"/>
        </w:rPr>
      </w:pPr>
      <w:r w:rsidRPr="00F02281">
        <w:rPr>
          <w:rStyle w:val="FootnoteReference"/>
        </w:rPr>
        <w:footnoteRef/>
      </w:r>
      <w:r w:rsidRPr="00F02281">
        <w:tab/>
        <w:t xml:space="preserve">Note that the set of RNSS receivers whose characteristics are provided in Recommendation </w:t>
      </w:r>
      <w:hyperlink r:id="rId2" w:history="1">
        <w:r w:rsidRPr="00F02281">
          <w:rPr>
            <w:rStyle w:val="Hyperlink"/>
            <w:rFonts w:eastAsia="SimSun"/>
            <w:color w:val="auto"/>
            <w:u w:val="none"/>
          </w:rPr>
          <w:t>ITU</w:t>
        </w:r>
        <w:r w:rsidRPr="00F02281">
          <w:rPr>
            <w:rStyle w:val="Hyperlink"/>
            <w:rFonts w:eastAsia="SimSun"/>
            <w:color w:val="auto"/>
            <w:u w:val="none"/>
          </w:rPr>
          <w:noBreakHyphen/>
          <w:t>R M.1902</w:t>
        </w:r>
      </w:hyperlink>
      <w:r w:rsidRPr="00F02281">
        <w:t xml:space="preserve"> </w:t>
      </w:r>
      <w:r>
        <w:t xml:space="preserve">does not include every type of RNSS receiver that may be deployed in this band. Additional studies are required to </w:t>
      </w:r>
      <w:r w:rsidRPr="00E5358F">
        <w:t>determine</w:t>
      </w:r>
      <w:r>
        <w:t xml:space="preserve"> the potential of interference from EESS (active) systems into other RNSS receiver types.</w:t>
      </w:r>
    </w:p>
  </w:footnote>
  <w:footnote w:id="3">
    <w:p w14:paraId="558669DC" w14:textId="68764906" w:rsidR="003244CE" w:rsidRDefault="003244CE" w:rsidP="003244CE">
      <w:pPr>
        <w:pStyle w:val="FootnoteText"/>
        <w:spacing w:before="40"/>
        <w:rPr>
          <w:lang w:val="en-US"/>
        </w:rPr>
      </w:pPr>
      <w:r w:rsidRPr="008D21DB">
        <w:rPr>
          <w:rStyle w:val="FootnoteReference"/>
        </w:rPr>
        <w:footnoteRef/>
      </w:r>
      <w:r>
        <w:tab/>
      </w:r>
      <w:r>
        <w:rPr>
          <w:iCs/>
          <w:lang w:eastAsia="ja-JP"/>
        </w:rPr>
        <w:t>T</w:t>
      </w:r>
      <w:r>
        <w:rPr>
          <w:rFonts w:hint="eastAsia"/>
          <w:iCs/>
          <w:lang w:eastAsia="ja-JP"/>
        </w:rPr>
        <w:t xml:space="preserve">he values in </w:t>
      </w:r>
      <w:r>
        <w:rPr>
          <w:iCs/>
          <w:lang w:eastAsia="ja-JP"/>
        </w:rPr>
        <w:t>T</w:t>
      </w:r>
      <w:r>
        <w:rPr>
          <w:rFonts w:hint="eastAsia"/>
          <w:iCs/>
          <w:lang w:eastAsia="ja-JP"/>
        </w:rPr>
        <w:t xml:space="preserve">able 1 are the minimum requirement for the </w:t>
      </w:r>
      <w:r w:rsidR="00F02281">
        <w:rPr>
          <w:iCs/>
          <w:lang w:eastAsia="ja-JP"/>
        </w:rPr>
        <w:t>−</w:t>
      </w:r>
      <w:r>
        <w:rPr>
          <w:rFonts w:hint="eastAsia"/>
          <w:iCs/>
          <w:lang w:eastAsia="ja-JP"/>
        </w:rPr>
        <w:t>3</w:t>
      </w:r>
      <w:r>
        <w:rPr>
          <w:iCs/>
          <w:lang w:eastAsia="ja-JP"/>
        </w:rPr>
        <w:t xml:space="preserve"> </w:t>
      </w:r>
      <w:r>
        <w:rPr>
          <w:rFonts w:hint="eastAsia"/>
          <w:iCs/>
          <w:lang w:eastAsia="ja-JP"/>
        </w:rPr>
        <w:t>dB beamwidth.</w:t>
      </w:r>
      <w:r>
        <w:rPr>
          <w:iCs/>
          <w:lang w:eastAsia="ja-JP"/>
        </w:rPr>
        <w:t xml:space="preserve"> See Tables 5 and 6 for antenna pattern equations to be used in interference analysis. </w:t>
      </w:r>
    </w:p>
  </w:footnote>
  <w:footnote w:id="4">
    <w:p w14:paraId="20980FA4" w14:textId="77777777" w:rsidR="003244CE" w:rsidRDefault="003244CE" w:rsidP="003244CE">
      <w:pPr>
        <w:pStyle w:val="FootnoteText"/>
        <w:rPr>
          <w:lang w:val="en-US"/>
        </w:rPr>
      </w:pPr>
      <w:r w:rsidRPr="008D21DB">
        <w:rPr>
          <w:rStyle w:val="FootnoteReference"/>
        </w:rPr>
        <w:footnoteRef/>
      </w:r>
      <w:r>
        <w:rPr>
          <w:lang w:val="en-US"/>
        </w:rPr>
        <w:t xml:space="preserve"> </w:t>
      </w:r>
      <w:r>
        <w:rPr>
          <w:lang w:val="en-US"/>
        </w:rPr>
        <w:tab/>
        <w:t xml:space="preserve">NOTE – The “Maximum RF bandwidth” value shown is the </w:t>
      </w:r>
      <w:r w:rsidRPr="00C77904">
        <w:rPr>
          <w:i/>
          <w:lang w:val="en-US"/>
        </w:rPr>
        <w:t>occupied bandwidth</w:t>
      </w:r>
      <w:r>
        <w:rPr>
          <w:lang w:val="en-US"/>
        </w:rPr>
        <w:t xml:space="preserve"> for SAR4, SAR5 and SAR6, while for SAR1, SAR2 and SAR3 it is the </w:t>
      </w:r>
      <w:r>
        <w:rPr>
          <w:i/>
          <w:lang w:val="en-US"/>
        </w:rPr>
        <w:t>resolution bandwidth</w:t>
      </w:r>
      <w:r>
        <w:rPr>
          <w:lang w:val="en-US"/>
        </w:rPr>
        <w:t>.</w:t>
      </w:r>
    </w:p>
  </w:footnote>
  <w:footnote w:id="5">
    <w:p w14:paraId="049CBD94" w14:textId="5B7B0220" w:rsidR="003244CE" w:rsidRDefault="003244CE" w:rsidP="003244CE">
      <w:pPr>
        <w:pStyle w:val="FootnoteText"/>
        <w:rPr>
          <w:lang w:val="en-US"/>
        </w:rPr>
      </w:pPr>
      <w:r w:rsidRPr="008D21DB">
        <w:rPr>
          <w:rStyle w:val="FootnoteReference"/>
        </w:rPr>
        <w:footnoteRef/>
      </w:r>
      <w:r>
        <w:rPr>
          <w:lang w:val="en-US"/>
        </w:rPr>
        <w:tab/>
      </w:r>
      <w:r w:rsidRPr="00AB4019">
        <w:t>NOTE</w:t>
      </w:r>
      <w:r>
        <w:rPr>
          <w:lang w:val="en-US"/>
        </w:rPr>
        <w:t xml:space="preserve"> – For a given EESS transmitter, the transmit duty cycle value is fixed across the range of PRF values shown above. This is done by reducing the RF pulse-width as the PRF is increased. </w:t>
      </w:r>
    </w:p>
  </w:footnote>
  <w:footnote w:id="6">
    <w:p w14:paraId="0C2196AF" w14:textId="40FA545A" w:rsidR="003244CE" w:rsidRPr="00C77904" w:rsidRDefault="003244CE" w:rsidP="003244CE">
      <w:pPr>
        <w:pStyle w:val="FootnoteText"/>
        <w:rPr>
          <w:lang w:val="en-US"/>
        </w:rPr>
      </w:pPr>
      <w:r w:rsidRPr="00CC7E38">
        <w:rPr>
          <w:rStyle w:val="FootnoteReference"/>
        </w:rPr>
        <w:footnoteRef/>
      </w:r>
      <w:r w:rsidRPr="00FF3A1C">
        <w:t xml:space="preserve"> </w:t>
      </w:r>
      <w:r>
        <w:tab/>
      </w:r>
      <w:r w:rsidRPr="00FF3A1C">
        <w:rPr>
          <w:i/>
          <w:iCs/>
          <w:color w:val="0D0D0D"/>
        </w:rPr>
        <w:t>Pulsed interference</w:t>
      </w:r>
      <w:r w:rsidRPr="00FF3A1C">
        <w:rPr>
          <w:color w:val="0D0D0D"/>
        </w:rPr>
        <w:t xml:space="preserve"> </w:t>
      </w:r>
      <w:r w:rsidRPr="00C77904">
        <w:t xml:space="preserve">results from RF transmitted signals that are modulated on/off at some </w:t>
      </w:r>
      <w:r w:rsidRPr="00C77904">
        <w:rPr>
          <w:i/>
          <w:iCs/>
        </w:rPr>
        <w:t>pulse repetition frequency</w:t>
      </w:r>
      <w:r>
        <w:t xml:space="preserve"> (usually identified in Hz).</w:t>
      </w:r>
      <w:r w:rsidRPr="00C77904">
        <w:t xml:space="preserve"> The duration of the “on” period is called the </w:t>
      </w:r>
      <w:r w:rsidRPr="00C77904">
        <w:rPr>
          <w:i/>
          <w:iCs/>
        </w:rPr>
        <w:t>pulse duration</w:t>
      </w:r>
      <w:r w:rsidRPr="00C77904">
        <w:t xml:space="preserve"> (given in units of time, e.g. microsec</w:t>
      </w:r>
      <w:r w:rsidR="007E359E">
        <w:t>ond</w:t>
      </w:r>
      <w:r w:rsidRPr="00C77904">
        <w:t xml:space="preserve">). The product of </w:t>
      </w:r>
      <w:r w:rsidRPr="00CC7E38">
        <w:t>the</w:t>
      </w:r>
      <w:r w:rsidRPr="00C77904">
        <w:t xml:space="preserve"> pulse duration and the pulse repetition frequency is the </w:t>
      </w:r>
      <w:r w:rsidRPr="00C77904">
        <w:rPr>
          <w:i/>
          <w:iCs/>
        </w:rPr>
        <w:t>pulse duty cycle</w:t>
      </w:r>
      <w:r>
        <w:t xml:space="preserve"> (a unit-less quantity).</w:t>
      </w:r>
      <w:r w:rsidRPr="00C77904">
        <w:t xml:space="preserve"> An interference signal is considered </w:t>
      </w:r>
      <w:r w:rsidRPr="00C77904">
        <w:rPr>
          <w:i/>
          <w:iCs/>
        </w:rPr>
        <w:t>pulsed RFI</w:t>
      </w:r>
      <w:r w:rsidRPr="00C77904">
        <w:t xml:space="preserve"> if the pulse duration is much shorter than the integration time of a victim receiver. On the other hand, </w:t>
      </w:r>
      <w:r w:rsidRPr="00C77904">
        <w:rPr>
          <w:i/>
        </w:rPr>
        <w:t>continuous</w:t>
      </w:r>
      <w:r w:rsidRPr="00C77904">
        <w:t xml:space="preserve"> RFI is used here to mean interference from sources of fairly constant power that is generally present at all times.</w:t>
      </w:r>
    </w:p>
  </w:footnote>
  <w:footnote w:id="7">
    <w:p w14:paraId="7F9E68B9" w14:textId="79E35AE8" w:rsidR="003244CE" w:rsidRDefault="003244CE" w:rsidP="003244CE">
      <w:pPr>
        <w:pStyle w:val="FootnoteText"/>
        <w:spacing w:before="0"/>
        <w:rPr>
          <w:lang w:val="en-US"/>
        </w:rPr>
      </w:pPr>
      <w:r w:rsidRPr="00917E41">
        <w:rPr>
          <w:rStyle w:val="FootnoteReference"/>
        </w:rPr>
        <w:footnoteRef/>
      </w:r>
      <w:r>
        <w:rPr>
          <w:lang w:val="en-US"/>
        </w:rPr>
        <w:tab/>
      </w:r>
      <w:r>
        <w:rPr>
          <w:szCs w:val="24"/>
          <w:lang w:val="en-US"/>
        </w:rPr>
        <w:t xml:space="preserve">Centre frequency of active sensor can vary within the given range. For calculation of </w:t>
      </w:r>
      <w:r>
        <w:rPr>
          <w:szCs w:val="24"/>
          <w:lang w:val="en-US" w:eastAsia="ja-JP"/>
        </w:rPr>
        <w:t xml:space="preserve">free </w:t>
      </w:r>
      <w:r>
        <w:rPr>
          <w:szCs w:val="24"/>
          <w:lang w:val="en-US"/>
        </w:rPr>
        <w:t xml:space="preserve">space loss, a </w:t>
      </w:r>
      <w:r>
        <w:rPr>
          <w:szCs w:val="24"/>
          <w:lang w:val="en-US"/>
        </w:rPr>
        <w:t xml:space="preserve">centre frequency of 1 250 MHz is assumed. For sensor waveforms which overlap a particular RNSS receiver </w:t>
      </w:r>
      <w:r w:rsidR="0037156B">
        <w:rPr>
          <w:szCs w:val="24"/>
          <w:lang w:val="en-US"/>
        </w:rPr>
        <w:t>−</w:t>
      </w:r>
      <w:r>
        <w:rPr>
          <w:szCs w:val="24"/>
          <w:lang w:val="en-US"/>
        </w:rPr>
        <w:t>3 dB RF bandwidth, the loss at the RNSS signal centre frequency should be used instead.</w:t>
      </w:r>
    </w:p>
  </w:footnote>
  <w:footnote w:id="8">
    <w:p w14:paraId="7B248766" w14:textId="77777777" w:rsidR="003244CE" w:rsidRDefault="003244CE" w:rsidP="003244CE">
      <w:pPr>
        <w:pStyle w:val="FootnoteText"/>
        <w:rPr>
          <w:lang w:val="en-US"/>
        </w:rPr>
      </w:pPr>
      <w:r w:rsidRPr="000836D1">
        <w:rPr>
          <w:rStyle w:val="FootnoteReference"/>
        </w:rPr>
        <w:footnoteRef/>
      </w:r>
      <w:r>
        <w:tab/>
      </w:r>
      <w:r>
        <w:rPr>
          <w:lang w:val="en-US"/>
        </w:rPr>
        <w:t xml:space="preserve">When </w:t>
      </w:r>
      <w:r>
        <w:rPr>
          <w:i/>
          <w:lang w:val="en-US"/>
        </w:rPr>
        <w:t>PW</w:t>
      </w:r>
      <w:r>
        <w:rPr>
          <w:i/>
          <w:vertAlign w:val="subscript"/>
          <w:lang w:val="en-US"/>
        </w:rPr>
        <w:t>EFF</w:t>
      </w:r>
      <w:r>
        <w:rPr>
          <w:lang w:val="en-US"/>
        </w:rPr>
        <w:t xml:space="preserve"> = 0 due to zero bandwidth overlap (</w:t>
      </w:r>
      <w:r w:rsidRPr="00660170">
        <w:rPr>
          <w:iCs/>
          <w:lang w:val="en-US"/>
        </w:rPr>
        <w:sym w:font="Symbol" w:char="F044"/>
      </w:r>
      <w:r>
        <w:rPr>
          <w:i/>
          <w:lang w:val="en-US"/>
        </w:rPr>
        <w:t>f</w:t>
      </w:r>
      <w:r>
        <w:rPr>
          <w:lang w:val="en-US"/>
        </w:rPr>
        <w:t xml:space="preserve"> = 0), the associated </w:t>
      </w:r>
      <w:r>
        <w:rPr>
          <w:i/>
          <w:lang w:val="en-US"/>
        </w:rPr>
        <w:t>PDC</w:t>
      </w:r>
      <w:r>
        <w:rPr>
          <w:lang w:val="en-US"/>
        </w:rPr>
        <w:t xml:space="preserve"> is identically 0.</w:t>
      </w:r>
    </w:p>
  </w:footnote>
  <w:footnote w:id="9">
    <w:p w14:paraId="436B608C" w14:textId="77777777" w:rsidR="003244CE" w:rsidRPr="00AC6B2E" w:rsidRDefault="003244CE" w:rsidP="003244CE">
      <w:pPr>
        <w:pStyle w:val="FootnoteText"/>
        <w:rPr>
          <w:i/>
        </w:rPr>
      </w:pPr>
      <w:r w:rsidRPr="000836D1">
        <w:rPr>
          <w:rStyle w:val="FootnoteReference"/>
        </w:rPr>
        <w:footnoteRef/>
      </w:r>
      <w:r w:rsidRPr="000836D1">
        <w:rPr>
          <w:rStyle w:val="FootnoteReference"/>
        </w:rPr>
        <w:tab/>
      </w:r>
      <w:r>
        <w:t xml:space="preserve">Report </w:t>
      </w:r>
      <w:hyperlink r:id="rId3" w:history="1">
        <w:r w:rsidRPr="00A73A1E">
          <w:rPr>
            <w:rFonts w:eastAsia="Calibri" w:cs="Arial"/>
            <w:szCs w:val="22"/>
            <w:lang w:eastAsia="zh-CN"/>
          </w:rPr>
          <w:t>ITU-R M.2220</w:t>
        </w:r>
      </w:hyperlink>
      <w:r>
        <w:t xml:space="preserve"> does not indicate the RNSS receiver bandwidth associated with the necessary attenuation level for the pre-correlator filter that should be used to calculate the overlap bandwidth factor (</w:t>
      </w:r>
      <w:r w:rsidRPr="00660170">
        <w:rPr>
          <w:iCs/>
        </w:rPr>
        <w:sym w:font="Symbol" w:char="F044"/>
      </w:r>
      <w:r>
        <w:rPr>
          <w:i/>
        </w:rPr>
        <w:t xml:space="preserve">f / </w:t>
      </w:r>
      <w:r>
        <w:rPr>
          <w:i/>
        </w:rPr>
        <w:t>Chirpwidth</w:t>
      </w:r>
      <w:r>
        <w:t xml:space="preserve">). This level </w:t>
      </w:r>
      <w:r w:rsidRPr="00C6047E">
        <w:t xml:space="preserve">depends on the technical implementation of RNSS receivers. Because this information is lacking, a worst-case assumption </w:t>
      </w:r>
      <w:r>
        <w:t>is</w:t>
      </w:r>
      <w:r w:rsidRPr="00C6047E">
        <w:t xml:space="preserve"> used for GLONASS air navigation receivers in Table 9. </w:t>
      </w:r>
      <w:r w:rsidRPr="00AC6B2E">
        <w:t xml:space="preserve">For those receivers lacking sufficient information, a unity overlap bandwidth factor value </w:t>
      </w:r>
      <w:r w:rsidRPr="00AC6B2E">
        <w:rPr>
          <w:lang w:eastAsia="ja-JP"/>
        </w:rPr>
        <w:t>should be</w:t>
      </w:r>
      <w:r w:rsidRPr="00AC6B2E">
        <w:t xml:space="preserve"> used in equations (5) and (6) for preliminary evaluations using the methodology of Recommendation </w:t>
      </w:r>
      <w:hyperlink r:id="rId4" w:history="1">
        <w:r w:rsidRPr="00AC6B2E">
          <w:rPr>
            <w:rFonts w:eastAsia="Calibri" w:cs="Arial"/>
            <w:szCs w:val="22"/>
            <w:lang w:eastAsia="zh-CN"/>
          </w:rPr>
          <w:t>ITU-R M.2030</w:t>
        </w:r>
      </w:hyperlink>
      <w:r w:rsidRPr="00AC6B2E">
        <w:t>.</w:t>
      </w:r>
      <w:r w:rsidRPr="00AC6B2E">
        <w:rPr>
          <w:lang w:eastAsia="ja-JP"/>
        </w:rPr>
        <w:t xml:space="preserve"> </w:t>
      </w:r>
      <w:r w:rsidRPr="00AC6B2E">
        <w:t>However, any increase of the estimation of interference from spaceborne active sensors resulting from the use of a unity overlap bandwidth factor should be taken into account when performing more detailed analyses specified in the Recommendation.</w:t>
      </w:r>
    </w:p>
  </w:footnote>
  <w:footnote w:id="10">
    <w:p w14:paraId="0963A484" w14:textId="77777777" w:rsidR="003244CE" w:rsidRDefault="003244CE" w:rsidP="003244CE">
      <w:pPr>
        <w:pStyle w:val="FootnoteText"/>
        <w:rPr>
          <w:lang w:val="en-US"/>
        </w:rPr>
      </w:pPr>
      <w:r w:rsidRPr="00F96153">
        <w:rPr>
          <w:rStyle w:val="FootnoteReference"/>
        </w:rPr>
        <w:footnoteRef/>
      </w:r>
      <w:r>
        <w:tab/>
        <w:t xml:space="preserve">The allowable degradation ratio is the upper limit for the RFI effect of new planned pulsed sources not in the baseline RFI condition. It is determined from consideration of the overall RFI, including the </w:t>
      </w:r>
      <w:r w:rsidRPr="00F96153">
        <w:t>baseline</w:t>
      </w:r>
      <w:r>
        <w:t xml:space="preserve"> parameters, that the receiver can tolerate and still meet required performance.</w:t>
      </w:r>
    </w:p>
  </w:footnote>
  <w:footnote w:id="11">
    <w:p w14:paraId="4EAB24A2" w14:textId="77777777" w:rsidR="003244CE" w:rsidRDefault="003244CE" w:rsidP="003244CE">
      <w:pPr>
        <w:pStyle w:val="FootnoteText"/>
        <w:rPr>
          <w:lang w:val="en-US"/>
        </w:rPr>
      </w:pPr>
      <w:r w:rsidRPr="00F96153">
        <w:rPr>
          <w:rStyle w:val="FootnoteReference"/>
        </w:rPr>
        <w:footnoteRef/>
      </w:r>
      <w:r w:rsidRPr="00F96153">
        <w:rPr>
          <w:rStyle w:val="FootnoteReference"/>
        </w:rPr>
        <w:tab/>
      </w:r>
      <w:r>
        <w:rPr>
          <w:lang w:val="en-US" w:eastAsia="zh-CN"/>
        </w:rPr>
        <w:t>Satellite-based augmentation system (SBAS) ground reference receiver,</w:t>
      </w:r>
      <w:r>
        <w:rPr>
          <w:lang w:val="en-US"/>
        </w:rPr>
        <w:t xml:space="preserve"> a </w:t>
      </w:r>
      <w:r>
        <w:t xml:space="preserve">semi-codeless </w:t>
      </w:r>
      <w:r>
        <w:t>type receiver</w:t>
      </w:r>
      <w:r>
        <w:rPr>
          <w:lang w:val="en-US" w:eastAsia="zh-CN"/>
        </w:rPr>
        <w:t>.</w:t>
      </w:r>
    </w:p>
  </w:footnote>
  <w:footnote w:id="12">
    <w:p w14:paraId="16A93C09" w14:textId="77777777" w:rsidR="003244CE" w:rsidRDefault="003244CE" w:rsidP="003244CE">
      <w:pPr>
        <w:pStyle w:val="FootnoteText"/>
        <w:rPr>
          <w:lang w:val="en-US"/>
        </w:rPr>
      </w:pPr>
      <w:r w:rsidRPr="008D21DB">
        <w:rPr>
          <w:rStyle w:val="FootnoteReference"/>
        </w:rPr>
        <w:footnoteRef/>
      </w:r>
      <w:r>
        <w:tab/>
        <w:t xml:space="preserve">Note that the set of RNSS receivers whose characteristics are provided in </w:t>
      </w:r>
      <w:r w:rsidRPr="00C04629">
        <w:t xml:space="preserve">Recommendation </w:t>
      </w:r>
      <w:hyperlink r:id="rId5" w:history="1">
        <w:r w:rsidRPr="00C04629">
          <w:rPr>
            <w:rStyle w:val="Hyperlink"/>
            <w:rFonts w:eastAsia="SimSun"/>
            <w:color w:val="auto"/>
            <w:u w:val="none"/>
          </w:rPr>
          <w:t>ITU</w:t>
        </w:r>
        <w:r w:rsidRPr="00C04629">
          <w:rPr>
            <w:rStyle w:val="Hyperlink"/>
            <w:rFonts w:eastAsia="SimSun"/>
            <w:color w:val="auto"/>
            <w:u w:val="none"/>
          </w:rPr>
          <w:noBreakHyphen/>
          <w:t>R M.1902</w:t>
        </w:r>
      </w:hyperlink>
      <w:r>
        <w:t xml:space="preserve"> does not include every type of RNSS receiver that may be deployed in this band. Additional studies are required to determine the potential of interference from EESS (active) systems into other RNSS receiver types.</w:t>
      </w:r>
    </w:p>
  </w:footnote>
  <w:footnote w:id="13">
    <w:p w14:paraId="7570EF4C" w14:textId="77777777" w:rsidR="003244CE" w:rsidRDefault="003244CE" w:rsidP="003244CE">
      <w:pPr>
        <w:pStyle w:val="FootnoteText"/>
        <w:spacing w:before="80"/>
        <w:rPr>
          <w:lang w:val="en-US"/>
        </w:rPr>
      </w:pPr>
      <w:r w:rsidRPr="0091628E">
        <w:rPr>
          <w:rStyle w:val="FootnoteReference"/>
        </w:rPr>
        <w:footnoteRef/>
      </w:r>
      <w:r>
        <w:rPr>
          <w:lang w:val="en-US"/>
        </w:rPr>
        <w:tab/>
        <w:t xml:space="preserve">Centre frequency of active sensor can vary within the given range. For calculation of </w:t>
      </w:r>
      <w:r>
        <w:rPr>
          <w:lang w:val="en-US" w:eastAsia="ja-JP"/>
        </w:rPr>
        <w:t xml:space="preserve">free </w:t>
      </w:r>
      <w:r>
        <w:rPr>
          <w:lang w:val="en-US"/>
        </w:rPr>
        <w:t xml:space="preserve">space loss, a </w:t>
      </w:r>
      <w:r>
        <w:rPr>
          <w:lang w:val="en-US"/>
        </w:rPr>
        <w:t>centre frequency of 1 250 MHz is assumed.</w:t>
      </w:r>
    </w:p>
  </w:footnote>
  <w:footnote w:id="14">
    <w:p w14:paraId="08992223" w14:textId="77777777" w:rsidR="003244CE" w:rsidRDefault="003244CE" w:rsidP="003244CE">
      <w:pPr>
        <w:pStyle w:val="FootnoteText"/>
        <w:rPr>
          <w:lang w:val="en-US"/>
        </w:rPr>
      </w:pPr>
      <w:r w:rsidRPr="0091628E">
        <w:rPr>
          <w:rStyle w:val="FootnoteReference"/>
        </w:rPr>
        <w:footnoteRef/>
      </w:r>
      <w:r w:rsidRPr="0091628E">
        <w:rPr>
          <w:rStyle w:val="FootnoteReference"/>
        </w:rPr>
        <w:tab/>
      </w:r>
      <w:r>
        <w:rPr>
          <w:lang w:val="en-US"/>
        </w:rPr>
        <w:t xml:space="preserve">Centre frequency of active sensor can vary within the given range. For calculation of </w:t>
      </w:r>
      <w:r>
        <w:rPr>
          <w:lang w:val="en-US" w:eastAsia="ja-JP"/>
        </w:rPr>
        <w:t xml:space="preserve">free </w:t>
      </w:r>
      <w:r>
        <w:rPr>
          <w:lang w:val="en-US"/>
        </w:rPr>
        <w:t xml:space="preserve">space loss, a </w:t>
      </w:r>
      <w:r>
        <w:rPr>
          <w:lang w:val="en-US"/>
        </w:rPr>
        <w:t>centre frequency of 1 250 MHz is assumed.</w:t>
      </w:r>
    </w:p>
  </w:footnote>
  <w:footnote w:id="15">
    <w:p w14:paraId="75BF3F00" w14:textId="77777777" w:rsidR="003244CE" w:rsidRPr="0015251B" w:rsidRDefault="003244CE" w:rsidP="003244CE">
      <w:pPr>
        <w:pStyle w:val="FootnoteText"/>
        <w:rPr>
          <w:lang w:val="en-US"/>
        </w:rPr>
      </w:pPr>
      <w:r w:rsidRPr="00B450F2">
        <w:rPr>
          <w:rStyle w:val="FootnoteReference"/>
        </w:rPr>
        <w:footnoteRef/>
      </w:r>
      <w:r>
        <w:tab/>
        <w:t xml:space="preserve">This bandwidth </w:t>
      </w:r>
      <w:r w:rsidRPr="00B450F2">
        <w:t>value</w:t>
      </w:r>
      <w:r>
        <w:t xml:space="preserve"> is the estimated rectangular equivalent determined from the receiver design. It is slightly larger than the pre-correlator 3 dB bandwidth in Annex 1, Table 1</w:t>
      </w:r>
      <w:r w:rsidRPr="0015251B">
        <w:t>-7.</w:t>
      </w:r>
    </w:p>
  </w:footnote>
  <w:footnote w:id="16">
    <w:p w14:paraId="44E0DC3C" w14:textId="1D7327CC" w:rsidR="003244CE" w:rsidRDefault="003244CE" w:rsidP="003244CE">
      <w:pPr>
        <w:pStyle w:val="FootnoteText"/>
        <w:rPr>
          <w:sz w:val="28"/>
          <w:szCs w:val="22"/>
          <w:lang w:val="en-US"/>
        </w:rPr>
      </w:pPr>
      <w:r w:rsidRPr="00B450F2">
        <w:rPr>
          <w:rStyle w:val="FootnoteReference"/>
        </w:rPr>
        <w:footnoteRef/>
      </w:r>
      <w:r w:rsidRPr="0015251B">
        <w:tab/>
      </w:r>
      <w:r w:rsidRPr="0015251B">
        <w:rPr>
          <w:szCs w:val="24"/>
        </w:rPr>
        <w:t>Equation (</w:t>
      </w:r>
      <w:r w:rsidR="00987F2D">
        <w:rPr>
          <w:szCs w:val="24"/>
        </w:rPr>
        <w:t>8</w:t>
      </w:r>
      <w:r w:rsidRPr="0015251B">
        <w:rPr>
          <w:szCs w:val="24"/>
        </w:rPr>
        <w:t xml:space="preserve">) is used since the SBAS ground reference receiver </w:t>
      </w:r>
      <w:r w:rsidRPr="009916A7">
        <w:rPr>
          <w:i/>
          <w:iCs/>
          <w:szCs w:val="24"/>
        </w:rPr>
        <w:t>N</w:t>
      </w:r>
      <w:r w:rsidRPr="009916A7">
        <w:rPr>
          <w:i/>
          <w:iCs/>
          <w:szCs w:val="24"/>
          <w:vertAlign w:val="subscript"/>
        </w:rPr>
        <w:t>LIM</w:t>
      </w:r>
      <w:r w:rsidRPr="0015251B">
        <w:rPr>
          <w:szCs w:val="24"/>
        </w:rPr>
        <w:t xml:space="preserve"> value = 1 (Table 9).</w:t>
      </w:r>
    </w:p>
  </w:footnote>
  <w:footnote w:id="17">
    <w:p w14:paraId="016DBFBE" w14:textId="77777777" w:rsidR="003244CE" w:rsidRPr="00647BDC" w:rsidRDefault="003244CE" w:rsidP="003244CE">
      <w:pPr>
        <w:pStyle w:val="FootnoteText"/>
        <w:rPr>
          <w:lang w:val="en-US"/>
        </w:rPr>
      </w:pPr>
      <w:r>
        <w:rPr>
          <w:rStyle w:val="FootnoteReference"/>
        </w:rPr>
        <w:footnoteRef/>
      </w:r>
      <w:r>
        <w:tab/>
      </w:r>
      <w:r>
        <w:rPr>
          <w:szCs w:val="24"/>
        </w:rPr>
        <w:t xml:space="preserve">Equation (8) is used since the Air navigation receiver </w:t>
      </w:r>
      <w:r w:rsidRPr="009916A7">
        <w:rPr>
          <w:i/>
          <w:iCs/>
          <w:szCs w:val="24"/>
        </w:rPr>
        <w:t>N</w:t>
      </w:r>
      <w:r w:rsidRPr="009916A7">
        <w:rPr>
          <w:i/>
          <w:iCs/>
          <w:szCs w:val="24"/>
          <w:vertAlign w:val="subscript"/>
        </w:rPr>
        <w:t>LIM</w:t>
      </w:r>
      <w:r>
        <w:rPr>
          <w:szCs w:val="24"/>
        </w:rPr>
        <w:t xml:space="preserve"> value = 1 (see Table </w:t>
      </w:r>
      <w:r w:rsidRPr="0015251B">
        <w:t>9</w:t>
      </w:r>
      <w:r w:rsidRPr="0015251B">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720E" w14:textId="77777777" w:rsidR="001B164E" w:rsidRDefault="001B164E">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7C14" w14:textId="3F684A18" w:rsidR="00453D86" w:rsidRPr="00D72623" w:rsidRDefault="00453D86" w:rsidP="00453D86">
    <w:pPr>
      <w:pStyle w:val="Header"/>
      <w:jc w:val="left"/>
      <w:rPr>
        <w:lang w:val="en-US"/>
      </w:rPr>
    </w:pPr>
    <w:r>
      <w:rPr>
        <w:lang w:val="en-US"/>
      </w:rPr>
      <w:tab/>
    </w:r>
    <w:r>
      <w:rPr>
        <w:b/>
        <w:bCs/>
        <w:lang w:val="en-US"/>
      </w:rPr>
      <w:fldChar w:fldCharType="begin"/>
    </w:r>
    <w:r>
      <w:rPr>
        <w:b/>
        <w:bCs/>
        <w:lang w:val="en-US"/>
      </w:rPr>
      <w:instrText xml:space="preserve"> DOCPROPERTY  "Header 2"  \* MERGEFORMAT </w:instrText>
    </w:r>
    <w:r>
      <w:rPr>
        <w:b/>
        <w:bCs/>
        <w:lang w:val="en-US"/>
      </w:rPr>
      <w:fldChar w:fldCharType="separate"/>
    </w:r>
    <w:r w:rsidR="00F7477C">
      <w:rPr>
        <w:b/>
        <w:bCs/>
        <w:lang w:val="en-US"/>
      </w:rPr>
      <w:t xml:space="preserve">Rep.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F7477C">
      <w:rPr>
        <w:b/>
        <w:bCs/>
        <w:noProof/>
        <w:lang w:val="en-US"/>
      </w:rPr>
      <w:t>ITU-R  RS.2537-0</w:t>
    </w:r>
    <w:r>
      <w:rPr>
        <w:b/>
        <w:bCs/>
      </w:rPr>
      <w:fldChar w:fldCharType="end"/>
    </w:r>
    <w:r>
      <w:rPr>
        <w:b/>
        <w:bCs/>
      </w:rPr>
      <w:tab/>
    </w: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3</w:t>
    </w:r>
    <w:r>
      <w:rPr>
        <w:rStyle w:val="PageNumbe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A123" w14:textId="36C58411" w:rsidR="00453D86" w:rsidRPr="00D72623" w:rsidRDefault="00453D86" w:rsidP="00453D86">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2"  \* MERGEFORMAT </w:instrText>
    </w:r>
    <w:r>
      <w:rPr>
        <w:b/>
        <w:bCs/>
        <w:lang w:val="en-US"/>
      </w:rPr>
      <w:fldChar w:fldCharType="separate"/>
    </w:r>
    <w:r w:rsidR="00F7477C">
      <w:rPr>
        <w:b/>
        <w:bCs/>
        <w:lang w:val="en-US"/>
      </w:rPr>
      <w:t xml:space="preserve">Rep.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F7477C">
      <w:rPr>
        <w:b/>
        <w:bCs/>
        <w:noProof/>
        <w:lang w:val="en-US"/>
      </w:rPr>
      <w:t>ITU-R  RS.2537-0</w:t>
    </w:r>
    <w:r>
      <w:rPr>
        <w:b/>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4E5E" w14:textId="764E7C70" w:rsidR="00453D86" w:rsidRPr="007333B5" w:rsidRDefault="00453D86" w:rsidP="00453D86">
    <w:pPr>
      <w:pStyle w:val="Header"/>
      <w:tabs>
        <w:tab w:val="clear" w:pos="4848"/>
        <w:tab w:val="clear" w:pos="9696"/>
        <w:tab w:val="center" w:pos="7088"/>
        <w:tab w:val="right" w:pos="14459"/>
      </w:tabs>
      <w:rPr>
        <w:rStyle w:val="PageNumber"/>
      </w:rPr>
    </w:pPr>
    <w:r>
      <w:rPr>
        <w:b/>
        <w:bCs/>
        <w:lang w:val="en-US"/>
      </w:rPr>
      <w:tab/>
    </w:r>
    <w:r>
      <w:rPr>
        <w:b/>
        <w:bCs/>
        <w:lang w:val="en-US"/>
      </w:rPr>
      <w:fldChar w:fldCharType="begin"/>
    </w:r>
    <w:r>
      <w:rPr>
        <w:b/>
        <w:bCs/>
        <w:lang w:val="en-US"/>
      </w:rPr>
      <w:instrText xml:space="preserve"> DOCPROPERTY  "Header 2"  \* MERGEFORMAT </w:instrText>
    </w:r>
    <w:r>
      <w:rPr>
        <w:b/>
        <w:bCs/>
        <w:lang w:val="en-US"/>
      </w:rPr>
      <w:fldChar w:fldCharType="separate"/>
    </w:r>
    <w:r w:rsidR="00F7477C">
      <w:rPr>
        <w:b/>
        <w:bCs/>
        <w:lang w:val="en-US"/>
      </w:rPr>
      <w:t xml:space="preserve">Rep.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F7477C">
      <w:rPr>
        <w:b/>
        <w:bCs/>
        <w:noProof/>
        <w:lang w:val="en-US"/>
      </w:rPr>
      <w:t>ITU-R  RS.2537-0</w:t>
    </w:r>
    <w:r>
      <w:rPr>
        <w:b/>
        <w:bCs/>
      </w:rPr>
      <w:fldChar w:fldCharType="end"/>
    </w:r>
    <w:r>
      <w:rPr>
        <w:b/>
        <w:bCs/>
      </w:rPr>
      <w:tab/>
    </w: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5</w:t>
    </w:r>
    <w:r>
      <w:rPr>
        <w:rStyle w:val="PageNumber"/>
        <w:b/>
        <w:bC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1BA2" w14:textId="4D97215D" w:rsidR="007333B5" w:rsidRPr="00D72623" w:rsidRDefault="007333B5"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2"  \* MERGEFORMAT </w:instrText>
    </w:r>
    <w:r>
      <w:rPr>
        <w:b/>
        <w:bCs/>
        <w:lang w:val="en-US"/>
      </w:rPr>
      <w:fldChar w:fldCharType="separate"/>
    </w:r>
    <w:r w:rsidR="00F7477C">
      <w:rPr>
        <w:b/>
        <w:bCs/>
        <w:lang w:val="en-US"/>
      </w:rPr>
      <w:t xml:space="preserve">Rep.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F7477C">
      <w:rPr>
        <w:b/>
        <w:bCs/>
        <w:noProof/>
        <w:lang w:val="en-US"/>
      </w:rPr>
      <w:t>ITU-R  RS.2537-0</w:t>
    </w:r>
    <w:r>
      <w:rPr>
        <w:b/>
        <w:bC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2E0C" w14:textId="0A5749D6" w:rsidR="00453D86" w:rsidRPr="00D72623" w:rsidRDefault="00453D86" w:rsidP="00453D86">
    <w:pPr>
      <w:pStyle w:val="Header"/>
      <w:jc w:val="left"/>
      <w:rPr>
        <w:lang w:val="en-US"/>
      </w:rPr>
    </w:pPr>
    <w:r>
      <w:rPr>
        <w:lang w:val="en-US"/>
      </w:rPr>
      <w:tab/>
    </w:r>
    <w:r>
      <w:rPr>
        <w:b/>
        <w:bCs/>
        <w:lang w:val="en-US"/>
      </w:rPr>
      <w:fldChar w:fldCharType="begin"/>
    </w:r>
    <w:r>
      <w:rPr>
        <w:b/>
        <w:bCs/>
        <w:lang w:val="en-US"/>
      </w:rPr>
      <w:instrText xml:space="preserve"> DOCPROPERTY  "Header 2"  \* MERGEFORMAT </w:instrText>
    </w:r>
    <w:r>
      <w:rPr>
        <w:b/>
        <w:bCs/>
        <w:lang w:val="en-US"/>
      </w:rPr>
      <w:fldChar w:fldCharType="separate"/>
    </w:r>
    <w:r w:rsidR="00F7477C">
      <w:rPr>
        <w:b/>
        <w:bCs/>
        <w:lang w:val="en-US"/>
      </w:rPr>
      <w:t xml:space="preserve">Rep.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F7477C">
      <w:rPr>
        <w:b/>
        <w:bCs/>
        <w:noProof/>
        <w:lang w:val="en-US"/>
      </w:rPr>
      <w:t>ITU-R  RS.2537-0</w:t>
    </w:r>
    <w:r>
      <w:rPr>
        <w:b/>
        <w:bCs/>
      </w:rPr>
      <w:fldChar w:fldCharType="end"/>
    </w:r>
    <w:r>
      <w:rPr>
        <w:b/>
        <w:bCs/>
      </w:rPr>
      <w:tab/>
    </w: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9</w:t>
    </w:r>
    <w:r>
      <w:rPr>
        <w:rStyle w:val="PageNumber"/>
        <w:b/>
        <w:bC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CB02" w14:textId="27CA4395" w:rsidR="002C381E" w:rsidRPr="00D72623" w:rsidRDefault="002C381E" w:rsidP="002C381E">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2"  \* MERGEFORMAT </w:instrText>
    </w:r>
    <w:r>
      <w:rPr>
        <w:b/>
        <w:bCs/>
        <w:lang w:val="en-US"/>
      </w:rPr>
      <w:fldChar w:fldCharType="separate"/>
    </w:r>
    <w:r w:rsidR="00F7477C">
      <w:rPr>
        <w:b/>
        <w:bCs/>
        <w:lang w:val="en-US"/>
      </w:rPr>
      <w:t xml:space="preserve">Rep.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F7477C">
      <w:rPr>
        <w:b/>
        <w:bCs/>
        <w:noProof/>
        <w:lang w:val="en-US"/>
      </w:rPr>
      <w:t>ITU-R  RS.2537-0</w:t>
    </w:r>
    <w:r>
      <w:rPr>
        <w:b/>
        <w:bC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04A7" w14:textId="55C78A52" w:rsidR="00453D86" w:rsidRPr="007333B5" w:rsidRDefault="00453D86" w:rsidP="00453D86">
    <w:pPr>
      <w:pStyle w:val="Header"/>
      <w:tabs>
        <w:tab w:val="clear" w:pos="4848"/>
        <w:tab w:val="clear" w:pos="9696"/>
        <w:tab w:val="center" w:pos="7088"/>
        <w:tab w:val="right" w:pos="14459"/>
      </w:tabs>
      <w:rPr>
        <w:rStyle w:val="PageNumber"/>
      </w:rPr>
    </w:pPr>
    <w:r>
      <w:rPr>
        <w:b/>
        <w:bCs/>
        <w:lang w:val="en-US"/>
      </w:rPr>
      <w:tab/>
    </w:r>
    <w:r>
      <w:rPr>
        <w:b/>
        <w:bCs/>
        <w:lang w:val="en-US"/>
      </w:rPr>
      <w:fldChar w:fldCharType="begin"/>
    </w:r>
    <w:r>
      <w:rPr>
        <w:b/>
        <w:bCs/>
        <w:lang w:val="en-US"/>
      </w:rPr>
      <w:instrText xml:space="preserve"> DOCPROPERTY  "Header 2"  \* MERGEFORMAT </w:instrText>
    </w:r>
    <w:r>
      <w:rPr>
        <w:b/>
        <w:bCs/>
        <w:lang w:val="en-US"/>
      </w:rPr>
      <w:fldChar w:fldCharType="separate"/>
    </w:r>
    <w:r w:rsidR="00F7477C">
      <w:rPr>
        <w:b/>
        <w:bCs/>
        <w:lang w:val="en-US"/>
      </w:rPr>
      <w:t xml:space="preserve">Rep.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F7477C">
      <w:rPr>
        <w:b/>
        <w:bCs/>
        <w:noProof/>
        <w:lang w:val="en-US"/>
      </w:rPr>
      <w:t>ITU-R  RS.2537-0</w:t>
    </w:r>
    <w:r>
      <w:rPr>
        <w:b/>
        <w:bCs/>
      </w:rPr>
      <w:fldChar w:fldCharType="end"/>
    </w:r>
    <w:r>
      <w:rPr>
        <w:b/>
        <w:bCs/>
      </w:rPr>
      <w:tab/>
    </w: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13</w:t>
    </w:r>
    <w:r>
      <w:rPr>
        <w:rStyle w:val="PageNumber"/>
        <w:b/>
        <w:bC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88FE" w14:textId="3E03EEBB" w:rsidR="00453D86" w:rsidRPr="00D72623" w:rsidRDefault="00453D86" w:rsidP="00453D86">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26</w:t>
    </w:r>
    <w:r>
      <w:rPr>
        <w:rStyle w:val="PageNumber"/>
        <w:b/>
        <w:bCs/>
      </w:rPr>
      <w:fldChar w:fldCharType="end"/>
    </w:r>
    <w:r>
      <w:rPr>
        <w:lang w:val="en-US"/>
      </w:rPr>
      <w:tab/>
    </w:r>
    <w:r>
      <w:rPr>
        <w:b/>
        <w:bCs/>
        <w:lang w:val="en-US"/>
      </w:rPr>
      <w:fldChar w:fldCharType="begin"/>
    </w:r>
    <w:r>
      <w:rPr>
        <w:b/>
        <w:bCs/>
        <w:lang w:val="en-US"/>
      </w:rPr>
      <w:instrText xml:space="preserve"> DOCPROPERTY  "Header 2"  \* MERGEFORMAT </w:instrText>
    </w:r>
    <w:r>
      <w:rPr>
        <w:b/>
        <w:bCs/>
        <w:lang w:val="en-US"/>
      </w:rPr>
      <w:fldChar w:fldCharType="separate"/>
    </w:r>
    <w:r w:rsidR="00F7477C">
      <w:rPr>
        <w:b/>
        <w:bCs/>
        <w:lang w:val="en-US"/>
      </w:rPr>
      <w:t xml:space="preserve">Rep.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F7477C">
      <w:rPr>
        <w:b/>
        <w:bCs/>
        <w:noProof/>
        <w:lang w:val="en-US"/>
      </w:rPr>
      <w:t>ITU-R  RS.2537-0</w:t>
    </w:r>
    <w:r>
      <w:rPr>
        <w:b/>
        <w:bCs/>
      </w:rPr>
      <w:fldChar w:fldCharType="end"/>
    </w:r>
  </w:p>
  <w:p w14:paraId="67F72220" w14:textId="77777777" w:rsidR="007333B5" w:rsidRPr="007333B5" w:rsidRDefault="007333B5" w:rsidP="007333B5">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5936"/>
    </w:tblGrid>
    <w:tr w:rsidR="005B0371" w:rsidRPr="00A239D1" w14:paraId="57C54BEF" w14:textId="77777777" w:rsidTr="0019307B">
      <w:tc>
        <w:tcPr>
          <w:tcW w:w="4634" w:type="dxa"/>
          <w:vAlign w:val="center"/>
        </w:tcPr>
        <w:p w14:paraId="66638597"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1308E852"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17B897FA" w14:textId="77777777" w:rsidTr="0019307B">
      <w:tc>
        <w:tcPr>
          <w:tcW w:w="4634" w:type="dxa"/>
          <w:vAlign w:val="center"/>
        </w:tcPr>
        <w:p w14:paraId="46FEE7DD" w14:textId="77777777" w:rsidR="00EE47C4" w:rsidRPr="00260B24" w:rsidRDefault="00EE47C4" w:rsidP="00744F8B">
          <w:pPr>
            <w:pStyle w:val="Header"/>
            <w:jc w:val="left"/>
            <w:rPr>
              <w:rFonts w:asciiTheme="minorBidi" w:hAnsiTheme="minorBidi"/>
              <w:spacing w:val="4"/>
              <w:sz w:val="21"/>
              <w:szCs w:val="21"/>
            </w:rPr>
          </w:pPr>
        </w:p>
      </w:tc>
      <w:tc>
        <w:tcPr>
          <w:tcW w:w="5998" w:type="dxa"/>
          <w:vAlign w:val="center"/>
        </w:tcPr>
        <w:p w14:paraId="3C11F389"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1FAB170E"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00E5519F" wp14:editId="7878F73B">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53B194A9" wp14:editId="5EA0F0E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BDE8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1A047A3" w14:textId="77777777" w:rsidR="004A6FEB" w:rsidRDefault="00E97A57"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5F47DCFC" wp14:editId="62F5996B">
              <wp:simplePos x="0" y="0"/>
              <wp:positionH relativeFrom="page">
                <wp:posOffset>0</wp:posOffset>
              </wp:positionH>
              <wp:positionV relativeFrom="page">
                <wp:posOffset>1196340</wp:posOffset>
              </wp:positionV>
              <wp:extent cx="7560310" cy="236220"/>
              <wp:effectExtent l="0" t="0" r="0" b="0"/>
              <wp:wrapNone/>
              <wp:docPr id="7" name="Group 7" descr="Header separat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4"/>
                      <wps:cNvSpPr>
                        <a:spLocks noChangeArrowheads="1"/>
                      </wps:cNvSpPr>
                      <wps:spPr bwMode="auto">
                        <a:xfrm>
                          <a:off x="0" y="1944"/>
                          <a:ext cx="11906" cy="312"/>
                        </a:xfrm>
                        <a:prstGeom prst="rect">
                          <a:avLst/>
                        </a:prstGeom>
                        <a:solidFill>
                          <a:srgbClr val="52BA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5" descr="Header separation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EE57E" id="Group 7" o:spid="_x0000_s1026" alt="Header separation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">
              <v:rect id="docshape4"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" fillcolor="#52ba6c" stroked="f"/>
              <v:shape id="docshape5" o:spid="_x0000_s1028" alt="Header separation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" path="m627,l,,314,313,627,xe" stroked="f">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2925" w14:textId="424E751D"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AE09E7">
      <w:rPr>
        <w:b/>
        <w:bCs/>
        <w:lang w:val="en-US"/>
      </w:rPr>
      <w:fldChar w:fldCharType="begin"/>
    </w:r>
    <w:r w:rsidR="00AE09E7">
      <w:rPr>
        <w:b/>
        <w:bCs/>
        <w:lang w:val="en-US"/>
      </w:rPr>
      <w:instrText xml:space="preserve"> DOCPROPERTY  "Header 2"  \* MERGEFORMAT </w:instrText>
    </w:r>
    <w:r w:rsidR="00AE09E7">
      <w:rPr>
        <w:b/>
        <w:bCs/>
        <w:lang w:val="en-US"/>
      </w:rPr>
      <w:fldChar w:fldCharType="separate"/>
    </w:r>
    <w:r w:rsidR="00F7477C">
      <w:rPr>
        <w:b/>
        <w:bCs/>
        <w:lang w:val="en-US"/>
      </w:rPr>
      <w:t xml:space="preserve">Rep. </w:t>
    </w:r>
    <w:r w:rsidR="00AE09E7">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F7477C">
      <w:rPr>
        <w:b/>
        <w:bCs/>
        <w:noProof/>
        <w:lang w:val="en-US"/>
      </w:rPr>
      <w:t>ITU-R  RS.2537-0</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B6D9" w14:textId="3B3881EF" w:rsidR="001B164E" w:rsidRDefault="001B164E">
    <w:pPr>
      <w:pStyle w:val="Header"/>
    </w:pPr>
    <w:r>
      <w:tab/>
    </w:r>
    <w:r w:rsidR="00AE09E7">
      <w:rPr>
        <w:b/>
        <w:bCs/>
      </w:rPr>
      <w:fldChar w:fldCharType="begin"/>
    </w:r>
    <w:r w:rsidR="00AE09E7">
      <w:rPr>
        <w:b/>
        <w:bCs/>
      </w:rPr>
      <w:instrText xml:space="preserve"> DOCPROPERTY  "Header 2"  \* MERGEFORMAT </w:instrText>
    </w:r>
    <w:r w:rsidR="00AE09E7">
      <w:rPr>
        <w:b/>
        <w:bCs/>
      </w:rPr>
      <w:fldChar w:fldCharType="separate"/>
    </w:r>
    <w:r w:rsidR="00F7477C">
      <w:rPr>
        <w:b/>
        <w:bCs/>
      </w:rPr>
      <w:t xml:space="preserve">Rep. </w:t>
    </w:r>
    <w:r w:rsidR="00AE09E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F7477C">
      <w:rPr>
        <w:b/>
        <w:bCs/>
        <w:noProof/>
      </w:rPr>
      <w:t>ITU-R  RS.2537-0</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E5FA" w14:textId="7672375C" w:rsidR="007333B5" w:rsidRPr="00D72623" w:rsidRDefault="007333B5"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2"  \* MERGEFORMAT </w:instrText>
    </w:r>
    <w:r>
      <w:rPr>
        <w:b/>
        <w:bCs/>
        <w:lang w:val="en-US"/>
      </w:rPr>
      <w:fldChar w:fldCharType="separate"/>
    </w:r>
    <w:r w:rsidR="00F7477C">
      <w:rPr>
        <w:b/>
        <w:bCs/>
        <w:lang w:val="en-US"/>
      </w:rPr>
      <w:t xml:space="preserve">Rep.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F7477C">
      <w:rPr>
        <w:b/>
        <w:bCs/>
        <w:noProof/>
        <w:lang w:val="en-US"/>
      </w:rPr>
      <w:t>ITU-R  RS.2537-0</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47BC" w14:textId="022A0762" w:rsidR="00F8291B" w:rsidRPr="00D72623" w:rsidRDefault="00F8291B" w:rsidP="00F8291B">
    <w:pPr>
      <w:pStyle w:val="Header"/>
      <w:jc w:val="left"/>
      <w:rPr>
        <w:lang w:val="en-US"/>
      </w:rPr>
    </w:pPr>
    <w:r>
      <w:rPr>
        <w:lang w:val="en-US"/>
      </w:rPr>
      <w:tab/>
    </w:r>
    <w:r>
      <w:rPr>
        <w:b/>
        <w:bCs/>
        <w:lang w:val="en-US"/>
      </w:rPr>
      <w:fldChar w:fldCharType="begin"/>
    </w:r>
    <w:r>
      <w:rPr>
        <w:b/>
        <w:bCs/>
        <w:lang w:val="en-US"/>
      </w:rPr>
      <w:instrText xml:space="preserve"> DOCPROPERTY  "Header 2"  \* MERGEFORMAT </w:instrText>
    </w:r>
    <w:r>
      <w:rPr>
        <w:b/>
        <w:bCs/>
        <w:lang w:val="en-US"/>
      </w:rPr>
      <w:fldChar w:fldCharType="separate"/>
    </w:r>
    <w:r w:rsidR="00F7477C">
      <w:rPr>
        <w:b/>
        <w:bCs/>
        <w:lang w:val="en-US"/>
      </w:rPr>
      <w:t xml:space="preserve">Rep.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F7477C">
      <w:rPr>
        <w:b/>
        <w:bCs/>
        <w:noProof/>
        <w:lang w:val="en-US"/>
      </w:rPr>
      <w:t>ITU-R  RS.2537-0</w:t>
    </w:r>
    <w:r>
      <w:rPr>
        <w:b/>
        <w:bCs/>
      </w:rPr>
      <w:fldChar w:fldCharType="end"/>
    </w:r>
    <w:r>
      <w:rPr>
        <w:b/>
        <w:bCs/>
      </w:rPr>
      <w:tab/>
    </w: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3</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9F57" w14:textId="74EB748A" w:rsidR="007333B5" w:rsidRPr="00D72623" w:rsidRDefault="007333B5" w:rsidP="00453D86">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2"  \* MERGEFORMAT </w:instrText>
    </w:r>
    <w:r>
      <w:rPr>
        <w:b/>
        <w:bCs/>
        <w:lang w:val="en-US"/>
      </w:rPr>
      <w:fldChar w:fldCharType="separate"/>
    </w:r>
    <w:r w:rsidR="00F7477C">
      <w:rPr>
        <w:b/>
        <w:bCs/>
        <w:lang w:val="en-US"/>
      </w:rPr>
      <w:t xml:space="preserve">Rep.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F7477C">
      <w:rPr>
        <w:b/>
        <w:bCs/>
        <w:noProof/>
        <w:lang w:val="en-US"/>
      </w:rPr>
      <w:t>ITU-R  RS.2537-0</w:t>
    </w:r>
    <w:r>
      <w:rP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D21F" w14:textId="4A51309C" w:rsidR="003244CE" w:rsidRPr="007333B5" w:rsidRDefault="00F943BD" w:rsidP="00F943BD">
    <w:pPr>
      <w:pStyle w:val="Header"/>
      <w:tabs>
        <w:tab w:val="clear" w:pos="4848"/>
        <w:tab w:val="clear" w:pos="9696"/>
        <w:tab w:val="center" w:pos="7088"/>
        <w:tab w:val="right" w:pos="14459"/>
      </w:tabs>
      <w:rPr>
        <w:rStyle w:val="PageNumber"/>
      </w:rPr>
    </w:pPr>
    <w:r>
      <w:rPr>
        <w:b/>
        <w:bCs/>
        <w:lang w:val="en-US"/>
      </w:rPr>
      <w:tab/>
    </w:r>
    <w:r>
      <w:rPr>
        <w:b/>
        <w:bCs/>
        <w:lang w:val="en-US"/>
      </w:rPr>
      <w:fldChar w:fldCharType="begin"/>
    </w:r>
    <w:r>
      <w:rPr>
        <w:b/>
        <w:bCs/>
        <w:lang w:val="en-US"/>
      </w:rPr>
      <w:instrText xml:space="preserve"> DOCPROPERTY  "Header 2"  \* MERGEFORMAT </w:instrText>
    </w:r>
    <w:r>
      <w:rPr>
        <w:b/>
        <w:bCs/>
        <w:lang w:val="en-US"/>
      </w:rPr>
      <w:fldChar w:fldCharType="separate"/>
    </w:r>
    <w:r w:rsidR="00F7477C">
      <w:rPr>
        <w:b/>
        <w:bCs/>
        <w:lang w:val="en-US"/>
      </w:rPr>
      <w:t xml:space="preserve">Rep.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F7477C">
      <w:rPr>
        <w:b/>
        <w:bCs/>
        <w:noProof/>
        <w:lang w:val="en-US"/>
      </w:rPr>
      <w:t>ITU-R  RS.2537-0</w:t>
    </w:r>
    <w:r>
      <w:rPr>
        <w:b/>
        <w:bCs/>
      </w:rPr>
      <w:fldChar w:fldCharType="end"/>
    </w:r>
    <w:r>
      <w:rPr>
        <w:b/>
        <w:bCs/>
      </w:rPr>
      <w:tab/>
    </w: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5</w:t>
    </w:r>
    <w:r>
      <w:rPr>
        <w:rStyle w:val="PageNumbe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AFA3" w14:textId="74ACF33A" w:rsidR="007333B5" w:rsidRPr="00D72623" w:rsidRDefault="007333B5"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2"  \* MERGEFORMAT </w:instrText>
    </w:r>
    <w:r>
      <w:rPr>
        <w:b/>
        <w:bCs/>
        <w:lang w:val="en-US"/>
      </w:rPr>
      <w:fldChar w:fldCharType="separate"/>
    </w:r>
    <w:r w:rsidR="00F7477C">
      <w:rPr>
        <w:b/>
        <w:bCs/>
        <w:lang w:val="en-US"/>
      </w:rPr>
      <w:t xml:space="preserve">Rep.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F7477C">
      <w:rPr>
        <w:b/>
        <w:bCs/>
        <w:noProof/>
        <w:lang w:val="en-US"/>
      </w:rPr>
      <w:t>ITU-R  RS.2537-0</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1492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B64A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6A49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D46F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367C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0471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3E5D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085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2E2E17"/>
    <w:multiLevelType w:val="hybridMultilevel"/>
    <w:tmpl w:val="21064138"/>
    <w:lvl w:ilvl="0" w:tplc="3D904EFA">
      <w:start w:val="1"/>
      <w:numFmt w:val="bullet"/>
      <w:lvlText w:val=""/>
      <w:lvlJc w:val="left"/>
      <w:pPr>
        <w:ind w:left="720" w:hanging="360"/>
      </w:pPr>
      <w:rPr>
        <w:rFonts w:ascii="Symbol" w:eastAsia="Times New Roman" w:hAnsi="Symbol"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A71D17"/>
    <w:multiLevelType w:val="multilevel"/>
    <w:tmpl w:val="4322E4F6"/>
    <w:lvl w:ilvl="0">
      <w:start w:val="6"/>
      <w:numFmt w:val="decimal"/>
      <w:pStyle w:val="ListBullet3"/>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63372E0"/>
    <w:multiLevelType w:val="multilevel"/>
    <w:tmpl w:val="B320898E"/>
    <w:lvl w:ilvl="0">
      <w:start w:val="5"/>
      <w:numFmt w:val="none"/>
      <w:lvlText w:val="1"/>
      <w:lvlJc w:val="left"/>
      <w:pPr>
        <w:tabs>
          <w:tab w:val="num" w:pos="1860"/>
        </w:tabs>
        <w:ind w:left="1860" w:hanging="420"/>
      </w:pPr>
      <w:rPr>
        <w:rFonts w:cs="Times New Roman" w:hint="default"/>
        <w:b/>
        <w:i w:val="0"/>
        <w:color w:val="auto"/>
        <w:sz w:val="22"/>
        <w:szCs w:val="22"/>
      </w:rPr>
    </w:lvl>
    <w:lvl w:ilvl="1">
      <w:start w:val="1"/>
      <w:numFmt w:val="none"/>
      <w:lvlText w:val="1.1"/>
      <w:lvlJc w:val="left"/>
      <w:pPr>
        <w:tabs>
          <w:tab w:val="num" w:pos="1860"/>
        </w:tabs>
        <w:ind w:left="1860" w:hanging="4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23"/>
      <w:lvlText w:val="1.1%2.%3"/>
      <w:lvlJc w:val="left"/>
      <w:pPr>
        <w:tabs>
          <w:tab w:val="num" w:pos="2160"/>
        </w:tabs>
        <w:ind w:left="2160" w:hanging="720"/>
      </w:pPr>
      <w:rPr>
        <w:rFonts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4" w15:restartNumberingAfterBreak="0">
    <w:nsid w:val="675276A0"/>
    <w:multiLevelType w:val="hybridMultilevel"/>
    <w:tmpl w:val="6CE27AB4"/>
    <w:lvl w:ilvl="0" w:tplc="08090001">
      <w:start w:val="1"/>
      <w:numFmt w:val="bullet"/>
      <w:pStyle w:val="Discussion"/>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4826637">
    <w:abstractNumId w:val="11"/>
  </w:num>
  <w:num w:numId="2" w16cid:durableId="1262029107">
    <w:abstractNumId w:val="9"/>
  </w:num>
  <w:num w:numId="3" w16cid:durableId="754397746">
    <w:abstractNumId w:val="7"/>
  </w:num>
  <w:num w:numId="4" w16cid:durableId="1928073675">
    <w:abstractNumId w:val="6"/>
  </w:num>
  <w:num w:numId="5" w16cid:durableId="1137382184">
    <w:abstractNumId w:val="5"/>
  </w:num>
  <w:num w:numId="6" w16cid:durableId="177934812">
    <w:abstractNumId w:val="4"/>
  </w:num>
  <w:num w:numId="7" w16cid:durableId="1244803067">
    <w:abstractNumId w:val="8"/>
  </w:num>
  <w:num w:numId="8" w16cid:durableId="1782844162">
    <w:abstractNumId w:val="3"/>
  </w:num>
  <w:num w:numId="9" w16cid:durableId="91751770">
    <w:abstractNumId w:val="2"/>
  </w:num>
  <w:num w:numId="10" w16cid:durableId="1841659731">
    <w:abstractNumId w:val="1"/>
  </w:num>
  <w:num w:numId="11" w16cid:durableId="1802645483">
    <w:abstractNumId w:val="0"/>
  </w:num>
  <w:num w:numId="12" w16cid:durableId="2022313624">
    <w:abstractNumId w:val="12"/>
  </w:num>
  <w:num w:numId="13" w16cid:durableId="545147936">
    <w:abstractNumId w:val="14"/>
  </w:num>
  <w:num w:numId="14" w16cid:durableId="631132165">
    <w:abstractNumId w:val="13"/>
  </w:num>
  <w:num w:numId="15" w16cid:durableId="4944206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6">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AD"/>
    <w:rsid w:val="00013002"/>
    <w:rsid w:val="0003616D"/>
    <w:rsid w:val="00036EE3"/>
    <w:rsid w:val="00072484"/>
    <w:rsid w:val="00095530"/>
    <w:rsid w:val="00096612"/>
    <w:rsid w:val="000A6914"/>
    <w:rsid w:val="000B1B2B"/>
    <w:rsid w:val="000B7683"/>
    <w:rsid w:val="000C0798"/>
    <w:rsid w:val="000D0677"/>
    <w:rsid w:val="000E0548"/>
    <w:rsid w:val="000E2BC3"/>
    <w:rsid w:val="000E6A6E"/>
    <w:rsid w:val="00102934"/>
    <w:rsid w:val="00112809"/>
    <w:rsid w:val="00147110"/>
    <w:rsid w:val="001511A6"/>
    <w:rsid w:val="00167153"/>
    <w:rsid w:val="00171C4D"/>
    <w:rsid w:val="0017562F"/>
    <w:rsid w:val="0019307B"/>
    <w:rsid w:val="001A71CF"/>
    <w:rsid w:val="001B0927"/>
    <w:rsid w:val="001B164E"/>
    <w:rsid w:val="001B7886"/>
    <w:rsid w:val="001F38BB"/>
    <w:rsid w:val="00202833"/>
    <w:rsid w:val="002058CE"/>
    <w:rsid w:val="002165F1"/>
    <w:rsid w:val="00227D04"/>
    <w:rsid w:val="00233211"/>
    <w:rsid w:val="00257D40"/>
    <w:rsid w:val="00260B24"/>
    <w:rsid w:val="0027411A"/>
    <w:rsid w:val="00276D21"/>
    <w:rsid w:val="0028544E"/>
    <w:rsid w:val="00296D7F"/>
    <w:rsid w:val="002A5D45"/>
    <w:rsid w:val="002B3CF6"/>
    <w:rsid w:val="002B3E59"/>
    <w:rsid w:val="002C381E"/>
    <w:rsid w:val="002C768A"/>
    <w:rsid w:val="002C7DA3"/>
    <w:rsid w:val="002D0BD7"/>
    <w:rsid w:val="002D76C4"/>
    <w:rsid w:val="002F5199"/>
    <w:rsid w:val="00301DB3"/>
    <w:rsid w:val="00305119"/>
    <w:rsid w:val="0031214F"/>
    <w:rsid w:val="003157F1"/>
    <w:rsid w:val="003244CE"/>
    <w:rsid w:val="00356B5D"/>
    <w:rsid w:val="00357707"/>
    <w:rsid w:val="0036627C"/>
    <w:rsid w:val="0037156B"/>
    <w:rsid w:val="003D0C4F"/>
    <w:rsid w:val="003E5516"/>
    <w:rsid w:val="003F4B75"/>
    <w:rsid w:val="00420DFD"/>
    <w:rsid w:val="00422C27"/>
    <w:rsid w:val="00425BC7"/>
    <w:rsid w:val="00437A76"/>
    <w:rsid w:val="00453D86"/>
    <w:rsid w:val="004604B2"/>
    <w:rsid w:val="004644EA"/>
    <w:rsid w:val="00470E28"/>
    <w:rsid w:val="0047379B"/>
    <w:rsid w:val="00474009"/>
    <w:rsid w:val="004842E2"/>
    <w:rsid w:val="00486EB3"/>
    <w:rsid w:val="004934C5"/>
    <w:rsid w:val="004941AC"/>
    <w:rsid w:val="004A6FEB"/>
    <w:rsid w:val="004E61FF"/>
    <w:rsid w:val="005373E0"/>
    <w:rsid w:val="00556548"/>
    <w:rsid w:val="00571B1C"/>
    <w:rsid w:val="00576D47"/>
    <w:rsid w:val="00586EF8"/>
    <w:rsid w:val="005A519D"/>
    <w:rsid w:val="005B0371"/>
    <w:rsid w:val="005B0F53"/>
    <w:rsid w:val="005B49AB"/>
    <w:rsid w:val="005B50E7"/>
    <w:rsid w:val="005C4BAB"/>
    <w:rsid w:val="005E12A5"/>
    <w:rsid w:val="005E69F0"/>
    <w:rsid w:val="005E7B4F"/>
    <w:rsid w:val="005F003B"/>
    <w:rsid w:val="00601882"/>
    <w:rsid w:val="00607D68"/>
    <w:rsid w:val="00613212"/>
    <w:rsid w:val="006149B1"/>
    <w:rsid w:val="00616EA2"/>
    <w:rsid w:val="00625683"/>
    <w:rsid w:val="00640332"/>
    <w:rsid w:val="00680D2B"/>
    <w:rsid w:val="00681B32"/>
    <w:rsid w:val="00684163"/>
    <w:rsid w:val="00684602"/>
    <w:rsid w:val="00697887"/>
    <w:rsid w:val="006B1D2B"/>
    <w:rsid w:val="006B56A3"/>
    <w:rsid w:val="006C37D5"/>
    <w:rsid w:val="006C40ED"/>
    <w:rsid w:val="006E1131"/>
    <w:rsid w:val="006E1BE4"/>
    <w:rsid w:val="006E2037"/>
    <w:rsid w:val="006E6199"/>
    <w:rsid w:val="006F003F"/>
    <w:rsid w:val="00703C98"/>
    <w:rsid w:val="00712870"/>
    <w:rsid w:val="00714AC0"/>
    <w:rsid w:val="007333B5"/>
    <w:rsid w:val="0074147D"/>
    <w:rsid w:val="00743D85"/>
    <w:rsid w:val="0074489E"/>
    <w:rsid w:val="00744F8B"/>
    <w:rsid w:val="00753CF4"/>
    <w:rsid w:val="007565CC"/>
    <w:rsid w:val="00756AAD"/>
    <w:rsid w:val="00763B9A"/>
    <w:rsid w:val="007A6A56"/>
    <w:rsid w:val="007A6AA8"/>
    <w:rsid w:val="007B1357"/>
    <w:rsid w:val="007B3343"/>
    <w:rsid w:val="007E359E"/>
    <w:rsid w:val="00816C73"/>
    <w:rsid w:val="008310C9"/>
    <w:rsid w:val="00831215"/>
    <w:rsid w:val="008335F0"/>
    <w:rsid w:val="00834306"/>
    <w:rsid w:val="00853CC5"/>
    <w:rsid w:val="0087621D"/>
    <w:rsid w:val="00877E6E"/>
    <w:rsid w:val="008910C9"/>
    <w:rsid w:val="00892092"/>
    <w:rsid w:val="008B083A"/>
    <w:rsid w:val="008B32FE"/>
    <w:rsid w:val="008C7848"/>
    <w:rsid w:val="008E357B"/>
    <w:rsid w:val="00906589"/>
    <w:rsid w:val="00906AD6"/>
    <w:rsid w:val="00917AF2"/>
    <w:rsid w:val="0092418A"/>
    <w:rsid w:val="00934ED7"/>
    <w:rsid w:val="00940D16"/>
    <w:rsid w:val="009543C3"/>
    <w:rsid w:val="00966E1B"/>
    <w:rsid w:val="00972F51"/>
    <w:rsid w:val="00984A02"/>
    <w:rsid w:val="00985B68"/>
    <w:rsid w:val="00987F2D"/>
    <w:rsid w:val="009947C0"/>
    <w:rsid w:val="009A4039"/>
    <w:rsid w:val="009A41F9"/>
    <w:rsid w:val="009B79C2"/>
    <w:rsid w:val="009D6FB5"/>
    <w:rsid w:val="009F2D2C"/>
    <w:rsid w:val="009F5488"/>
    <w:rsid w:val="009F5580"/>
    <w:rsid w:val="00A012B1"/>
    <w:rsid w:val="00A03C0E"/>
    <w:rsid w:val="00A239D1"/>
    <w:rsid w:val="00A314E2"/>
    <w:rsid w:val="00A31928"/>
    <w:rsid w:val="00A35B27"/>
    <w:rsid w:val="00A507D4"/>
    <w:rsid w:val="00A52C65"/>
    <w:rsid w:val="00A62A14"/>
    <w:rsid w:val="00A6617B"/>
    <w:rsid w:val="00A71FE5"/>
    <w:rsid w:val="00A7534B"/>
    <w:rsid w:val="00A76007"/>
    <w:rsid w:val="00A86DD2"/>
    <w:rsid w:val="00A936CB"/>
    <w:rsid w:val="00A971A1"/>
    <w:rsid w:val="00AA3AD8"/>
    <w:rsid w:val="00AB0DC8"/>
    <w:rsid w:val="00AB405C"/>
    <w:rsid w:val="00AC015D"/>
    <w:rsid w:val="00AC6B2E"/>
    <w:rsid w:val="00AE09E7"/>
    <w:rsid w:val="00AE698D"/>
    <w:rsid w:val="00AF0286"/>
    <w:rsid w:val="00AF5326"/>
    <w:rsid w:val="00B019A2"/>
    <w:rsid w:val="00B0286E"/>
    <w:rsid w:val="00B033C8"/>
    <w:rsid w:val="00B33425"/>
    <w:rsid w:val="00B42334"/>
    <w:rsid w:val="00B44E24"/>
    <w:rsid w:val="00B54ECC"/>
    <w:rsid w:val="00B60AC0"/>
    <w:rsid w:val="00B714F3"/>
    <w:rsid w:val="00B73155"/>
    <w:rsid w:val="00B75A52"/>
    <w:rsid w:val="00B874C6"/>
    <w:rsid w:val="00B87B6B"/>
    <w:rsid w:val="00B9169E"/>
    <w:rsid w:val="00B975C4"/>
    <w:rsid w:val="00BC5388"/>
    <w:rsid w:val="00BC5D77"/>
    <w:rsid w:val="00BD2A22"/>
    <w:rsid w:val="00BD3887"/>
    <w:rsid w:val="00BD4283"/>
    <w:rsid w:val="00BF487A"/>
    <w:rsid w:val="00BF5544"/>
    <w:rsid w:val="00C0325B"/>
    <w:rsid w:val="00C04629"/>
    <w:rsid w:val="00C15F3E"/>
    <w:rsid w:val="00C46BD9"/>
    <w:rsid w:val="00C55258"/>
    <w:rsid w:val="00C73560"/>
    <w:rsid w:val="00C84DB7"/>
    <w:rsid w:val="00C87A35"/>
    <w:rsid w:val="00CA740D"/>
    <w:rsid w:val="00CB0F14"/>
    <w:rsid w:val="00CD659B"/>
    <w:rsid w:val="00CE0A43"/>
    <w:rsid w:val="00CF5230"/>
    <w:rsid w:val="00D00118"/>
    <w:rsid w:val="00D16749"/>
    <w:rsid w:val="00D40618"/>
    <w:rsid w:val="00D5024B"/>
    <w:rsid w:val="00D55D91"/>
    <w:rsid w:val="00D606E1"/>
    <w:rsid w:val="00D61962"/>
    <w:rsid w:val="00D66EF3"/>
    <w:rsid w:val="00D72623"/>
    <w:rsid w:val="00D83556"/>
    <w:rsid w:val="00D8466D"/>
    <w:rsid w:val="00DE5556"/>
    <w:rsid w:val="00DF4176"/>
    <w:rsid w:val="00E0095C"/>
    <w:rsid w:val="00E17240"/>
    <w:rsid w:val="00E666CC"/>
    <w:rsid w:val="00E74595"/>
    <w:rsid w:val="00E77485"/>
    <w:rsid w:val="00E95AB8"/>
    <w:rsid w:val="00E97A57"/>
    <w:rsid w:val="00EA0CFE"/>
    <w:rsid w:val="00EB1CB6"/>
    <w:rsid w:val="00EB7C57"/>
    <w:rsid w:val="00ED2695"/>
    <w:rsid w:val="00EE04BA"/>
    <w:rsid w:val="00EE47C4"/>
    <w:rsid w:val="00EF2D52"/>
    <w:rsid w:val="00F02281"/>
    <w:rsid w:val="00F06F93"/>
    <w:rsid w:val="00F273DC"/>
    <w:rsid w:val="00F30C9B"/>
    <w:rsid w:val="00F354B1"/>
    <w:rsid w:val="00F354D7"/>
    <w:rsid w:val="00F51BE4"/>
    <w:rsid w:val="00F61F49"/>
    <w:rsid w:val="00F6343F"/>
    <w:rsid w:val="00F65208"/>
    <w:rsid w:val="00F72776"/>
    <w:rsid w:val="00F7477C"/>
    <w:rsid w:val="00F8291B"/>
    <w:rsid w:val="00F92A40"/>
    <w:rsid w:val="00F943BD"/>
    <w:rsid w:val="00FB0E4E"/>
    <w:rsid w:val="00FC68F0"/>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6">
      <o:colormru v:ext="edit" colors="#d62a47,#f8f8f8"/>
    </o:shapedefaults>
    <o:shapelayout v:ext="edit">
      <o:idmap v:ext="edit" data="2"/>
    </o:shapelayout>
  </w:shapeDefaults>
  <w:decimalSymbol w:val="."/>
  <w:listSeparator w:val=","/>
  <w14:docId w14:val="65646D90"/>
  <w15:docId w15:val="{3E6FEDEB-DEE0-403F-B040-DB00420F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215"/>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D55D91"/>
    <w:pPr>
      <w:keepNext/>
      <w:keepLines/>
      <w:spacing w:before="480"/>
      <w:ind w:left="794" w:hanging="794"/>
      <w:outlineLvl w:val="0"/>
    </w:pPr>
    <w:rPr>
      <w:b/>
    </w:rPr>
  </w:style>
  <w:style w:type="paragraph" w:styleId="Heading2">
    <w:name w:val="heading 2"/>
    <w:basedOn w:val="Heading1"/>
    <w:next w:val="Normal"/>
    <w:link w:val="Heading2Char"/>
    <w:qFormat/>
    <w:rsid w:val="00D55D91"/>
    <w:pPr>
      <w:spacing w:before="320"/>
      <w:outlineLvl w:val="1"/>
    </w:pPr>
  </w:style>
  <w:style w:type="paragraph" w:styleId="Heading3">
    <w:name w:val="heading 3"/>
    <w:basedOn w:val="Heading1"/>
    <w:next w:val="Normal"/>
    <w:link w:val="Heading3Char"/>
    <w:qFormat/>
    <w:rsid w:val="00D55D91"/>
    <w:pPr>
      <w:spacing w:before="200"/>
      <w:outlineLvl w:val="2"/>
    </w:pPr>
  </w:style>
  <w:style w:type="paragraph" w:styleId="Heading4">
    <w:name w:val="heading 4"/>
    <w:basedOn w:val="Heading3"/>
    <w:next w:val="Normal"/>
    <w:link w:val="Heading4Char"/>
    <w:qFormat/>
    <w:rsid w:val="00D55D91"/>
    <w:pPr>
      <w:tabs>
        <w:tab w:val="clear" w:pos="794"/>
        <w:tab w:val="left" w:pos="992"/>
      </w:tabs>
      <w:ind w:left="992" w:hanging="992"/>
      <w:outlineLvl w:val="3"/>
    </w:pPr>
  </w:style>
  <w:style w:type="paragraph" w:styleId="Heading5">
    <w:name w:val="heading 5"/>
    <w:basedOn w:val="Heading4"/>
    <w:next w:val="Normal"/>
    <w:link w:val="Heading5Char"/>
    <w:qFormat/>
    <w:rsid w:val="00D55D91"/>
    <w:pPr>
      <w:outlineLvl w:val="4"/>
    </w:pPr>
  </w:style>
  <w:style w:type="paragraph" w:styleId="Heading6">
    <w:name w:val="heading 6"/>
    <w:basedOn w:val="Heading4"/>
    <w:next w:val="Normal"/>
    <w:link w:val="Heading6Char"/>
    <w:qFormat/>
    <w:rsid w:val="00D55D91"/>
    <w:pPr>
      <w:tabs>
        <w:tab w:val="clear" w:pos="992"/>
        <w:tab w:val="clear" w:pos="1191"/>
      </w:tabs>
      <w:ind w:left="1588" w:hanging="1588"/>
      <w:outlineLvl w:val="5"/>
    </w:pPr>
  </w:style>
  <w:style w:type="paragraph" w:styleId="Heading7">
    <w:name w:val="heading 7"/>
    <w:basedOn w:val="Heading6"/>
    <w:next w:val="Normal"/>
    <w:link w:val="Heading7Char"/>
    <w:qFormat/>
    <w:rsid w:val="00D55D91"/>
    <w:pPr>
      <w:outlineLvl w:val="6"/>
    </w:pPr>
  </w:style>
  <w:style w:type="paragraph" w:styleId="Heading8">
    <w:name w:val="heading 8"/>
    <w:basedOn w:val="Heading6"/>
    <w:next w:val="Normal"/>
    <w:link w:val="Heading8Char"/>
    <w:qFormat/>
    <w:rsid w:val="00D55D91"/>
    <w:pPr>
      <w:outlineLvl w:val="7"/>
    </w:pPr>
  </w:style>
  <w:style w:type="paragraph" w:styleId="Heading9">
    <w:name w:val="heading 9"/>
    <w:basedOn w:val="Heading6"/>
    <w:next w:val="Normal"/>
    <w:link w:val="Heading9Char"/>
    <w:qFormat/>
    <w:rsid w:val="00D55D91"/>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5D91"/>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D55D91"/>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D55D91"/>
  </w:style>
  <w:style w:type="paragraph" w:customStyle="1" w:styleId="Headingb">
    <w:name w:val="Heading_b"/>
    <w:basedOn w:val="Heading3"/>
    <w:next w:val="Normal"/>
    <w:link w:val="HeadingbChar"/>
    <w:rsid w:val="00D55D91"/>
    <w:pPr>
      <w:spacing w:before="160"/>
      <w:ind w:left="0" w:firstLine="0"/>
      <w:outlineLvl w:val="9"/>
    </w:pPr>
  </w:style>
  <w:style w:type="paragraph" w:customStyle="1" w:styleId="Headingi">
    <w:name w:val="Heading_i"/>
    <w:basedOn w:val="Heading3"/>
    <w:next w:val="Normal"/>
    <w:rsid w:val="00D55D91"/>
    <w:pPr>
      <w:spacing w:before="160"/>
      <w:ind w:left="0" w:firstLine="0"/>
    </w:pPr>
    <w:rPr>
      <w:b w:val="0"/>
      <w:i/>
    </w:rPr>
  </w:style>
  <w:style w:type="character" w:customStyle="1" w:styleId="href">
    <w:name w:val="href"/>
    <w:basedOn w:val="DefaultParagraphFont"/>
    <w:rsid w:val="00D55D91"/>
  </w:style>
  <w:style w:type="paragraph" w:customStyle="1" w:styleId="AnnexNoTitle">
    <w:name w:val="Annex_NoTitle"/>
    <w:basedOn w:val="Normal"/>
    <w:next w:val="Normalaftertitle"/>
    <w:rsid w:val="000E2BC3"/>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D55D91"/>
    <w:pPr>
      <w:spacing w:before="320"/>
    </w:pPr>
  </w:style>
  <w:style w:type="paragraph" w:customStyle="1" w:styleId="enumlev2">
    <w:name w:val="enumlev2"/>
    <w:basedOn w:val="enumlev1"/>
    <w:rsid w:val="00D55D91"/>
    <w:pPr>
      <w:ind w:left="1191" w:hanging="397"/>
    </w:pPr>
  </w:style>
  <w:style w:type="paragraph" w:customStyle="1" w:styleId="enumlev1">
    <w:name w:val="enumlev1"/>
    <w:basedOn w:val="Normal"/>
    <w:link w:val="enumlev1Char"/>
    <w:rsid w:val="00D55D91"/>
    <w:pPr>
      <w:spacing w:before="80"/>
      <w:ind w:left="794" w:hanging="794"/>
    </w:pPr>
  </w:style>
  <w:style w:type="paragraph" w:customStyle="1" w:styleId="enumlev3">
    <w:name w:val="enumlev3"/>
    <w:basedOn w:val="enumlev2"/>
    <w:rsid w:val="00D55D91"/>
    <w:pPr>
      <w:ind w:left="1588"/>
    </w:pPr>
  </w:style>
  <w:style w:type="paragraph" w:customStyle="1" w:styleId="Note">
    <w:name w:val="Note"/>
    <w:basedOn w:val="Normal"/>
    <w:link w:val="NoteChar"/>
    <w:rsid w:val="00D55D91"/>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D55D91"/>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D55D91"/>
    <w:pPr>
      <w:keepNext/>
      <w:keepLines/>
      <w:spacing w:before="240"/>
      <w:jc w:val="center"/>
    </w:pPr>
    <w:rPr>
      <w:b/>
      <w:sz w:val="28"/>
    </w:rPr>
  </w:style>
  <w:style w:type="paragraph" w:customStyle="1" w:styleId="Recref">
    <w:name w:val="Rec_ref"/>
    <w:basedOn w:val="Normal"/>
    <w:next w:val="Recdate"/>
    <w:rsid w:val="00D55D91"/>
    <w:pPr>
      <w:jc w:val="center"/>
    </w:pPr>
  </w:style>
  <w:style w:type="paragraph" w:customStyle="1" w:styleId="Recdate">
    <w:name w:val="Rec_date"/>
    <w:basedOn w:val="Recref"/>
    <w:next w:val="Normalaftertitle"/>
    <w:rsid w:val="00D55D91"/>
    <w:pPr>
      <w:jc w:val="right"/>
    </w:pPr>
  </w:style>
  <w:style w:type="paragraph" w:customStyle="1" w:styleId="HeadingSum">
    <w:name w:val="Heading_Sum"/>
    <w:basedOn w:val="Headingb"/>
    <w:next w:val="Normal"/>
    <w:autoRedefine/>
    <w:rsid w:val="00D55D91"/>
    <w:pPr>
      <w:spacing w:before="240"/>
    </w:pPr>
    <w:rPr>
      <w:sz w:val="22"/>
      <w:lang w:val="es-ES_tradnl"/>
    </w:rPr>
  </w:style>
  <w:style w:type="paragraph" w:customStyle="1" w:styleId="AppendixNoTitle">
    <w:name w:val="Appendix_NoTitle"/>
    <w:basedOn w:val="AnnexNoTitle"/>
    <w:next w:val="Normal"/>
    <w:rsid w:val="00D55D91"/>
  </w:style>
  <w:style w:type="paragraph" w:customStyle="1" w:styleId="Tablefin">
    <w:name w:val="Table_fin"/>
    <w:basedOn w:val="Normal"/>
    <w:next w:val="Normal"/>
    <w:rsid w:val="00D55D91"/>
    <w:pPr>
      <w:spacing w:before="0"/>
    </w:pPr>
    <w:rPr>
      <w:sz w:val="20"/>
    </w:rPr>
  </w:style>
  <w:style w:type="paragraph" w:customStyle="1" w:styleId="Tablehead">
    <w:name w:val="Table_head"/>
    <w:basedOn w:val="Normal"/>
    <w:next w:val="Normal"/>
    <w:link w:val="TableheadChar"/>
    <w:rsid w:val="00D55D9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D55D9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D55D91"/>
    <w:pPr>
      <w:keepNext/>
      <w:spacing w:before="360" w:after="120"/>
      <w:jc w:val="center"/>
    </w:pPr>
  </w:style>
  <w:style w:type="paragraph" w:customStyle="1" w:styleId="Tabletext">
    <w:name w:val="Table_text"/>
    <w:basedOn w:val="Normal"/>
    <w:link w:val="TabletextChar"/>
    <w:rsid w:val="00D55D9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D55D91"/>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D55D91"/>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D55D91"/>
    <w:pPr>
      <w:ind w:left="794"/>
    </w:pPr>
  </w:style>
  <w:style w:type="paragraph" w:customStyle="1" w:styleId="Figurelegend">
    <w:name w:val="Figure_legend"/>
    <w:basedOn w:val="Normal"/>
    <w:rsid w:val="00D55D91"/>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D55D91"/>
    <w:pPr>
      <w:keepNext/>
      <w:keepLines/>
      <w:spacing w:before="480" w:after="80"/>
      <w:jc w:val="center"/>
    </w:pPr>
    <w:rPr>
      <w:caps/>
      <w:sz w:val="18"/>
    </w:rPr>
  </w:style>
  <w:style w:type="paragraph" w:customStyle="1" w:styleId="Figuretitle">
    <w:name w:val="Figure_title"/>
    <w:basedOn w:val="Normal"/>
    <w:next w:val="Figure"/>
    <w:link w:val="FiguretitleChar"/>
    <w:rsid w:val="00D55D91"/>
    <w:pPr>
      <w:keepNext/>
      <w:spacing w:before="0" w:after="120"/>
      <w:jc w:val="center"/>
    </w:pPr>
    <w:rPr>
      <w:rFonts w:ascii="Times New Roman Bold" w:hAnsi="Times New Roman Bold"/>
      <w:b/>
      <w:sz w:val="18"/>
    </w:rPr>
  </w:style>
  <w:style w:type="paragraph" w:customStyle="1" w:styleId="Figure">
    <w:name w:val="Figure"/>
    <w:basedOn w:val="FigureNo"/>
    <w:next w:val="Normal"/>
    <w:rsid w:val="00D55D91"/>
    <w:pPr>
      <w:keepNext w:val="0"/>
      <w:spacing w:before="0" w:after="240"/>
    </w:pPr>
  </w:style>
  <w:style w:type="paragraph" w:customStyle="1" w:styleId="tocpart">
    <w:name w:val="tocpart"/>
    <w:basedOn w:val="Normal"/>
    <w:rsid w:val="00D55D91"/>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link w:val="ArtNoChar"/>
    <w:rsid w:val="00D55D91"/>
    <w:pPr>
      <w:keepNext/>
      <w:keepLines/>
      <w:spacing w:before="480"/>
      <w:jc w:val="center"/>
    </w:pPr>
    <w:rPr>
      <w:sz w:val="28"/>
    </w:rPr>
  </w:style>
  <w:style w:type="paragraph" w:customStyle="1" w:styleId="Arttitle">
    <w:name w:val="Art_title"/>
    <w:basedOn w:val="Normal"/>
    <w:next w:val="Normalaftertitle"/>
    <w:link w:val="ArttitleCar"/>
    <w:rsid w:val="00D55D91"/>
    <w:pPr>
      <w:keepNext/>
      <w:keepLines/>
      <w:spacing w:before="240"/>
      <w:jc w:val="center"/>
    </w:pPr>
    <w:rPr>
      <w:b/>
      <w:sz w:val="28"/>
    </w:rPr>
  </w:style>
  <w:style w:type="paragraph" w:customStyle="1" w:styleId="Blanc">
    <w:name w:val="Blanc"/>
    <w:basedOn w:val="Normal"/>
    <w:next w:val="Tabletext"/>
    <w:rsid w:val="00D55D91"/>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D55D9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D55D91"/>
    <w:pPr>
      <w:keepNext/>
      <w:keepLines/>
      <w:spacing w:before="160"/>
      <w:ind w:left="794"/>
    </w:pPr>
    <w:rPr>
      <w:i/>
    </w:rPr>
  </w:style>
  <w:style w:type="paragraph" w:customStyle="1" w:styleId="ChapNo">
    <w:name w:val="Chap_No"/>
    <w:basedOn w:val="ArtNo"/>
    <w:next w:val="Chaptitle"/>
    <w:rsid w:val="00D55D91"/>
    <w:rPr>
      <w:b/>
    </w:rPr>
  </w:style>
  <w:style w:type="paragraph" w:customStyle="1" w:styleId="Chaptitle">
    <w:name w:val="Chap_title"/>
    <w:basedOn w:val="Arttitle"/>
    <w:next w:val="Normalaftertitle"/>
    <w:rsid w:val="00D55D91"/>
  </w:style>
  <w:style w:type="character" w:styleId="FootnoteReference">
    <w:name w:val="footnote reference"/>
    <w:basedOn w:val="DefaultParagraphFont"/>
    <w:rsid w:val="00D55D91"/>
    <w:rPr>
      <w:position w:val="6"/>
      <w:sz w:val="18"/>
    </w:rPr>
  </w:style>
  <w:style w:type="paragraph" w:styleId="FootnoteText">
    <w:name w:val="footnote text"/>
    <w:basedOn w:val="Normal"/>
    <w:link w:val="FootnoteTextChar"/>
    <w:rsid w:val="00D55D91"/>
    <w:pPr>
      <w:keepLines/>
      <w:tabs>
        <w:tab w:val="left" w:pos="255"/>
      </w:tabs>
      <w:ind w:left="255" w:hanging="255"/>
    </w:pPr>
    <w:rPr>
      <w:sz w:val="22"/>
    </w:rPr>
  </w:style>
  <w:style w:type="paragraph" w:styleId="Index1">
    <w:name w:val="index 1"/>
    <w:basedOn w:val="Normal"/>
    <w:next w:val="Normal"/>
    <w:rsid w:val="00D55D91"/>
  </w:style>
  <w:style w:type="paragraph" w:styleId="Index2">
    <w:name w:val="index 2"/>
    <w:basedOn w:val="Normal"/>
    <w:next w:val="Normal"/>
    <w:rsid w:val="00D55D91"/>
    <w:pPr>
      <w:ind w:left="283"/>
    </w:pPr>
  </w:style>
  <w:style w:type="paragraph" w:styleId="Index3">
    <w:name w:val="index 3"/>
    <w:basedOn w:val="Normal"/>
    <w:next w:val="Normal"/>
    <w:rsid w:val="00D55D91"/>
    <w:pPr>
      <w:ind w:left="566"/>
    </w:pPr>
  </w:style>
  <w:style w:type="paragraph" w:styleId="IndexHeading">
    <w:name w:val="index heading"/>
    <w:basedOn w:val="Normal"/>
    <w:next w:val="Index1"/>
    <w:rsid w:val="00D55D91"/>
  </w:style>
  <w:style w:type="paragraph" w:customStyle="1" w:styleId="Line">
    <w:name w:val="Line"/>
    <w:basedOn w:val="Normal"/>
    <w:next w:val="Normal"/>
    <w:rsid w:val="00D55D91"/>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D55D91"/>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D55D91"/>
  </w:style>
  <w:style w:type="paragraph" w:customStyle="1" w:styleId="Partref">
    <w:name w:val="Part_ref"/>
    <w:basedOn w:val="Normal"/>
    <w:next w:val="Normal"/>
    <w:rsid w:val="00D55D91"/>
    <w:pPr>
      <w:keepNext/>
      <w:keepLines/>
      <w:spacing w:after="280"/>
      <w:jc w:val="center"/>
    </w:pPr>
  </w:style>
  <w:style w:type="paragraph" w:customStyle="1" w:styleId="Parttitle">
    <w:name w:val="Part_title"/>
    <w:basedOn w:val="Normal"/>
    <w:next w:val="Normalaftertitle"/>
    <w:rsid w:val="00D55D91"/>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D55D91"/>
  </w:style>
  <w:style w:type="paragraph" w:customStyle="1" w:styleId="QuestionNo">
    <w:name w:val="Question_No"/>
    <w:basedOn w:val="RecNo"/>
    <w:next w:val="Normal"/>
    <w:rsid w:val="00D55D91"/>
  </w:style>
  <w:style w:type="paragraph" w:customStyle="1" w:styleId="Questionref">
    <w:name w:val="Question_ref"/>
    <w:basedOn w:val="Recref"/>
    <w:next w:val="Questiondate"/>
    <w:rsid w:val="00D55D91"/>
  </w:style>
  <w:style w:type="paragraph" w:customStyle="1" w:styleId="Questiontitle">
    <w:name w:val="Question_title"/>
    <w:basedOn w:val="Normal"/>
    <w:next w:val="Questionref"/>
    <w:rsid w:val="00D55D91"/>
  </w:style>
  <w:style w:type="paragraph" w:customStyle="1" w:styleId="Reftext">
    <w:name w:val="Ref_text"/>
    <w:basedOn w:val="Normal"/>
    <w:rsid w:val="00D55D91"/>
    <w:pPr>
      <w:ind w:left="794" w:hanging="794"/>
    </w:pPr>
    <w:rPr>
      <w:sz w:val="22"/>
    </w:rPr>
  </w:style>
  <w:style w:type="paragraph" w:customStyle="1" w:styleId="Reftitle">
    <w:name w:val="Ref_title"/>
    <w:basedOn w:val="Normal"/>
    <w:next w:val="Reftext"/>
    <w:rsid w:val="00D55D91"/>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D55D91"/>
  </w:style>
  <w:style w:type="paragraph" w:customStyle="1" w:styleId="RepNo">
    <w:name w:val="Rep_No"/>
    <w:basedOn w:val="RecNo"/>
    <w:next w:val="Reptitle"/>
    <w:rsid w:val="00D55D91"/>
  </w:style>
  <w:style w:type="paragraph" w:customStyle="1" w:styleId="Reptitle">
    <w:name w:val="Rep_title"/>
    <w:basedOn w:val="Rectitle"/>
    <w:next w:val="Repref"/>
    <w:rsid w:val="00D55D91"/>
  </w:style>
  <w:style w:type="paragraph" w:customStyle="1" w:styleId="Repref">
    <w:name w:val="Rep_ref"/>
    <w:basedOn w:val="Recref"/>
    <w:next w:val="Repdate"/>
    <w:rsid w:val="00D55D91"/>
  </w:style>
  <w:style w:type="paragraph" w:customStyle="1" w:styleId="Resdate">
    <w:name w:val="Res_date"/>
    <w:basedOn w:val="Recdate"/>
    <w:next w:val="Normalaftertitle"/>
    <w:rsid w:val="00D55D91"/>
  </w:style>
  <w:style w:type="paragraph" w:customStyle="1" w:styleId="ResNo">
    <w:name w:val="Res_No"/>
    <w:basedOn w:val="RecNo"/>
    <w:next w:val="Restitle"/>
    <w:link w:val="ResNoChar"/>
    <w:rsid w:val="00D55D91"/>
  </w:style>
  <w:style w:type="paragraph" w:customStyle="1" w:styleId="Restitle">
    <w:name w:val="Res_title"/>
    <w:basedOn w:val="Normal"/>
    <w:next w:val="Resref"/>
    <w:link w:val="RestitleChar"/>
    <w:rsid w:val="00D55D91"/>
    <w:pPr>
      <w:spacing w:before="240"/>
      <w:jc w:val="center"/>
    </w:pPr>
    <w:rPr>
      <w:b/>
      <w:sz w:val="28"/>
    </w:rPr>
  </w:style>
  <w:style w:type="paragraph" w:customStyle="1" w:styleId="Resref">
    <w:name w:val="Res_ref"/>
    <w:basedOn w:val="Recref"/>
    <w:next w:val="Resdate"/>
    <w:rsid w:val="00D55D91"/>
  </w:style>
  <w:style w:type="paragraph" w:customStyle="1" w:styleId="SectionNo">
    <w:name w:val="Section_No"/>
    <w:basedOn w:val="Normal"/>
    <w:next w:val="Normal"/>
    <w:rsid w:val="00D55D91"/>
  </w:style>
  <w:style w:type="paragraph" w:customStyle="1" w:styleId="Sectiontitle">
    <w:name w:val="Section_title"/>
    <w:basedOn w:val="Normal"/>
    <w:next w:val="Normalaftertitle"/>
    <w:rsid w:val="00D55D91"/>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D55D91"/>
    <w:pPr>
      <w:tabs>
        <w:tab w:val="clear" w:pos="794"/>
        <w:tab w:val="clear" w:pos="1191"/>
        <w:tab w:val="clear" w:pos="1588"/>
        <w:tab w:val="clear" w:pos="1985"/>
        <w:tab w:val="right" w:pos="9611"/>
      </w:tabs>
    </w:pPr>
    <w:rPr>
      <w:i/>
    </w:rPr>
  </w:style>
  <w:style w:type="paragraph" w:styleId="TOC1">
    <w:name w:val="toc 1"/>
    <w:basedOn w:val="Normal"/>
    <w:rsid w:val="00D55D91"/>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D55D91"/>
    <w:pPr>
      <w:tabs>
        <w:tab w:val="clear" w:pos="567"/>
        <w:tab w:val="left" w:pos="1276"/>
      </w:tabs>
      <w:spacing w:before="160"/>
      <w:ind w:left="1276" w:hanging="709"/>
    </w:pPr>
  </w:style>
  <w:style w:type="paragraph" w:styleId="TOC3">
    <w:name w:val="toc 3"/>
    <w:basedOn w:val="TOC2"/>
    <w:rsid w:val="00D55D91"/>
    <w:pPr>
      <w:tabs>
        <w:tab w:val="clear" w:pos="1276"/>
        <w:tab w:val="left" w:pos="2155"/>
      </w:tabs>
      <w:ind w:left="2155" w:hanging="879"/>
    </w:pPr>
  </w:style>
  <w:style w:type="paragraph" w:styleId="TOC4">
    <w:name w:val="toc 4"/>
    <w:basedOn w:val="TOC3"/>
    <w:rsid w:val="00D55D91"/>
    <w:pPr>
      <w:tabs>
        <w:tab w:val="left" w:pos="3261"/>
      </w:tabs>
      <w:spacing w:before="80"/>
      <w:ind w:left="3261" w:hanging="993"/>
    </w:pPr>
  </w:style>
  <w:style w:type="paragraph" w:styleId="TOC5">
    <w:name w:val="toc 5"/>
    <w:basedOn w:val="TOC4"/>
    <w:rsid w:val="00D55D91"/>
  </w:style>
  <w:style w:type="paragraph" w:styleId="TOC6">
    <w:name w:val="toc 6"/>
    <w:basedOn w:val="TOC4"/>
    <w:rsid w:val="00D55D91"/>
  </w:style>
  <w:style w:type="paragraph" w:styleId="TOC7">
    <w:name w:val="toc 7"/>
    <w:basedOn w:val="TOC4"/>
    <w:rsid w:val="00D55D91"/>
  </w:style>
  <w:style w:type="paragraph" w:styleId="TOC8">
    <w:name w:val="toc 8"/>
    <w:basedOn w:val="TOC4"/>
    <w:rsid w:val="00D55D91"/>
  </w:style>
  <w:style w:type="paragraph" w:customStyle="1" w:styleId="Annexref">
    <w:name w:val="Annex_ref"/>
    <w:basedOn w:val="Normal"/>
    <w:next w:val="Normalaftertitle"/>
    <w:rsid w:val="00D55D91"/>
    <w:pPr>
      <w:keepNext/>
      <w:keepLines/>
      <w:spacing w:after="280"/>
      <w:jc w:val="center"/>
    </w:pPr>
  </w:style>
  <w:style w:type="paragraph" w:customStyle="1" w:styleId="Appendixref">
    <w:name w:val="Appendix_ref"/>
    <w:basedOn w:val="Annexref"/>
    <w:next w:val="Normalaftertitle"/>
    <w:rsid w:val="00D55D91"/>
  </w:style>
  <w:style w:type="paragraph" w:customStyle="1" w:styleId="Tabletitle">
    <w:name w:val="Table_title"/>
    <w:basedOn w:val="Normal"/>
    <w:next w:val="Tablehead"/>
    <w:link w:val="Tabletitle0"/>
    <w:rsid w:val="00D55D91"/>
    <w:pPr>
      <w:keepNext/>
      <w:spacing w:before="0" w:after="120"/>
      <w:jc w:val="center"/>
    </w:pPr>
    <w:rPr>
      <w:b/>
    </w:rPr>
  </w:style>
  <w:style w:type="paragraph" w:customStyle="1" w:styleId="Summary">
    <w:name w:val="Summary"/>
    <w:basedOn w:val="Normal"/>
    <w:next w:val="Normalaftertitle"/>
    <w:autoRedefine/>
    <w:rsid w:val="00F51BE4"/>
    <w:pPr>
      <w:spacing w:after="240"/>
    </w:pPr>
    <w:rPr>
      <w:sz w:val="22"/>
      <w:lang w:val="es-ES_tradnl"/>
    </w:rPr>
  </w:style>
  <w:style w:type="character" w:styleId="Hyperlink">
    <w:name w:val="Hyperlink"/>
    <w:basedOn w:val="DefaultParagraphFont"/>
    <w:uiPriority w:val="99"/>
    <w:rsid w:val="00934ED7"/>
    <w:rPr>
      <w:color w:val="0000FF"/>
      <w:u w:val="single"/>
    </w:rPr>
  </w:style>
  <w:style w:type="paragraph" w:customStyle="1" w:styleId="TableLegendNote">
    <w:name w:val="Table_Legend_Note"/>
    <w:basedOn w:val="Tablelegend"/>
    <w:next w:val="Tablelegend"/>
    <w:rsid w:val="00D55D91"/>
    <w:pPr>
      <w:ind w:left="-85" w:firstLine="0"/>
    </w:pPr>
    <w:rPr>
      <w:lang w:val="en-US"/>
    </w:rPr>
  </w:style>
  <w:style w:type="character" w:customStyle="1" w:styleId="HeaderChar">
    <w:name w:val="Header Char"/>
    <w:basedOn w:val="DefaultParagraphFont"/>
    <w:link w:val="Header"/>
    <w:rsid w:val="00EE47C4"/>
    <w:rPr>
      <w:sz w:val="24"/>
      <w:lang w:val="en-GB" w:eastAsia="en-US"/>
    </w:rPr>
  </w:style>
  <w:style w:type="table" w:styleId="TableGrid">
    <w:name w:val="Table Grid"/>
    <w:basedOn w:val="TableNormal"/>
    <w:uiPriority w:val="5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3244CE"/>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3244CE"/>
    <w:rPr>
      <w:vertAlign w:val="superscript"/>
    </w:rPr>
  </w:style>
  <w:style w:type="paragraph" w:customStyle="1" w:styleId="Figurewithouttitle">
    <w:name w:val="Figure_without_title"/>
    <w:basedOn w:val="FigureNo"/>
    <w:next w:val="Normal"/>
    <w:rsid w:val="003244CE"/>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3244CE"/>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3244CE"/>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SpecialFooter">
    <w:name w:val="Special Footer"/>
    <w:basedOn w:val="Footer"/>
    <w:rsid w:val="003244CE"/>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3244CE"/>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rsid w:val="003244CE"/>
    <w:pPr>
      <w:tabs>
        <w:tab w:val="left" w:pos="567"/>
        <w:tab w:val="left" w:pos="1701"/>
        <w:tab w:val="left" w:pos="2835"/>
      </w:tabs>
      <w:spacing w:before="240"/>
    </w:pPr>
    <w:rPr>
      <w:b w:val="0"/>
      <w:caps/>
    </w:rPr>
  </w:style>
  <w:style w:type="paragraph" w:customStyle="1" w:styleId="Title2">
    <w:name w:val="Title 2"/>
    <w:basedOn w:val="Source"/>
    <w:next w:val="Normal"/>
    <w:rsid w:val="003244CE"/>
    <w:pPr>
      <w:overflowPunct/>
      <w:autoSpaceDE/>
      <w:autoSpaceDN/>
      <w:adjustRightInd/>
      <w:spacing w:before="480"/>
      <w:textAlignment w:val="auto"/>
    </w:pPr>
    <w:rPr>
      <w:b w:val="0"/>
      <w:caps/>
    </w:rPr>
  </w:style>
  <w:style w:type="paragraph" w:customStyle="1" w:styleId="Title3">
    <w:name w:val="Title 3"/>
    <w:basedOn w:val="Title2"/>
    <w:next w:val="Normal"/>
    <w:rsid w:val="003244CE"/>
    <w:pPr>
      <w:spacing w:before="240"/>
    </w:pPr>
    <w:rPr>
      <w:caps w:val="0"/>
    </w:rPr>
  </w:style>
  <w:style w:type="paragraph" w:customStyle="1" w:styleId="Title4">
    <w:name w:val="Title 4"/>
    <w:basedOn w:val="Title3"/>
    <w:next w:val="Heading1"/>
    <w:rsid w:val="003244CE"/>
    <w:rPr>
      <w:b/>
    </w:rPr>
  </w:style>
  <w:style w:type="character" w:customStyle="1" w:styleId="Appdef">
    <w:name w:val="App_def"/>
    <w:basedOn w:val="DefaultParagraphFont"/>
    <w:rsid w:val="003244CE"/>
    <w:rPr>
      <w:rFonts w:ascii="Times New Roman" w:hAnsi="Times New Roman"/>
      <w:b/>
    </w:rPr>
  </w:style>
  <w:style w:type="character" w:customStyle="1" w:styleId="Appref">
    <w:name w:val="App_ref"/>
    <w:basedOn w:val="DefaultParagraphFont"/>
    <w:rsid w:val="003244CE"/>
  </w:style>
  <w:style w:type="character" w:customStyle="1" w:styleId="Artdef">
    <w:name w:val="Art_def"/>
    <w:basedOn w:val="DefaultParagraphFont"/>
    <w:rsid w:val="003244CE"/>
    <w:rPr>
      <w:rFonts w:ascii="Times New Roman" w:hAnsi="Times New Roman"/>
      <w:b/>
    </w:rPr>
  </w:style>
  <w:style w:type="character" w:customStyle="1" w:styleId="Artref">
    <w:name w:val="Art_ref"/>
    <w:basedOn w:val="DefaultParagraphFont"/>
    <w:rsid w:val="003244CE"/>
  </w:style>
  <w:style w:type="character" w:customStyle="1" w:styleId="Tablefreq">
    <w:name w:val="Table_freq"/>
    <w:basedOn w:val="DefaultParagraphFont"/>
    <w:rsid w:val="003244CE"/>
    <w:rPr>
      <w:b/>
      <w:color w:val="auto"/>
      <w:sz w:val="20"/>
    </w:rPr>
  </w:style>
  <w:style w:type="paragraph" w:customStyle="1" w:styleId="Formal">
    <w:name w:val="Formal"/>
    <w:basedOn w:val="ASN1"/>
    <w:rsid w:val="003244CE"/>
    <w:pPr>
      <w:tabs>
        <w:tab w:val="left" w:pos="1871"/>
      </w:tabs>
      <w:jc w:val="left"/>
    </w:pPr>
    <w:rPr>
      <w:rFonts w:ascii="Times New Roman Bold" w:hAnsi="Times New Roman Bold"/>
      <w:b w:val="0"/>
    </w:rPr>
  </w:style>
  <w:style w:type="paragraph" w:customStyle="1" w:styleId="Section1">
    <w:name w:val="Section_1"/>
    <w:basedOn w:val="Normal"/>
    <w:link w:val="Section1Char"/>
    <w:rsid w:val="003244CE"/>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3244CE"/>
    <w:rPr>
      <w:b w:val="0"/>
      <w:i/>
    </w:rPr>
  </w:style>
  <w:style w:type="paragraph" w:customStyle="1" w:styleId="AnnexNo">
    <w:name w:val="Annex_No"/>
    <w:basedOn w:val="Normal"/>
    <w:next w:val="Normal"/>
    <w:link w:val="AnnexNoCar"/>
    <w:rsid w:val="00D40618"/>
    <w:pPr>
      <w:keepNext/>
      <w:keepLines/>
      <w:tabs>
        <w:tab w:val="clear" w:pos="794"/>
        <w:tab w:val="clear" w:pos="1191"/>
        <w:tab w:val="clear" w:pos="1588"/>
        <w:tab w:val="clear" w:pos="1985"/>
        <w:tab w:val="left" w:pos="1134"/>
        <w:tab w:val="left" w:pos="1871"/>
        <w:tab w:val="left" w:pos="2268"/>
      </w:tabs>
      <w:spacing w:before="480" w:after="80"/>
      <w:jc w:val="center"/>
      <w:outlineLvl w:val="0"/>
    </w:pPr>
    <w:rPr>
      <w:caps/>
      <w:sz w:val="28"/>
    </w:rPr>
  </w:style>
  <w:style w:type="paragraph" w:customStyle="1" w:styleId="Annextitle">
    <w:name w:val="Annex_title"/>
    <w:basedOn w:val="Normal"/>
    <w:next w:val="Normal"/>
    <w:rsid w:val="003244C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3244CE"/>
  </w:style>
  <w:style w:type="paragraph" w:customStyle="1" w:styleId="Appendixtitle">
    <w:name w:val="Appendix_title"/>
    <w:basedOn w:val="Annextitle"/>
    <w:next w:val="Normal"/>
    <w:rsid w:val="003244CE"/>
  </w:style>
  <w:style w:type="paragraph" w:customStyle="1" w:styleId="Border">
    <w:name w:val="Border"/>
    <w:basedOn w:val="Normal"/>
    <w:rsid w:val="003244CE"/>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3244CE"/>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3244CE"/>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3244CE"/>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3244CE"/>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3244CE"/>
  </w:style>
  <w:style w:type="paragraph" w:customStyle="1" w:styleId="Normalaftertitle0">
    <w:name w:val="Normal after title"/>
    <w:basedOn w:val="Normal"/>
    <w:next w:val="Normal"/>
    <w:link w:val="NormalaftertitleChar0"/>
    <w:rsid w:val="003244CE"/>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link w:val="ProposalChar"/>
    <w:rsid w:val="003244CE"/>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3244CE"/>
    <w:pPr>
      <w:tabs>
        <w:tab w:val="clear" w:pos="794"/>
        <w:tab w:val="clear" w:pos="1191"/>
        <w:tab w:val="left" w:pos="1134"/>
      </w:tabs>
      <w:jc w:val="left"/>
    </w:pPr>
  </w:style>
  <w:style w:type="paragraph" w:customStyle="1" w:styleId="Section3">
    <w:name w:val="Section_3"/>
    <w:basedOn w:val="Section1"/>
    <w:rsid w:val="003244CE"/>
    <w:rPr>
      <w:b w:val="0"/>
    </w:rPr>
  </w:style>
  <w:style w:type="paragraph" w:customStyle="1" w:styleId="TableTextS5">
    <w:name w:val="Table_TextS5"/>
    <w:basedOn w:val="Normal"/>
    <w:link w:val="TableTextS5Char"/>
    <w:rsid w:val="003244CE"/>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3244C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3244CE"/>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3244CE"/>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3244CE"/>
  </w:style>
  <w:style w:type="paragraph" w:customStyle="1" w:styleId="Committee">
    <w:name w:val="Committee"/>
    <w:basedOn w:val="Normal"/>
    <w:qFormat/>
    <w:rsid w:val="003244C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erChar">
    <w:name w:val="Footer Char"/>
    <w:basedOn w:val="DefaultParagraphFont"/>
    <w:link w:val="Footer"/>
    <w:qFormat/>
    <w:rsid w:val="003244CE"/>
    <w:rPr>
      <w:noProof/>
      <w:sz w:val="18"/>
      <w:lang w:val="en-GB" w:eastAsia="en-US"/>
    </w:rPr>
  </w:style>
  <w:style w:type="character" w:customStyle="1" w:styleId="FootnoteTextChar">
    <w:name w:val="Footnote Text Char"/>
    <w:basedOn w:val="DefaultParagraphFont"/>
    <w:link w:val="FootnoteText"/>
    <w:rsid w:val="003244CE"/>
    <w:rPr>
      <w:sz w:val="22"/>
      <w:lang w:val="en-GB" w:eastAsia="en-US"/>
    </w:rPr>
  </w:style>
  <w:style w:type="paragraph" w:customStyle="1" w:styleId="Normalend">
    <w:name w:val="Normal_end"/>
    <w:basedOn w:val="Normal"/>
    <w:next w:val="Normal"/>
    <w:qFormat/>
    <w:rsid w:val="003244CE"/>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3244CE"/>
    <w:pPr>
      <w:keepNext/>
      <w:keepLines/>
    </w:pPr>
  </w:style>
  <w:style w:type="paragraph" w:customStyle="1" w:styleId="Subsection1">
    <w:name w:val="Subsection_1"/>
    <w:basedOn w:val="Section1"/>
    <w:next w:val="Normalaftertitle0"/>
    <w:qFormat/>
    <w:rsid w:val="003244CE"/>
  </w:style>
  <w:style w:type="paragraph" w:customStyle="1" w:styleId="Volumetitle">
    <w:name w:val="Volume_title"/>
    <w:basedOn w:val="Normal"/>
    <w:qFormat/>
    <w:rsid w:val="003244CE"/>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3244CE"/>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3244CE"/>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3244CE"/>
    <w:rPr>
      <w:rFonts w:ascii="Times New Roman" w:hAnsi="Times New Roman"/>
      <w:b w:val="0"/>
    </w:rPr>
  </w:style>
  <w:style w:type="paragraph" w:customStyle="1" w:styleId="Tablesplit">
    <w:name w:val="Table_split"/>
    <w:basedOn w:val="Tabletext"/>
    <w:qFormat/>
    <w:rsid w:val="003244CE"/>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3244CE"/>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3244CE"/>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3244CE"/>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3244CE"/>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3244CE"/>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3244CE"/>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3244CE"/>
    <w:rPr>
      <w:rFonts w:ascii="Times New Roman Bold" w:hAnsi="Times New Roman Bold"/>
      <w:b/>
      <w:sz w:val="18"/>
      <w:lang w:val="en-GB" w:eastAsia="en-US"/>
    </w:rPr>
  </w:style>
  <w:style w:type="paragraph" w:customStyle="1" w:styleId="Figurewithlegend">
    <w:name w:val="Figure_with_legend"/>
    <w:basedOn w:val="Figure"/>
    <w:rsid w:val="003244CE"/>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3244CE"/>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3244CE"/>
    <w:rPr>
      <w:sz w:val="24"/>
      <w:lang w:val="en-GB" w:eastAsia="en-US"/>
    </w:rPr>
  </w:style>
  <w:style w:type="character" w:styleId="PlaceholderText">
    <w:name w:val="Placeholder Text"/>
    <w:basedOn w:val="DefaultParagraphFont"/>
    <w:uiPriority w:val="99"/>
    <w:semiHidden/>
    <w:rsid w:val="003244CE"/>
    <w:rPr>
      <w:color w:val="808080"/>
    </w:rPr>
  </w:style>
  <w:style w:type="paragraph" w:customStyle="1" w:styleId="DocData">
    <w:name w:val="DocData"/>
    <w:basedOn w:val="Normal"/>
    <w:rsid w:val="003244CE"/>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jc w:val="left"/>
    </w:pPr>
    <w:rPr>
      <w:rFonts w:ascii="Verdana" w:hAnsi="Verdana"/>
      <w:b/>
      <w:sz w:val="20"/>
      <w:lang w:eastAsia="zh-CN"/>
    </w:rPr>
  </w:style>
  <w:style w:type="character" w:customStyle="1" w:styleId="Heading1Char">
    <w:name w:val="Heading 1 Char"/>
    <w:basedOn w:val="DefaultParagraphFont"/>
    <w:link w:val="Heading1"/>
    <w:rsid w:val="003244CE"/>
    <w:rPr>
      <w:b/>
      <w:sz w:val="24"/>
      <w:lang w:val="en-GB" w:eastAsia="en-US"/>
    </w:rPr>
  </w:style>
  <w:style w:type="character" w:customStyle="1" w:styleId="Heading2Char">
    <w:name w:val="Heading 2 Char"/>
    <w:basedOn w:val="DefaultParagraphFont"/>
    <w:link w:val="Heading2"/>
    <w:rsid w:val="003244CE"/>
    <w:rPr>
      <w:b/>
      <w:sz w:val="24"/>
      <w:lang w:val="en-GB" w:eastAsia="en-US"/>
    </w:rPr>
  </w:style>
  <w:style w:type="character" w:customStyle="1" w:styleId="Heading3Char">
    <w:name w:val="Heading 3 Char"/>
    <w:basedOn w:val="DefaultParagraphFont"/>
    <w:link w:val="Heading3"/>
    <w:rsid w:val="003244CE"/>
    <w:rPr>
      <w:b/>
      <w:sz w:val="24"/>
      <w:lang w:val="en-GB" w:eastAsia="en-US"/>
    </w:rPr>
  </w:style>
  <w:style w:type="character" w:customStyle="1" w:styleId="Heading4Char">
    <w:name w:val="Heading 4 Char"/>
    <w:basedOn w:val="DefaultParagraphFont"/>
    <w:link w:val="Heading4"/>
    <w:rsid w:val="003244CE"/>
    <w:rPr>
      <w:b/>
      <w:sz w:val="24"/>
      <w:lang w:val="en-GB" w:eastAsia="en-US"/>
    </w:rPr>
  </w:style>
  <w:style w:type="character" w:customStyle="1" w:styleId="Heading5Char">
    <w:name w:val="Heading 5 Char"/>
    <w:basedOn w:val="DefaultParagraphFont"/>
    <w:link w:val="Heading5"/>
    <w:rsid w:val="003244CE"/>
    <w:rPr>
      <w:b/>
      <w:sz w:val="24"/>
      <w:lang w:val="en-GB" w:eastAsia="en-US"/>
    </w:rPr>
  </w:style>
  <w:style w:type="character" w:customStyle="1" w:styleId="Heading6Char">
    <w:name w:val="Heading 6 Char"/>
    <w:basedOn w:val="DefaultParagraphFont"/>
    <w:link w:val="Heading6"/>
    <w:rsid w:val="003244CE"/>
    <w:rPr>
      <w:b/>
      <w:sz w:val="24"/>
      <w:lang w:val="en-GB" w:eastAsia="en-US"/>
    </w:rPr>
  </w:style>
  <w:style w:type="character" w:customStyle="1" w:styleId="Heading7Char">
    <w:name w:val="Heading 7 Char"/>
    <w:basedOn w:val="DefaultParagraphFont"/>
    <w:link w:val="Heading7"/>
    <w:rsid w:val="003244CE"/>
    <w:rPr>
      <w:b/>
      <w:sz w:val="24"/>
      <w:lang w:val="en-GB" w:eastAsia="en-US"/>
    </w:rPr>
  </w:style>
  <w:style w:type="character" w:customStyle="1" w:styleId="Heading8Char">
    <w:name w:val="Heading 8 Char"/>
    <w:basedOn w:val="DefaultParagraphFont"/>
    <w:link w:val="Heading8"/>
    <w:rsid w:val="003244CE"/>
    <w:rPr>
      <w:b/>
      <w:sz w:val="24"/>
      <w:lang w:val="en-GB" w:eastAsia="en-US"/>
    </w:rPr>
  </w:style>
  <w:style w:type="character" w:customStyle="1" w:styleId="Heading9Char">
    <w:name w:val="Heading 9 Char"/>
    <w:basedOn w:val="DefaultParagraphFont"/>
    <w:link w:val="Heading9"/>
    <w:rsid w:val="003244CE"/>
    <w:rPr>
      <w:b/>
      <w:sz w:val="24"/>
      <w:lang w:val="en-GB" w:eastAsia="en-US"/>
    </w:rPr>
  </w:style>
  <w:style w:type="character" w:customStyle="1" w:styleId="NormalaftertitleChar">
    <w:name w:val="Normal_after_title Char"/>
    <w:link w:val="Normalaftertitle"/>
    <w:locked/>
    <w:rsid w:val="003244CE"/>
    <w:rPr>
      <w:sz w:val="24"/>
      <w:lang w:val="en-GB" w:eastAsia="en-US"/>
    </w:rPr>
  </w:style>
  <w:style w:type="character" w:customStyle="1" w:styleId="ArtNoChar">
    <w:name w:val="Art_No Char"/>
    <w:link w:val="ArtNo"/>
    <w:locked/>
    <w:rsid w:val="003244CE"/>
    <w:rPr>
      <w:sz w:val="28"/>
      <w:lang w:val="en-GB" w:eastAsia="en-US"/>
    </w:rPr>
  </w:style>
  <w:style w:type="character" w:customStyle="1" w:styleId="ArttitleCar">
    <w:name w:val="Art_title Car"/>
    <w:link w:val="Arttitle"/>
    <w:locked/>
    <w:rsid w:val="003244CE"/>
    <w:rPr>
      <w:b/>
      <w:sz w:val="28"/>
      <w:lang w:val="en-GB" w:eastAsia="en-US"/>
    </w:rPr>
  </w:style>
  <w:style w:type="character" w:customStyle="1" w:styleId="CallChar">
    <w:name w:val="Call Char"/>
    <w:link w:val="Call"/>
    <w:rsid w:val="003244CE"/>
    <w:rPr>
      <w:i/>
      <w:sz w:val="24"/>
      <w:lang w:val="en-GB" w:eastAsia="en-US"/>
    </w:rPr>
  </w:style>
  <w:style w:type="character" w:customStyle="1" w:styleId="enumlev1Char">
    <w:name w:val="enumlev1 Char"/>
    <w:link w:val="enumlev1"/>
    <w:rsid w:val="003244CE"/>
    <w:rPr>
      <w:sz w:val="24"/>
      <w:lang w:val="en-GB" w:eastAsia="en-US"/>
    </w:rPr>
  </w:style>
  <w:style w:type="character" w:customStyle="1" w:styleId="EquationlegendChar">
    <w:name w:val="Equation_legend Char"/>
    <w:link w:val="Equationlegend"/>
    <w:locked/>
    <w:rsid w:val="003244CE"/>
    <w:rPr>
      <w:sz w:val="24"/>
      <w:lang w:eastAsia="en-US"/>
    </w:rPr>
  </w:style>
  <w:style w:type="character" w:customStyle="1" w:styleId="TabletextChar">
    <w:name w:val="Table_text Char"/>
    <w:link w:val="Tabletext"/>
    <w:locked/>
    <w:rsid w:val="003244CE"/>
    <w:rPr>
      <w:sz w:val="22"/>
      <w:lang w:val="en-GB" w:eastAsia="en-US"/>
    </w:rPr>
  </w:style>
  <w:style w:type="character" w:customStyle="1" w:styleId="FigureNoChar">
    <w:name w:val="Figure_No Char"/>
    <w:link w:val="FigureNo"/>
    <w:locked/>
    <w:rsid w:val="003244CE"/>
    <w:rPr>
      <w:caps/>
      <w:sz w:val="18"/>
      <w:lang w:val="en-GB" w:eastAsia="en-US"/>
    </w:rPr>
  </w:style>
  <w:style w:type="character" w:customStyle="1" w:styleId="NoteChar">
    <w:name w:val="Note Char"/>
    <w:link w:val="Note"/>
    <w:locked/>
    <w:rsid w:val="003244CE"/>
    <w:rPr>
      <w:sz w:val="22"/>
      <w:lang w:val="en-GB" w:eastAsia="en-US"/>
    </w:rPr>
  </w:style>
  <w:style w:type="character" w:customStyle="1" w:styleId="AnnexNoCar">
    <w:name w:val="Annex_No Car"/>
    <w:link w:val="AnnexNo"/>
    <w:locked/>
    <w:rsid w:val="00D40618"/>
    <w:rPr>
      <w:caps/>
      <w:sz w:val="28"/>
      <w:lang w:val="en-GB" w:eastAsia="en-US"/>
    </w:rPr>
  </w:style>
  <w:style w:type="character" w:customStyle="1" w:styleId="NormalaftertitleChar0">
    <w:name w:val="Normal after title Char"/>
    <w:link w:val="Normalaftertitle0"/>
    <w:rsid w:val="003244CE"/>
    <w:rPr>
      <w:sz w:val="24"/>
      <w:lang w:val="en-GB" w:eastAsia="en-US"/>
    </w:rPr>
  </w:style>
  <w:style w:type="character" w:customStyle="1" w:styleId="RecNoChar">
    <w:name w:val="Rec_No Char"/>
    <w:link w:val="RecNo"/>
    <w:locked/>
    <w:rsid w:val="003244CE"/>
    <w:rPr>
      <w:sz w:val="28"/>
      <w:lang w:val="en-GB" w:eastAsia="en-US"/>
    </w:rPr>
  </w:style>
  <w:style w:type="character" w:customStyle="1" w:styleId="RectitleChar">
    <w:name w:val="Rec_title Char"/>
    <w:link w:val="Rectitle"/>
    <w:locked/>
    <w:rsid w:val="003244CE"/>
    <w:rPr>
      <w:b/>
      <w:sz w:val="28"/>
      <w:lang w:val="en-GB" w:eastAsia="en-US"/>
    </w:rPr>
  </w:style>
  <w:style w:type="character" w:customStyle="1" w:styleId="ResNoChar">
    <w:name w:val="Res_No Char"/>
    <w:link w:val="ResNo"/>
    <w:locked/>
    <w:rsid w:val="003244CE"/>
    <w:rPr>
      <w:sz w:val="28"/>
      <w:lang w:val="en-GB" w:eastAsia="en-US"/>
    </w:rPr>
  </w:style>
  <w:style w:type="character" w:customStyle="1" w:styleId="RestitleChar">
    <w:name w:val="Res_title Char"/>
    <w:link w:val="Restitle"/>
    <w:locked/>
    <w:rsid w:val="003244CE"/>
    <w:rPr>
      <w:b/>
      <w:sz w:val="28"/>
      <w:lang w:val="en-GB" w:eastAsia="en-US"/>
    </w:rPr>
  </w:style>
  <w:style w:type="character" w:customStyle="1" w:styleId="SourceChar">
    <w:name w:val="Source Char"/>
    <w:link w:val="Source"/>
    <w:locked/>
    <w:rsid w:val="003244CE"/>
    <w:rPr>
      <w:b/>
      <w:sz w:val="28"/>
      <w:lang w:val="en-GB" w:eastAsia="en-US"/>
    </w:rPr>
  </w:style>
  <w:style w:type="character" w:customStyle="1" w:styleId="TableheadChar">
    <w:name w:val="Table_head Char"/>
    <w:link w:val="Tablehead"/>
    <w:locked/>
    <w:rsid w:val="003244CE"/>
    <w:rPr>
      <w:b/>
      <w:sz w:val="22"/>
      <w:lang w:val="en-GB" w:eastAsia="en-US"/>
    </w:rPr>
  </w:style>
  <w:style w:type="character" w:customStyle="1" w:styleId="TablelegendChar">
    <w:name w:val="Table_legend Char"/>
    <w:link w:val="Tablelegend"/>
    <w:rsid w:val="003244CE"/>
    <w:rPr>
      <w:sz w:val="22"/>
      <w:lang w:val="en-GB" w:eastAsia="en-US"/>
    </w:rPr>
  </w:style>
  <w:style w:type="character" w:customStyle="1" w:styleId="TableNo0">
    <w:name w:val="Table_No Знак"/>
    <w:link w:val="TableNo"/>
    <w:locked/>
    <w:rsid w:val="003244CE"/>
    <w:rPr>
      <w:sz w:val="24"/>
      <w:lang w:val="en-GB" w:eastAsia="en-US"/>
    </w:rPr>
  </w:style>
  <w:style w:type="character" w:customStyle="1" w:styleId="Tabletitle0">
    <w:name w:val="Table_title Знак"/>
    <w:link w:val="Tabletitle"/>
    <w:locked/>
    <w:rsid w:val="003244CE"/>
    <w:rPr>
      <w:b/>
      <w:sz w:val="24"/>
      <w:lang w:val="en-GB" w:eastAsia="en-US"/>
    </w:rPr>
  </w:style>
  <w:style w:type="character" w:customStyle="1" w:styleId="Title1Char">
    <w:name w:val="Title 1 Char"/>
    <w:link w:val="Title1"/>
    <w:rsid w:val="003244CE"/>
    <w:rPr>
      <w:caps/>
      <w:sz w:val="28"/>
      <w:lang w:val="en-GB" w:eastAsia="en-US"/>
    </w:rPr>
  </w:style>
  <w:style w:type="character" w:customStyle="1" w:styleId="Recdef">
    <w:name w:val="Rec_def"/>
    <w:basedOn w:val="DefaultParagraphFont"/>
    <w:rsid w:val="003244CE"/>
    <w:rPr>
      <w:b/>
    </w:rPr>
  </w:style>
  <w:style w:type="character" w:customStyle="1" w:styleId="Resdef">
    <w:name w:val="Res_def"/>
    <w:basedOn w:val="DefaultParagraphFont"/>
    <w:rsid w:val="003244CE"/>
    <w:rPr>
      <w:rFonts w:ascii="Times New Roman" w:hAnsi="Times New Roman"/>
      <w:b/>
    </w:rPr>
  </w:style>
  <w:style w:type="character" w:customStyle="1" w:styleId="Section1Char">
    <w:name w:val="Section_1 Char"/>
    <w:link w:val="Section1"/>
    <w:locked/>
    <w:rsid w:val="003244CE"/>
    <w:rPr>
      <w:b/>
      <w:sz w:val="24"/>
      <w:lang w:val="en-GB" w:eastAsia="en-US"/>
    </w:rPr>
  </w:style>
  <w:style w:type="character" w:customStyle="1" w:styleId="HeadingbChar">
    <w:name w:val="Heading_b Char"/>
    <w:link w:val="Headingb"/>
    <w:locked/>
    <w:rsid w:val="003244CE"/>
    <w:rPr>
      <w:b/>
      <w:sz w:val="24"/>
      <w:lang w:val="en-GB" w:eastAsia="en-US"/>
    </w:rPr>
  </w:style>
  <w:style w:type="character" w:customStyle="1" w:styleId="ProposalChar">
    <w:name w:val="Proposal Char"/>
    <w:link w:val="Proposal"/>
    <w:locked/>
    <w:rsid w:val="003244CE"/>
    <w:rPr>
      <w:rFonts w:hAnsi="Times New Roman Bold"/>
      <w:b/>
      <w:sz w:val="24"/>
      <w:lang w:val="en-GB" w:eastAsia="en-US"/>
    </w:rPr>
  </w:style>
  <w:style w:type="character" w:customStyle="1" w:styleId="TableTextS5Char">
    <w:name w:val="Table_TextS5 Char"/>
    <w:link w:val="TableTextS5"/>
    <w:rsid w:val="003244CE"/>
    <w:rPr>
      <w:lang w:val="en-GB" w:eastAsia="en-US"/>
    </w:rPr>
  </w:style>
  <w:style w:type="paragraph" w:styleId="BalloonText">
    <w:name w:val="Balloon Text"/>
    <w:basedOn w:val="Normal"/>
    <w:link w:val="BalloonTextChar"/>
    <w:rsid w:val="003244CE"/>
    <w:pPr>
      <w:tabs>
        <w:tab w:val="clear" w:pos="794"/>
        <w:tab w:val="clear" w:pos="1191"/>
        <w:tab w:val="clear" w:pos="1588"/>
        <w:tab w:val="clear" w:pos="1985"/>
        <w:tab w:val="left" w:pos="1134"/>
        <w:tab w:val="left" w:pos="1871"/>
        <w:tab w:val="left" w:pos="2268"/>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3244CE"/>
    <w:rPr>
      <w:rFonts w:ascii="Tahoma" w:hAnsi="Tahoma" w:cs="Tahoma"/>
      <w:sz w:val="16"/>
      <w:szCs w:val="16"/>
      <w:lang w:val="en-GB" w:eastAsia="en-US"/>
    </w:rPr>
  </w:style>
  <w:style w:type="paragraph" w:styleId="BodyText">
    <w:name w:val="Body Text"/>
    <w:basedOn w:val="Normal"/>
    <w:link w:val="BodyTextChar"/>
    <w:rsid w:val="003244CE"/>
    <w:pPr>
      <w:tabs>
        <w:tab w:val="clear" w:pos="794"/>
        <w:tab w:val="clear" w:pos="1191"/>
        <w:tab w:val="clear" w:pos="1588"/>
        <w:tab w:val="clear" w:pos="1985"/>
      </w:tabs>
      <w:overflowPunct/>
      <w:autoSpaceDE/>
      <w:autoSpaceDN/>
      <w:adjustRightInd/>
      <w:spacing w:before="0"/>
      <w:textAlignment w:val="auto"/>
    </w:pPr>
    <w:rPr>
      <w:rFonts w:ascii="Arial" w:hAnsi="Arial"/>
      <w:lang w:val="en-US"/>
    </w:rPr>
  </w:style>
  <w:style w:type="character" w:customStyle="1" w:styleId="BodyTextChar">
    <w:name w:val="Body Text Char"/>
    <w:basedOn w:val="DefaultParagraphFont"/>
    <w:link w:val="BodyText"/>
    <w:rsid w:val="003244CE"/>
    <w:rPr>
      <w:rFonts w:ascii="Arial" w:hAnsi="Arial"/>
      <w:sz w:val="24"/>
      <w:lang w:eastAsia="en-US"/>
    </w:rPr>
  </w:style>
  <w:style w:type="paragraph" w:customStyle="1" w:styleId="Discussion">
    <w:name w:val="Discussion"/>
    <w:basedOn w:val="Normal"/>
    <w:rsid w:val="003244CE"/>
    <w:pPr>
      <w:numPr>
        <w:numId w:val="13"/>
      </w:numPr>
      <w:tabs>
        <w:tab w:val="clear" w:pos="794"/>
        <w:tab w:val="clear" w:pos="1191"/>
        <w:tab w:val="clear" w:pos="1588"/>
        <w:tab w:val="clear" w:pos="1985"/>
        <w:tab w:val="left" w:pos="851"/>
      </w:tabs>
      <w:overflowPunct/>
      <w:autoSpaceDE/>
      <w:autoSpaceDN/>
      <w:adjustRightInd/>
      <w:spacing w:after="120"/>
      <w:textAlignment w:val="auto"/>
    </w:pPr>
    <w:rPr>
      <w:rFonts w:ascii="Arial" w:hAnsi="Arial"/>
      <w:sz w:val="22"/>
      <w:szCs w:val="22"/>
    </w:rPr>
  </w:style>
  <w:style w:type="paragraph" w:styleId="ListBullet3">
    <w:name w:val="List Bullet 3"/>
    <w:basedOn w:val="Normal"/>
    <w:autoRedefine/>
    <w:rsid w:val="003244CE"/>
    <w:pPr>
      <w:numPr>
        <w:numId w:val="12"/>
      </w:numPr>
      <w:tabs>
        <w:tab w:val="clear" w:pos="794"/>
        <w:tab w:val="clear" w:pos="1191"/>
        <w:tab w:val="clear" w:pos="1588"/>
        <w:tab w:val="clear" w:pos="1985"/>
        <w:tab w:val="num" w:pos="926"/>
      </w:tabs>
      <w:overflowPunct/>
      <w:autoSpaceDE/>
      <w:autoSpaceDN/>
      <w:adjustRightInd/>
      <w:spacing w:before="0"/>
      <w:ind w:left="926"/>
      <w:jc w:val="left"/>
      <w:textAlignment w:val="auto"/>
    </w:pPr>
    <w:rPr>
      <w:sz w:val="20"/>
      <w:lang w:val="en-US"/>
    </w:rPr>
  </w:style>
  <w:style w:type="paragraph" w:styleId="BlockText">
    <w:name w:val="Block Text"/>
    <w:basedOn w:val="Normal"/>
    <w:rsid w:val="003244CE"/>
    <w:pPr>
      <w:tabs>
        <w:tab w:val="clear" w:pos="794"/>
        <w:tab w:val="clear" w:pos="1191"/>
        <w:tab w:val="clear" w:pos="1588"/>
        <w:tab w:val="clear" w:pos="1985"/>
        <w:tab w:val="left" w:pos="8789"/>
      </w:tabs>
      <w:overflowPunct/>
      <w:autoSpaceDE/>
      <w:autoSpaceDN/>
      <w:adjustRightInd/>
      <w:spacing w:before="0"/>
      <w:ind w:left="851" w:right="283"/>
      <w:textAlignment w:val="auto"/>
    </w:pPr>
    <w:rPr>
      <w:rFonts w:ascii="Arial" w:hAnsi="Arial" w:cs="Arial"/>
      <w:sz w:val="22"/>
      <w:szCs w:val="22"/>
      <w:lang w:eastAsia="fr-FR"/>
    </w:rPr>
  </w:style>
  <w:style w:type="paragraph" w:styleId="BodyText2">
    <w:name w:val="Body Text 2"/>
    <w:basedOn w:val="Normal"/>
    <w:link w:val="BodyText2Char"/>
    <w:rsid w:val="003244CE"/>
    <w:pP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b/>
      <w:bCs/>
      <w:sz w:val="22"/>
      <w:szCs w:val="24"/>
      <w:lang w:val="en-US" w:eastAsia="zh-CN"/>
    </w:rPr>
  </w:style>
  <w:style w:type="character" w:customStyle="1" w:styleId="BodyText2Char">
    <w:name w:val="Body Text 2 Char"/>
    <w:basedOn w:val="DefaultParagraphFont"/>
    <w:link w:val="BodyText2"/>
    <w:rsid w:val="003244CE"/>
    <w:rPr>
      <w:rFonts w:ascii="Arial" w:eastAsia="SimSun" w:hAnsi="Arial"/>
      <w:b/>
      <w:bCs/>
      <w:sz w:val="22"/>
      <w:szCs w:val="24"/>
    </w:rPr>
  </w:style>
  <w:style w:type="paragraph" w:styleId="BodyText3">
    <w:name w:val="Body Text 3"/>
    <w:basedOn w:val="Normal"/>
    <w:link w:val="BodyText3Char"/>
    <w:rsid w:val="003244CE"/>
    <w:pPr>
      <w:tabs>
        <w:tab w:val="clear" w:pos="794"/>
        <w:tab w:val="clear" w:pos="1191"/>
        <w:tab w:val="clear" w:pos="1588"/>
        <w:tab w:val="clear" w:pos="1985"/>
        <w:tab w:val="num" w:pos="720"/>
      </w:tabs>
      <w:overflowPunct/>
      <w:autoSpaceDE/>
      <w:autoSpaceDN/>
      <w:adjustRightInd/>
      <w:spacing w:before="0"/>
      <w:textAlignment w:val="auto"/>
    </w:pPr>
    <w:rPr>
      <w:rFonts w:ascii="Arial" w:eastAsia="SimSun" w:hAnsi="Arial"/>
      <w:sz w:val="22"/>
      <w:szCs w:val="24"/>
      <w:lang w:eastAsia="zh-CN"/>
    </w:rPr>
  </w:style>
  <w:style w:type="character" w:customStyle="1" w:styleId="BodyText3Char">
    <w:name w:val="Body Text 3 Char"/>
    <w:basedOn w:val="DefaultParagraphFont"/>
    <w:link w:val="BodyText3"/>
    <w:rsid w:val="003244CE"/>
    <w:rPr>
      <w:rFonts w:ascii="Arial" w:eastAsia="SimSun" w:hAnsi="Arial"/>
      <w:sz w:val="22"/>
      <w:szCs w:val="24"/>
      <w:lang w:val="en-GB"/>
    </w:rPr>
  </w:style>
  <w:style w:type="paragraph" w:styleId="NormalWeb">
    <w:name w:val="Normal (Web)"/>
    <w:basedOn w:val="Normal"/>
    <w:rsid w:val="003244C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eastAsia="Arial Unicode MS" w:hAnsi="Arial Unicode MS" w:cs="Arial Unicode MS"/>
      <w:szCs w:val="24"/>
    </w:rPr>
  </w:style>
  <w:style w:type="paragraph" w:customStyle="1" w:styleId="OmniPage257">
    <w:name w:val="OmniPage #257"/>
    <w:rsid w:val="003244CE"/>
    <w:pPr>
      <w:tabs>
        <w:tab w:val="left" w:pos="4263"/>
        <w:tab w:val="right" w:pos="7223"/>
      </w:tabs>
      <w:jc w:val="center"/>
    </w:pPr>
    <w:rPr>
      <w:rFonts w:ascii="Arial" w:hAnsi="Arial"/>
      <w:sz w:val="22"/>
      <w:szCs w:val="22"/>
      <w:lang w:eastAsia="en-US"/>
    </w:rPr>
  </w:style>
  <w:style w:type="paragraph" w:customStyle="1" w:styleId="Char1CharCharCarCar">
    <w:name w:val="Char1 Char Char Car Car"/>
    <w:basedOn w:val="Normal"/>
    <w:rsid w:val="003244CE"/>
    <w:pPr>
      <w:tabs>
        <w:tab w:val="clear" w:pos="794"/>
        <w:tab w:val="clear" w:pos="1191"/>
        <w:tab w:val="clear" w:pos="1588"/>
        <w:tab w:val="clear" w:pos="1985"/>
      </w:tabs>
      <w:overflowPunct/>
      <w:autoSpaceDE/>
      <w:autoSpaceDN/>
      <w:adjustRightInd/>
      <w:spacing w:before="0"/>
      <w:jc w:val="left"/>
      <w:textAlignment w:val="auto"/>
    </w:pPr>
    <w:rPr>
      <w:szCs w:val="24"/>
      <w:lang w:val="pl-PL" w:eastAsia="pl-PL"/>
    </w:rPr>
  </w:style>
  <w:style w:type="paragraph" w:customStyle="1" w:styleId="CharCharChar">
    <w:name w:val="Char Char Char"/>
    <w:basedOn w:val="Normal"/>
    <w:rsid w:val="003244CE"/>
    <w:pPr>
      <w:tabs>
        <w:tab w:val="clear" w:pos="794"/>
        <w:tab w:val="clear" w:pos="1191"/>
        <w:tab w:val="clear" w:pos="1588"/>
        <w:tab w:val="clear" w:pos="1985"/>
      </w:tabs>
      <w:overflowPunct/>
      <w:autoSpaceDE/>
      <w:autoSpaceDN/>
      <w:adjustRightInd/>
      <w:spacing w:before="0"/>
      <w:jc w:val="left"/>
      <w:textAlignment w:val="auto"/>
    </w:pPr>
    <w:rPr>
      <w:szCs w:val="24"/>
      <w:lang w:val="pl-PL" w:eastAsia="pl-PL"/>
    </w:rPr>
  </w:style>
  <w:style w:type="paragraph" w:customStyle="1" w:styleId="Default">
    <w:name w:val="Default"/>
    <w:rsid w:val="003244CE"/>
    <w:pPr>
      <w:autoSpaceDE w:val="0"/>
      <w:autoSpaceDN w:val="0"/>
      <w:adjustRightInd w:val="0"/>
    </w:pPr>
    <w:rPr>
      <w:rFonts w:ascii="Arial" w:eastAsia="SimSun" w:hAnsi="Arial" w:cs="Arial"/>
      <w:color w:val="000000"/>
      <w:sz w:val="24"/>
      <w:szCs w:val="24"/>
      <w:lang w:val="en-GB" w:eastAsia="en-GB"/>
    </w:rPr>
  </w:style>
  <w:style w:type="paragraph" w:customStyle="1" w:styleId="A-123">
    <w:name w:val="A-1.2.3"/>
    <w:basedOn w:val="A-12"/>
    <w:next w:val="BodyText"/>
    <w:autoRedefine/>
    <w:rsid w:val="003244CE"/>
    <w:pPr>
      <w:numPr>
        <w:ilvl w:val="2"/>
        <w:numId w:val="14"/>
      </w:numPr>
    </w:pPr>
  </w:style>
  <w:style w:type="paragraph" w:customStyle="1" w:styleId="A-12">
    <w:name w:val="A-1.2"/>
    <w:basedOn w:val="Normal"/>
    <w:next w:val="BlockText"/>
    <w:autoRedefine/>
    <w:rsid w:val="003244CE"/>
    <w:pPr>
      <w:keepNext/>
      <w:tabs>
        <w:tab w:val="clear" w:pos="794"/>
        <w:tab w:val="clear" w:pos="1191"/>
        <w:tab w:val="clear" w:pos="1588"/>
        <w:tab w:val="clear" w:pos="1985"/>
      </w:tabs>
      <w:overflowPunct/>
      <w:autoSpaceDE/>
      <w:autoSpaceDN/>
      <w:adjustRightInd/>
      <w:spacing w:before="240" w:after="60"/>
      <w:jc w:val="left"/>
      <w:textAlignment w:val="auto"/>
      <w:outlineLvl w:val="2"/>
    </w:pPr>
    <w:rPr>
      <w:rFonts w:ascii="Arial" w:hAnsi="Arial" w:cs="Arial"/>
      <w:b/>
      <w:bCs/>
      <w:szCs w:val="22"/>
      <w:lang w:eastAsia="it-IT"/>
    </w:rPr>
  </w:style>
  <w:style w:type="paragraph" w:customStyle="1" w:styleId="A-1">
    <w:name w:val="A-1"/>
    <w:basedOn w:val="Normal"/>
    <w:autoRedefine/>
    <w:rsid w:val="003244CE"/>
    <w:pPr>
      <w:keepNext/>
      <w:tabs>
        <w:tab w:val="clear" w:pos="794"/>
        <w:tab w:val="clear" w:pos="1191"/>
        <w:tab w:val="clear" w:pos="1588"/>
        <w:tab w:val="clear" w:pos="1985"/>
      </w:tabs>
      <w:overflowPunct/>
      <w:autoSpaceDE/>
      <w:autoSpaceDN/>
      <w:adjustRightInd/>
      <w:spacing w:before="240" w:after="60"/>
      <w:jc w:val="left"/>
      <w:textAlignment w:val="auto"/>
      <w:outlineLvl w:val="1"/>
    </w:pPr>
    <w:rPr>
      <w:rFonts w:ascii="Arial Bold" w:hAnsi="Arial Bold" w:cs="Arial"/>
      <w:b/>
      <w:bCs/>
      <w:iCs/>
      <w:caps/>
      <w:sz w:val="28"/>
      <w:szCs w:val="28"/>
      <w:lang w:eastAsia="it-IT"/>
    </w:rPr>
  </w:style>
  <w:style w:type="paragraph" w:customStyle="1" w:styleId="CharCharZchnZchnCharChar1ZchnZchn">
    <w:name w:val="Char Char Zchn Zchn Char Char1 Zchn Zchn"/>
    <w:basedOn w:val="Normal"/>
    <w:rsid w:val="003244CE"/>
    <w:pPr>
      <w:tabs>
        <w:tab w:val="clear" w:pos="794"/>
        <w:tab w:val="clear" w:pos="1191"/>
        <w:tab w:val="clear" w:pos="1588"/>
        <w:tab w:val="clear" w:pos="1985"/>
      </w:tabs>
      <w:overflowPunct/>
      <w:autoSpaceDE/>
      <w:autoSpaceDN/>
      <w:adjustRightInd/>
      <w:spacing w:before="0"/>
      <w:jc w:val="left"/>
      <w:textAlignment w:val="auto"/>
    </w:pPr>
    <w:rPr>
      <w:szCs w:val="24"/>
      <w:lang w:val="pl-PL" w:eastAsia="pl-PL"/>
    </w:rPr>
  </w:style>
  <w:style w:type="character" w:styleId="FollowedHyperlink">
    <w:name w:val="FollowedHyperlink"/>
    <w:basedOn w:val="DefaultParagraphFont"/>
    <w:rsid w:val="003244CE"/>
    <w:rPr>
      <w:rFonts w:cs="Times New Roman"/>
      <w:color w:val="800080"/>
      <w:u w:val="single"/>
    </w:rPr>
  </w:style>
  <w:style w:type="paragraph" w:customStyle="1" w:styleId="font5">
    <w:name w:val="font5"/>
    <w:basedOn w:val="Normal"/>
    <w:rsid w:val="003244C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Narrow" w:eastAsia="MS Mincho" w:hAnsi="Arial Narrow"/>
      <w:sz w:val="20"/>
      <w:lang w:val="en-US" w:eastAsia="ja-JP"/>
    </w:rPr>
  </w:style>
  <w:style w:type="paragraph" w:customStyle="1" w:styleId="font6">
    <w:name w:val="font6"/>
    <w:basedOn w:val="Normal"/>
    <w:rsid w:val="003244C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Narrow" w:eastAsia="MS Mincho" w:hAnsi="Arial Narrow"/>
      <w:i/>
      <w:iCs/>
      <w:sz w:val="20"/>
      <w:lang w:val="en-US" w:eastAsia="ja-JP"/>
    </w:rPr>
  </w:style>
  <w:style w:type="paragraph" w:customStyle="1" w:styleId="xl24">
    <w:name w:val="xl24"/>
    <w:basedOn w:val="Normal"/>
    <w:rsid w:val="003244CE"/>
    <w:pP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ascii="Arial Narrow" w:eastAsia="MS Mincho" w:hAnsi="Arial Narrow"/>
      <w:szCs w:val="24"/>
      <w:lang w:val="en-US" w:eastAsia="ja-JP"/>
    </w:rPr>
  </w:style>
  <w:style w:type="paragraph" w:customStyle="1" w:styleId="xl25">
    <w:name w:val="xl25"/>
    <w:basedOn w:val="Normal"/>
    <w:rsid w:val="003244CE"/>
    <w:pP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ascii="Arial Narrow" w:eastAsia="MS Mincho" w:hAnsi="Arial Narrow"/>
      <w:szCs w:val="24"/>
      <w:lang w:val="en-US" w:eastAsia="ja-JP"/>
    </w:rPr>
  </w:style>
  <w:style w:type="paragraph" w:customStyle="1" w:styleId="xl26">
    <w:name w:val="xl26"/>
    <w:basedOn w:val="Normal"/>
    <w:rsid w:val="003244CE"/>
    <w:pPr>
      <w:shd w:val="clear" w:color="auto" w:fill="00FFFF"/>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27">
    <w:name w:val="xl27"/>
    <w:basedOn w:val="Normal"/>
    <w:rsid w:val="003244CE"/>
    <w:pPr>
      <w:pBdr>
        <w:top w:val="single" w:sz="8" w:space="0" w:color="auto"/>
        <w:left w:val="single" w:sz="8" w:space="0" w:color="auto"/>
        <w:right w:val="single" w:sz="8" w:space="0" w:color="auto"/>
      </w:pBdr>
      <w:shd w:val="clear" w:color="auto" w:fill="00FFFF"/>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28">
    <w:name w:val="xl28"/>
    <w:basedOn w:val="Normal"/>
    <w:rsid w:val="003244CE"/>
    <w:pPr>
      <w:shd w:val="clear" w:color="auto" w:fill="00FFFF"/>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29">
    <w:name w:val="xl29"/>
    <w:basedOn w:val="Normal"/>
    <w:rsid w:val="003244CE"/>
    <w:pP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eastAsia="MS Mincho"/>
      <w:szCs w:val="24"/>
      <w:lang w:val="en-US" w:eastAsia="ja-JP"/>
    </w:rPr>
  </w:style>
  <w:style w:type="paragraph" w:customStyle="1" w:styleId="xl30">
    <w:name w:val="xl30"/>
    <w:basedOn w:val="Normal"/>
    <w:rsid w:val="003244CE"/>
    <w:pPr>
      <w:pBdr>
        <w:left w:val="single" w:sz="8" w:space="0" w:color="auto"/>
        <w:right w:val="single" w:sz="8" w:space="0" w:color="auto"/>
      </w:pBdr>
      <w:shd w:val="clear" w:color="auto" w:fill="00FFFF"/>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ascii="Arial Narrow" w:eastAsia="MS Mincho" w:hAnsi="Arial Narrow"/>
      <w:szCs w:val="24"/>
      <w:lang w:val="en-US" w:eastAsia="ja-JP"/>
    </w:rPr>
  </w:style>
  <w:style w:type="paragraph" w:customStyle="1" w:styleId="xl31">
    <w:name w:val="xl31"/>
    <w:basedOn w:val="Normal"/>
    <w:rsid w:val="003244CE"/>
    <w:pP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ascii="Arial Narrow" w:eastAsia="MS Mincho" w:hAnsi="Arial Narrow"/>
      <w:color w:val="333300"/>
      <w:szCs w:val="24"/>
      <w:lang w:val="en-US" w:eastAsia="ja-JP"/>
    </w:rPr>
  </w:style>
  <w:style w:type="paragraph" w:customStyle="1" w:styleId="xl32">
    <w:name w:val="xl32"/>
    <w:basedOn w:val="Normal"/>
    <w:rsid w:val="003244CE"/>
    <w:pP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ascii="Arial Narrow" w:eastAsia="MS Mincho" w:hAnsi="Arial Narrow"/>
      <w:szCs w:val="24"/>
      <w:lang w:val="en-US" w:eastAsia="ja-JP"/>
    </w:rPr>
  </w:style>
  <w:style w:type="paragraph" w:customStyle="1" w:styleId="xl33">
    <w:name w:val="xl33"/>
    <w:basedOn w:val="Normal"/>
    <w:rsid w:val="003244CE"/>
    <w:pPr>
      <w:pBdr>
        <w:top w:val="single" w:sz="8" w:space="0" w:color="auto"/>
        <w:left w:val="single" w:sz="8" w:space="0" w:color="auto"/>
      </w:pBdr>
      <w:shd w:val="clear" w:color="auto" w:fill="00FFFF"/>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34">
    <w:name w:val="xl34"/>
    <w:basedOn w:val="Normal"/>
    <w:rsid w:val="003244CE"/>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eastAsia="MS Mincho"/>
      <w:szCs w:val="24"/>
      <w:lang w:val="en-US" w:eastAsia="ja-JP"/>
    </w:rPr>
  </w:style>
  <w:style w:type="paragraph" w:customStyle="1" w:styleId="xl35">
    <w:name w:val="xl35"/>
    <w:basedOn w:val="Normal"/>
    <w:rsid w:val="003244CE"/>
    <w:pPr>
      <w:shd w:val="clear" w:color="auto" w:fill="00FFFF"/>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ascii="Arial Narrow" w:eastAsia="MS Mincho" w:hAnsi="Arial Narrow"/>
      <w:szCs w:val="24"/>
      <w:lang w:val="en-US" w:eastAsia="ja-JP"/>
    </w:rPr>
  </w:style>
  <w:style w:type="paragraph" w:customStyle="1" w:styleId="xl36">
    <w:name w:val="xl36"/>
    <w:basedOn w:val="Normal"/>
    <w:rsid w:val="003244CE"/>
    <w:pPr>
      <w:pBdr>
        <w:top w:val="single" w:sz="8" w:space="0" w:color="auto"/>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eastAsia="MS Mincho"/>
      <w:szCs w:val="24"/>
      <w:lang w:val="en-US" w:eastAsia="ja-JP"/>
    </w:rPr>
  </w:style>
  <w:style w:type="paragraph" w:customStyle="1" w:styleId="xl37">
    <w:name w:val="xl37"/>
    <w:basedOn w:val="Normal"/>
    <w:rsid w:val="003244CE"/>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eastAsia="MS Mincho"/>
      <w:szCs w:val="24"/>
      <w:lang w:val="en-US" w:eastAsia="ja-JP"/>
    </w:rPr>
  </w:style>
  <w:style w:type="paragraph" w:customStyle="1" w:styleId="xl38">
    <w:name w:val="xl38"/>
    <w:basedOn w:val="Normal"/>
    <w:rsid w:val="003244CE"/>
    <w:pPr>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39">
    <w:name w:val="xl39"/>
    <w:basedOn w:val="Normal"/>
    <w:rsid w:val="003244CE"/>
    <w:pP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eastAsia="MS Mincho"/>
      <w:szCs w:val="24"/>
      <w:lang w:val="en-US" w:eastAsia="ja-JP"/>
    </w:rPr>
  </w:style>
  <w:style w:type="character" w:customStyle="1" w:styleId="Caractresdenotedebasdepage">
    <w:name w:val="Caractères de note de bas de page"/>
    <w:basedOn w:val="DefaultParagraphFont"/>
    <w:rsid w:val="003244CE"/>
    <w:rPr>
      <w:rFonts w:cs="Times New Roman"/>
      <w:vertAlign w:val="superscript"/>
    </w:rPr>
  </w:style>
  <w:style w:type="paragraph" w:styleId="Caption">
    <w:name w:val="caption"/>
    <w:aliases w:val="topic,c,C"/>
    <w:basedOn w:val="Normal"/>
    <w:next w:val="Normal"/>
    <w:qFormat/>
    <w:rsid w:val="003244CE"/>
    <w:pPr>
      <w:tabs>
        <w:tab w:val="clear" w:pos="794"/>
        <w:tab w:val="clear" w:pos="1191"/>
        <w:tab w:val="clear" w:pos="1588"/>
        <w:tab w:val="clear" w:pos="1985"/>
      </w:tabs>
      <w:overflowPunct/>
      <w:autoSpaceDE/>
      <w:autoSpaceDN/>
      <w:adjustRightInd/>
      <w:spacing w:before="0" w:after="200"/>
      <w:jc w:val="left"/>
      <w:textAlignment w:val="auto"/>
    </w:pPr>
    <w:rPr>
      <w:rFonts w:ascii="Arial" w:hAnsi="Arial"/>
      <w:b/>
      <w:bCs/>
      <w:color w:val="4F81BD"/>
      <w:sz w:val="18"/>
      <w:szCs w:val="18"/>
    </w:rPr>
  </w:style>
  <w:style w:type="paragraph" w:styleId="CommentText">
    <w:name w:val="annotation text"/>
    <w:basedOn w:val="Normal"/>
    <w:link w:val="CommentTextChar"/>
    <w:rsid w:val="003244CE"/>
    <w:pPr>
      <w:tabs>
        <w:tab w:val="clear" w:pos="794"/>
        <w:tab w:val="clear" w:pos="1191"/>
        <w:tab w:val="clear" w:pos="1588"/>
        <w:tab w:val="clear" w:pos="1985"/>
      </w:tabs>
      <w:overflowPunct/>
      <w:autoSpaceDE/>
      <w:autoSpaceDN/>
      <w:adjustRightInd/>
      <w:spacing w:before="0"/>
      <w:jc w:val="left"/>
      <w:textAlignment w:val="auto"/>
    </w:pPr>
    <w:rPr>
      <w:rFonts w:ascii="Arial" w:eastAsia="SimSun" w:hAnsi="Arial"/>
      <w:sz w:val="20"/>
      <w:lang w:eastAsia="x-none"/>
    </w:rPr>
  </w:style>
  <w:style w:type="character" w:customStyle="1" w:styleId="CommentTextChar">
    <w:name w:val="Comment Text Char"/>
    <w:basedOn w:val="DefaultParagraphFont"/>
    <w:link w:val="CommentText"/>
    <w:rsid w:val="003244CE"/>
    <w:rPr>
      <w:rFonts w:ascii="Arial" w:eastAsia="SimSun" w:hAnsi="Arial"/>
      <w:lang w:val="en-GB" w:eastAsia="x-none"/>
    </w:rPr>
  </w:style>
  <w:style w:type="paragraph" w:styleId="CommentSubject">
    <w:name w:val="annotation subject"/>
    <w:basedOn w:val="CommentText"/>
    <w:next w:val="CommentText"/>
    <w:link w:val="CommentSubjectChar"/>
    <w:rsid w:val="003244CE"/>
    <w:rPr>
      <w:b/>
      <w:bCs/>
    </w:rPr>
  </w:style>
  <w:style w:type="character" w:customStyle="1" w:styleId="CommentSubjectChar">
    <w:name w:val="Comment Subject Char"/>
    <w:basedOn w:val="CommentTextChar"/>
    <w:link w:val="CommentSubject"/>
    <w:rsid w:val="003244CE"/>
    <w:rPr>
      <w:rFonts w:ascii="Arial" w:eastAsia="SimSun" w:hAnsi="Arial"/>
      <w:b/>
      <w:bCs/>
      <w:lang w:val="en-GB" w:eastAsia="x-none"/>
    </w:rPr>
  </w:style>
  <w:style w:type="paragraph" w:styleId="ListParagraph">
    <w:name w:val="List Paragraph"/>
    <w:basedOn w:val="Normal"/>
    <w:uiPriority w:val="34"/>
    <w:qFormat/>
    <w:rsid w:val="003244CE"/>
    <w:pPr>
      <w:tabs>
        <w:tab w:val="clear" w:pos="794"/>
        <w:tab w:val="clear" w:pos="1191"/>
        <w:tab w:val="clear" w:pos="1588"/>
        <w:tab w:val="clear" w:pos="1985"/>
      </w:tabs>
      <w:overflowPunct/>
      <w:autoSpaceDE/>
      <w:autoSpaceDN/>
      <w:adjustRightInd/>
      <w:spacing w:before="0"/>
      <w:ind w:left="720"/>
      <w:contextualSpacing/>
      <w:jc w:val="left"/>
      <w:textAlignment w:val="auto"/>
    </w:pPr>
    <w:rPr>
      <w:rFonts w:ascii="Arial" w:hAnsi="Arial"/>
      <w:sz w:val="22"/>
      <w:szCs w:val="22"/>
    </w:rPr>
  </w:style>
  <w:style w:type="character" w:customStyle="1" w:styleId="st">
    <w:name w:val="st"/>
    <w:basedOn w:val="DefaultParagraphFont"/>
    <w:rsid w:val="003244CE"/>
  </w:style>
  <w:style w:type="character" w:styleId="Emphasis">
    <w:name w:val="Emphasis"/>
    <w:basedOn w:val="DefaultParagraphFont"/>
    <w:qFormat/>
    <w:rsid w:val="003244CE"/>
    <w:rPr>
      <w:i/>
      <w:iCs/>
    </w:rPr>
  </w:style>
  <w:style w:type="character" w:styleId="CommentReference">
    <w:name w:val="annotation reference"/>
    <w:basedOn w:val="DefaultParagraphFont"/>
    <w:rsid w:val="003244CE"/>
    <w:rPr>
      <w:sz w:val="16"/>
      <w:szCs w:val="16"/>
    </w:rPr>
  </w:style>
  <w:style w:type="character" w:styleId="Strong">
    <w:name w:val="Strong"/>
    <w:basedOn w:val="DefaultParagraphFont"/>
    <w:uiPriority w:val="22"/>
    <w:qFormat/>
    <w:rsid w:val="003244CE"/>
    <w:rPr>
      <w:b/>
      <w:bCs/>
    </w:rPr>
  </w:style>
  <w:style w:type="character" w:styleId="HTMLAcronym">
    <w:name w:val="HTML Acronym"/>
    <w:basedOn w:val="DefaultParagraphFont"/>
    <w:rsid w:val="003244CE"/>
  </w:style>
  <w:style w:type="paragraph" w:styleId="Revision">
    <w:name w:val="Revision"/>
    <w:hidden/>
    <w:uiPriority w:val="99"/>
    <w:rsid w:val="003244CE"/>
    <w:rPr>
      <w:sz w:val="24"/>
      <w:lang w:val="en-GB" w:eastAsia="en-US"/>
    </w:rPr>
  </w:style>
  <w:style w:type="paragraph" w:customStyle="1" w:styleId="TableText0">
    <w:name w:val="Table_Text"/>
    <w:basedOn w:val="Tablelegend"/>
    <w:rsid w:val="003244CE"/>
    <w:pPr>
      <w:keepN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0" w:after="100" w:line="190" w:lineRule="exact"/>
      <w:ind w:left="0" w:right="0" w:firstLine="0"/>
    </w:pPr>
    <w:rPr>
      <w:rFonts w:eastAsia="Malgun Gothic"/>
      <w:sz w:val="18"/>
    </w:rPr>
  </w:style>
  <w:style w:type="paragraph" w:styleId="PlainText">
    <w:name w:val="Plain Text"/>
    <w:basedOn w:val="Normal"/>
    <w:link w:val="PlainTextChar"/>
    <w:unhideWhenUsed/>
    <w:rsid w:val="003244CE"/>
    <w:pPr>
      <w:tabs>
        <w:tab w:val="clear" w:pos="794"/>
        <w:tab w:val="clear" w:pos="1191"/>
        <w:tab w:val="clear" w:pos="1588"/>
        <w:tab w:val="clear" w:pos="1985"/>
      </w:tabs>
      <w:overflowPunct/>
      <w:autoSpaceDE/>
      <w:autoSpaceDN/>
      <w:adjustRightInd/>
      <w:spacing w:before="0"/>
      <w:jc w:val="left"/>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rsid w:val="003244CE"/>
    <w:rPr>
      <w:rFonts w:ascii="Calibri" w:eastAsiaTheme="minorEastAsia" w:hAnsi="Calibri" w:cstheme="minorBidi"/>
      <w:sz w:val="22"/>
      <w:szCs w:val="21"/>
    </w:rPr>
  </w:style>
  <w:style w:type="paragraph" w:styleId="Subtitle">
    <w:name w:val="Subtitle"/>
    <w:basedOn w:val="Normal"/>
    <w:next w:val="BodyText"/>
    <w:link w:val="SubtitleChar"/>
    <w:qFormat/>
    <w:rsid w:val="003244CE"/>
    <w:pPr>
      <w:tabs>
        <w:tab w:val="clear" w:pos="794"/>
        <w:tab w:val="clear" w:pos="1191"/>
        <w:tab w:val="clear" w:pos="1588"/>
        <w:tab w:val="clear" w:pos="1985"/>
      </w:tabs>
      <w:suppressAutoHyphens/>
      <w:spacing w:before="0"/>
      <w:jc w:val="left"/>
    </w:pPr>
    <w:rPr>
      <w:b/>
      <w:lang w:val="en-US"/>
    </w:rPr>
  </w:style>
  <w:style w:type="character" w:customStyle="1" w:styleId="SubtitleChar">
    <w:name w:val="Subtitle Char"/>
    <w:basedOn w:val="DefaultParagraphFont"/>
    <w:link w:val="Subtitle"/>
    <w:rsid w:val="003244CE"/>
    <w:rPr>
      <w:b/>
      <w:sz w:val="24"/>
      <w:lang w:eastAsia="en-US"/>
    </w:rPr>
  </w:style>
  <w:style w:type="paragraph" w:styleId="BodyTextIndent">
    <w:name w:val="Body Text Indent"/>
    <w:basedOn w:val="Normal"/>
    <w:link w:val="BodyTextIndentChar"/>
    <w:rsid w:val="003244CE"/>
    <w:pPr>
      <w:tabs>
        <w:tab w:val="clear" w:pos="794"/>
        <w:tab w:val="clear" w:pos="1191"/>
        <w:tab w:val="clear" w:pos="1588"/>
        <w:tab w:val="clear" w:pos="1985"/>
      </w:tabs>
      <w:ind w:left="360"/>
      <w:jc w:val="left"/>
    </w:pPr>
    <w:rPr>
      <w:lang w:val="en-US"/>
    </w:rPr>
  </w:style>
  <w:style w:type="character" w:customStyle="1" w:styleId="BodyTextIndentChar">
    <w:name w:val="Body Text Indent Char"/>
    <w:basedOn w:val="DefaultParagraphFont"/>
    <w:link w:val="BodyTextIndent"/>
    <w:rsid w:val="003244CE"/>
    <w:rPr>
      <w:sz w:val="24"/>
      <w:lang w:eastAsia="en-US"/>
    </w:rPr>
  </w:style>
  <w:style w:type="paragraph" w:styleId="Title">
    <w:name w:val="Title"/>
    <w:basedOn w:val="Normal"/>
    <w:link w:val="TitleChar"/>
    <w:qFormat/>
    <w:rsid w:val="003244CE"/>
    <w:pPr>
      <w:tabs>
        <w:tab w:val="clear" w:pos="794"/>
        <w:tab w:val="clear" w:pos="1191"/>
        <w:tab w:val="clear" w:pos="1588"/>
        <w:tab w:val="clear" w:pos="1985"/>
      </w:tabs>
      <w:overflowPunct/>
      <w:autoSpaceDE/>
      <w:autoSpaceDN/>
      <w:adjustRightInd/>
      <w:spacing w:before="0"/>
      <w:jc w:val="center"/>
      <w:textAlignment w:val="auto"/>
    </w:pPr>
    <w:rPr>
      <w:b/>
      <w:bCs/>
      <w:sz w:val="16"/>
      <w:lang w:val="en-US"/>
    </w:rPr>
  </w:style>
  <w:style w:type="character" w:customStyle="1" w:styleId="TitleChar">
    <w:name w:val="Title Char"/>
    <w:basedOn w:val="DefaultParagraphFont"/>
    <w:link w:val="Title"/>
    <w:rsid w:val="003244CE"/>
    <w:rPr>
      <w:b/>
      <w:bCs/>
      <w:sz w:val="16"/>
      <w:lang w:eastAsia="en-US"/>
    </w:rPr>
  </w:style>
  <w:style w:type="paragraph" w:styleId="List">
    <w:name w:val="List"/>
    <w:aliases w:val="l"/>
    <w:basedOn w:val="BodyText"/>
    <w:rsid w:val="003244CE"/>
    <w:pPr>
      <w:tabs>
        <w:tab w:val="left" w:pos="1134"/>
        <w:tab w:val="left" w:pos="1871"/>
        <w:tab w:val="left" w:pos="2268"/>
      </w:tabs>
      <w:suppressAutoHyphens/>
      <w:overflowPunct w:val="0"/>
      <w:autoSpaceDE w:val="0"/>
      <w:spacing w:after="120"/>
      <w:jc w:val="left"/>
      <w:textAlignment w:val="baseline"/>
    </w:pPr>
    <w:rPr>
      <w:rFonts w:ascii="Times New Roman" w:eastAsia="MS Mincho" w:hAnsi="Times New Roman" w:cs="Mangal"/>
      <w:lang w:val="en-GB" w:eastAsia="zh-CN"/>
    </w:rPr>
  </w:style>
  <w:style w:type="paragraph" w:styleId="TableofFigures">
    <w:name w:val="table of figures"/>
    <w:basedOn w:val="Normal"/>
    <w:next w:val="Normal"/>
    <w:unhideWhenUsed/>
    <w:rsid w:val="003244CE"/>
    <w:pPr>
      <w:tabs>
        <w:tab w:val="clear" w:pos="794"/>
        <w:tab w:val="clear" w:pos="1191"/>
        <w:tab w:val="clear" w:pos="1588"/>
        <w:tab w:val="clear" w:pos="1985"/>
      </w:tabs>
      <w:suppressAutoHyphens/>
      <w:autoSpaceDN/>
      <w:adjustRightInd/>
      <w:jc w:val="left"/>
    </w:pPr>
    <w:rPr>
      <w:rFonts w:eastAsia="MS Mincho"/>
      <w:lang w:eastAsia="zh-CN"/>
    </w:rPr>
  </w:style>
  <w:style w:type="paragraph" w:styleId="TOCHeading">
    <w:name w:val="TOC Heading"/>
    <w:basedOn w:val="Heading1"/>
    <w:next w:val="Normal"/>
    <w:uiPriority w:val="99"/>
    <w:unhideWhenUsed/>
    <w:qFormat/>
    <w:rsid w:val="003244CE"/>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Cambria" w:eastAsia="SimSun" w:hAnsi="Cambria"/>
      <w:b w:val="0"/>
      <w:color w:val="365F91"/>
      <w:sz w:val="32"/>
      <w:szCs w:val="32"/>
      <w:lang w:val="fr-FR" w:eastAsia="fr-FR"/>
    </w:rPr>
  </w:style>
  <w:style w:type="paragraph" w:styleId="TOC9">
    <w:name w:val="toc 9"/>
    <w:basedOn w:val="Normal"/>
    <w:next w:val="Normal"/>
    <w:autoRedefine/>
    <w:unhideWhenUsed/>
    <w:rsid w:val="003244CE"/>
    <w:pPr>
      <w:tabs>
        <w:tab w:val="clear" w:pos="794"/>
        <w:tab w:val="clear" w:pos="1191"/>
        <w:tab w:val="clear" w:pos="1588"/>
        <w:tab w:val="clear" w:pos="1985"/>
      </w:tabs>
      <w:spacing w:before="0"/>
      <w:ind w:left="1920"/>
      <w:jc w:val="left"/>
    </w:pPr>
    <w:rPr>
      <w:rFonts w:ascii="Calibri" w:eastAsia="MS Mincho" w:hAnsi="Calibri"/>
      <w:sz w:val="18"/>
      <w:szCs w:val="18"/>
    </w:rPr>
  </w:style>
  <w:style w:type="paragraph" w:styleId="NoSpacing">
    <w:name w:val="No Spacing"/>
    <w:uiPriority w:val="99"/>
    <w:qFormat/>
    <w:rsid w:val="003244CE"/>
    <w:rPr>
      <w:rFonts w:ascii="Calibri" w:eastAsia="Calibri" w:hAnsi="Calibri"/>
      <w:sz w:val="22"/>
      <w:szCs w:val="22"/>
      <w:lang w:eastAsia="en-US"/>
    </w:rPr>
  </w:style>
  <w:style w:type="paragraph" w:styleId="EndnoteText">
    <w:name w:val="endnote text"/>
    <w:basedOn w:val="Normal"/>
    <w:link w:val="EndnoteTextChar"/>
    <w:rsid w:val="003244CE"/>
    <w:pPr>
      <w:tabs>
        <w:tab w:val="clear" w:pos="794"/>
        <w:tab w:val="clear" w:pos="1191"/>
        <w:tab w:val="clear" w:pos="1588"/>
        <w:tab w:val="clear" w:pos="1985"/>
        <w:tab w:val="left" w:pos="1134"/>
        <w:tab w:val="left" w:pos="1871"/>
        <w:tab w:val="left" w:pos="2268"/>
      </w:tabs>
      <w:spacing w:before="0"/>
      <w:jc w:val="left"/>
    </w:pPr>
    <w:rPr>
      <w:rFonts w:eastAsia="MS Mincho"/>
      <w:sz w:val="20"/>
      <w:lang w:eastAsia="x-none"/>
    </w:rPr>
  </w:style>
  <w:style w:type="character" w:customStyle="1" w:styleId="EndnoteTextChar">
    <w:name w:val="Endnote Text Char"/>
    <w:basedOn w:val="DefaultParagraphFont"/>
    <w:link w:val="EndnoteText"/>
    <w:rsid w:val="003244CE"/>
    <w:rPr>
      <w:rFonts w:eastAsia="MS Mincho"/>
      <w:lang w:val="en-GB" w:eastAsia="x-none"/>
    </w:rPr>
  </w:style>
  <w:style w:type="paragraph" w:styleId="BodyTextIndent2">
    <w:name w:val="Body Text Indent 2"/>
    <w:basedOn w:val="Normal"/>
    <w:link w:val="BodyTextIndent2Char"/>
    <w:rsid w:val="003244CE"/>
    <w:pPr>
      <w:tabs>
        <w:tab w:val="clear" w:pos="794"/>
        <w:tab w:val="clear" w:pos="1191"/>
        <w:tab w:val="clear" w:pos="1588"/>
        <w:tab w:val="clear" w:pos="1985"/>
        <w:tab w:val="left" w:pos="2495"/>
        <w:tab w:val="left" w:pos="2552"/>
      </w:tabs>
      <w:ind w:left="2490" w:hanging="2490"/>
    </w:pPr>
    <w:rPr>
      <w:rFonts w:eastAsia="Batang"/>
      <w:noProof/>
      <w:lang w:val="x-none" w:eastAsia="x-none"/>
    </w:rPr>
  </w:style>
  <w:style w:type="character" w:customStyle="1" w:styleId="BodyTextIndent2Char">
    <w:name w:val="Body Text Indent 2 Char"/>
    <w:basedOn w:val="DefaultParagraphFont"/>
    <w:link w:val="BodyTextIndent2"/>
    <w:rsid w:val="003244CE"/>
    <w:rPr>
      <w:rFonts w:eastAsia="Batang"/>
      <w:noProof/>
      <w:sz w:val="24"/>
      <w:lang w:val="x-none" w:eastAsia="x-none"/>
    </w:rPr>
  </w:style>
  <w:style w:type="paragraph" w:styleId="BodyTextIndent3">
    <w:name w:val="Body Text Indent 3"/>
    <w:basedOn w:val="Normal"/>
    <w:link w:val="BodyTextIndent3Char"/>
    <w:rsid w:val="003244CE"/>
    <w:pPr>
      <w:tabs>
        <w:tab w:val="clear" w:pos="794"/>
        <w:tab w:val="clear" w:pos="1191"/>
        <w:tab w:val="clear" w:pos="1588"/>
        <w:tab w:val="clear" w:pos="1985"/>
        <w:tab w:val="left" w:pos="2552"/>
      </w:tabs>
      <w:ind w:left="2552" w:hanging="2552"/>
    </w:pPr>
    <w:rPr>
      <w:rFonts w:eastAsia="Batang"/>
      <w:spacing w:val="-1"/>
      <w:lang w:val="x-none" w:eastAsia="x-none"/>
    </w:rPr>
  </w:style>
  <w:style w:type="character" w:customStyle="1" w:styleId="BodyTextIndent3Char">
    <w:name w:val="Body Text Indent 3 Char"/>
    <w:basedOn w:val="DefaultParagraphFont"/>
    <w:link w:val="BodyTextIndent3"/>
    <w:rsid w:val="003244CE"/>
    <w:rPr>
      <w:rFonts w:eastAsia="Batang"/>
      <w:spacing w:val="-1"/>
      <w:sz w:val="24"/>
      <w:lang w:val="x-none" w:eastAsia="x-none"/>
    </w:rPr>
  </w:style>
  <w:style w:type="paragraph" w:styleId="ListBullet">
    <w:name w:val="List Bullet"/>
    <w:basedOn w:val="Normal"/>
    <w:rsid w:val="003244CE"/>
    <w:pPr>
      <w:tabs>
        <w:tab w:val="clear" w:pos="794"/>
        <w:tab w:val="clear" w:pos="1191"/>
        <w:tab w:val="clear" w:pos="1588"/>
        <w:tab w:val="clear" w:pos="1985"/>
        <w:tab w:val="num" w:pos="360"/>
        <w:tab w:val="left" w:pos="1134"/>
        <w:tab w:val="left" w:pos="1871"/>
        <w:tab w:val="left" w:pos="2268"/>
      </w:tabs>
      <w:ind w:left="360" w:hanging="360"/>
      <w:contextualSpacing/>
      <w:jc w:val="left"/>
    </w:pPr>
    <w:rPr>
      <w:rFonts w:eastAsia="MS Mincho"/>
    </w:rPr>
  </w:style>
  <w:style w:type="paragraph" w:styleId="Salutation">
    <w:name w:val="Salutation"/>
    <w:basedOn w:val="Normal"/>
    <w:next w:val="Normal"/>
    <w:link w:val="SalutationChar"/>
    <w:rsid w:val="003244CE"/>
    <w:pPr>
      <w:jc w:val="left"/>
    </w:pPr>
    <w:rPr>
      <w:rFonts w:eastAsia="MS Mincho"/>
      <w:lang w:eastAsia="x-none"/>
    </w:rPr>
  </w:style>
  <w:style w:type="character" w:customStyle="1" w:styleId="SalutationChar">
    <w:name w:val="Salutation Char"/>
    <w:basedOn w:val="DefaultParagraphFont"/>
    <w:link w:val="Salutation"/>
    <w:rsid w:val="003244CE"/>
    <w:rPr>
      <w:rFonts w:eastAsia="MS Mincho"/>
      <w:sz w:val="24"/>
      <w:lang w:val="en-GB" w:eastAsia="x-none"/>
    </w:rPr>
  </w:style>
  <w:style w:type="paragraph" w:styleId="ListBullet4">
    <w:name w:val="List Bullet 4"/>
    <w:basedOn w:val="Normal"/>
    <w:rsid w:val="003244CE"/>
    <w:pPr>
      <w:tabs>
        <w:tab w:val="clear" w:pos="794"/>
        <w:tab w:val="clear" w:pos="1191"/>
        <w:tab w:val="clear" w:pos="1588"/>
        <w:tab w:val="clear" w:pos="1985"/>
        <w:tab w:val="num" w:pos="740"/>
        <w:tab w:val="num" w:pos="1209"/>
      </w:tabs>
      <w:overflowPunct/>
      <w:autoSpaceDE/>
      <w:autoSpaceDN/>
      <w:adjustRightInd/>
      <w:spacing w:before="0" w:after="60"/>
      <w:ind w:left="1209" w:hanging="360"/>
      <w:textAlignment w:val="auto"/>
    </w:pPr>
    <w:rPr>
      <w:rFonts w:eastAsia="Malgun Gothic"/>
      <w:sz w:val="20"/>
      <w:lang w:eastAsia="de-DE"/>
    </w:rPr>
  </w:style>
  <w:style w:type="paragraph" w:styleId="ListBullet5">
    <w:name w:val="List Bullet 5"/>
    <w:basedOn w:val="Normal"/>
    <w:rsid w:val="003244CE"/>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Malgun Gothic"/>
      <w:sz w:val="20"/>
      <w:lang w:eastAsia="de-DE"/>
    </w:rPr>
  </w:style>
  <w:style w:type="paragraph" w:styleId="ListNumber4">
    <w:name w:val="List Number 4"/>
    <w:basedOn w:val="Normal"/>
    <w:rsid w:val="003244CE"/>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Malgun Gothic"/>
      <w:sz w:val="20"/>
      <w:lang w:eastAsia="de-DE"/>
    </w:rPr>
  </w:style>
  <w:style w:type="paragraph" w:styleId="ListNumber5">
    <w:name w:val="List Number 5"/>
    <w:basedOn w:val="Normal"/>
    <w:rsid w:val="003244CE"/>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Malgun Gothic"/>
      <w:sz w:val="20"/>
      <w:lang w:eastAsia="de-DE"/>
    </w:rPr>
  </w:style>
  <w:style w:type="paragraph" w:styleId="Closing">
    <w:name w:val="Closing"/>
    <w:basedOn w:val="Normal"/>
    <w:link w:val="ClosingChar"/>
    <w:rsid w:val="003244CE"/>
    <w:pPr>
      <w:widowControl w:val="0"/>
      <w:tabs>
        <w:tab w:val="clear" w:pos="794"/>
        <w:tab w:val="clear" w:pos="1191"/>
        <w:tab w:val="clear" w:pos="1588"/>
        <w:tab w:val="clear" w:pos="1985"/>
        <w:tab w:val="num" w:pos="1209"/>
      </w:tabs>
      <w:overflowPunct/>
      <w:autoSpaceDE/>
      <w:autoSpaceDN/>
      <w:adjustRightInd/>
      <w:spacing w:before="0"/>
      <w:jc w:val="right"/>
      <w:textAlignment w:val="auto"/>
    </w:pPr>
    <w:rPr>
      <w:rFonts w:ascii="Century" w:eastAsia="MS Mincho" w:hAnsi="Century"/>
      <w:kern w:val="2"/>
      <w:sz w:val="21"/>
      <w:szCs w:val="24"/>
      <w:lang w:val="x-none" w:eastAsia="ja-JP"/>
    </w:rPr>
  </w:style>
  <w:style w:type="character" w:customStyle="1" w:styleId="ClosingChar">
    <w:name w:val="Closing Char"/>
    <w:basedOn w:val="DefaultParagraphFont"/>
    <w:link w:val="Closing"/>
    <w:rsid w:val="003244CE"/>
    <w:rPr>
      <w:rFonts w:ascii="Century" w:eastAsia="MS Mincho" w:hAnsi="Century"/>
      <w:kern w:val="2"/>
      <w:sz w:val="21"/>
      <w:szCs w:val="24"/>
      <w:lang w:val="x-none" w:eastAsia="ja-JP"/>
    </w:rPr>
  </w:style>
  <w:style w:type="paragraph" w:styleId="ListNumber2">
    <w:name w:val="List Number 2"/>
    <w:aliases w:val="ln2"/>
    <w:basedOn w:val="ListNumber"/>
    <w:rsid w:val="003244CE"/>
    <w:pPr>
      <w:ind w:left="1003" w:hanging="283"/>
    </w:pPr>
  </w:style>
  <w:style w:type="paragraph" w:styleId="ListNumber">
    <w:name w:val="List Number"/>
    <w:aliases w:val="ln"/>
    <w:basedOn w:val="List"/>
    <w:rsid w:val="003244CE"/>
    <w:pPr>
      <w:tabs>
        <w:tab w:val="clear" w:pos="1134"/>
        <w:tab w:val="clear" w:pos="1871"/>
        <w:tab w:val="clear" w:pos="2268"/>
      </w:tabs>
      <w:suppressAutoHyphens w:val="0"/>
      <w:overflowPunct/>
      <w:autoSpaceDE/>
      <w:spacing w:after="60"/>
      <w:ind w:left="714" w:hanging="357"/>
      <w:jc w:val="both"/>
      <w:textAlignment w:val="auto"/>
    </w:pPr>
    <w:rPr>
      <w:rFonts w:cs="Times New Roman"/>
      <w:sz w:val="20"/>
      <w:lang w:val="en-US" w:eastAsia="de-DE"/>
    </w:rPr>
  </w:style>
  <w:style w:type="paragraph" w:styleId="HTMLPreformatted">
    <w:name w:val="HTML Preformatted"/>
    <w:basedOn w:val="Normal"/>
    <w:link w:val="HTMLPreformattedChar"/>
    <w:unhideWhenUsed/>
    <w:rsid w:val="003244C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MS Mincho" w:hAnsi="Courier New"/>
      <w:sz w:val="20"/>
      <w:lang w:eastAsia="en-GB"/>
    </w:rPr>
  </w:style>
  <w:style w:type="character" w:customStyle="1" w:styleId="HTMLPreformattedChar">
    <w:name w:val="HTML Preformatted Char"/>
    <w:basedOn w:val="DefaultParagraphFont"/>
    <w:link w:val="HTMLPreformatted"/>
    <w:rsid w:val="003244CE"/>
    <w:rPr>
      <w:rFonts w:ascii="Courier New" w:eastAsia="MS Mincho" w:hAnsi="Courier New"/>
      <w:lang w:val="en-GB" w:eastAsia="en-GB"/>
    </w:rPr>
  </w:style>
  <w:style w:type="paragraph" w:styleId="BodyTextFirstIndent">
    <w:name w:val="Body Text First Indent"/>
    <w:basedOn w:val="BodyText"/>
    <w:link w:val="BodyTextFirstIndentChar"/>
    <w:rsid w:val="003244CE"/>
    <w:pPr>
      <w:tabs>
        <w:tab w:val="left" w:pos="794"/>
        <w:tab w:val="left" w:pos="1191"/>
        <w:tab w:val="left" w:pos="1588"/>
        <w:tab w:val="left" w:pos="1985"/>
      </w:tabs>
      <w:overflowPunct w:val="0"/>
      <w:autoSpaceDE w:val="0"/>
      <w:autoSpaceDN w:val="0"/>
      <w:adjustRightInd w:val="0"/>
      <w:spacing w:before="136" w:after="120"/>
      <w:ind w:firstLine="210"/>
      <w:textAlignment w:val="baseline"/>
    </w:pPr>
    <w:rPr>
      <w:rFonts w:ascii="Times New Roman" w:eastAsia="MS Mincho" w:hAnsi="Times New Roman"/>
      <w:lang w:val="en-GB" w:eastAsia="ru-RU"/>
    </w:rPr>
  </w:style>
  <w:style w:type="character" w:customStyle="1" w:styleId="BodyTextFirstIndentChar">
    <w:name w:val="Body Text First Indent Char"/>
    <w:basedOn w:val="BodyTextChar"/>
    <w:link w:val="BodyTextFirstIndent"/>
    <w:rsid w:val="003244CE"/>
    <w:rPr>
      <w:rFonts w:ascii="Arial" w:eastAsia="MS Mincho" w:hAnsi="Arial"/>
      <w:sz w:val="24"/>
      <w:lang w:val="en-GB" w:eastAsia="ru-RU"/>
    </w:rPr>
  </w:style>
  <w:style w:type="paragraph" w:styleId="TOAHeading">
    <w:name w:val="toa heading"/>
    <w:basedOn w:val="Normal"/>
    <w:next w:val="Normal"/>
    <w:autoRedefine/>
    <w:rsid w:val="003244CE"/>
    <w:pPr>
      <w:keepNext/>
      <w:keepLines/>
      <w:spacing w:before="360" w:after="120"/>
      <w:jc w:val="center"/>
    </w:pPr>
    <w:rPr>
      <w:rFonts w:eastAsia="SimSun"/>
      <w:bCs/>
      <w:caps/>
      <w:szCs w:val="24"/>
      <w:lang w:val="en-US"/>
    </w:rPr>
  </w:style>
  <w:style w:type="character" w:customStyle="1" w:styleId="DocumentMapChar">
    <w:name w:val="Document Map Char"/>
    <w:basedOn w:val="DefaultParagraphFont"/>
    <w:link w:val="DocumentMap"/>
    <w:semiHidden/>
    <w:rsid w:val="003244CE"/>
    <w:rPr>
      <w:rFonts w:eastAsia="MS Mincho"/>
      <w:sz w:val="24"/>
      <w:szCs w:val="24"/>
      <w:lang w:val="en-GB" w:eastAsia="en-US"/>
    </w:rPr>
  </w:style>
  <w:style w:type="paragraph" w:styleId="DocumentMap">
    <w:name w:val="Document Map"/>
    <w:basedOn w:val="Normal"/>
    <w:link w:val="DocumentMapChar"/>
    <w:semiHidden/>
    <w:unhideWhenUsed/>
    <w:rsid w:val="003244CE"/>
    <w:pPr>
      <w:tabs>
        <w:tab w:val="clear" w:pos="794"/>
        <w:tab w:val="clear" w:pos="1191"/>
        <w:tab w:val="clear" w:pos="1588"/>
        <w:tab w:val="clear" w:pos="1985"/>
        <w:tab w:val="left" w:pos="1134"/>
        <w:tab w:val="left" w:pos="1871"/>
        <w:tab w:val="left" w:pos="2268"/>
      </w:tabs>
      <w:spacing w:before="0"/>
      <w:jc w:val="left"/>
    </w:pPr>
    <w:rPr>
      <w:rFonts w:eastAsia="MS Mincho"/>
      <w:szCs w:val="24"/>
    </w:rPr>
  </w:style>
  <w:style w:type="character" w:customStyle="1" w:styleId="DocumentMapChar1">
    <w:name w:val="Document Map Char1"/>
    <w:basedOn w:val="DefaultParagraphFont"/>
    <w:uiPriority w:val="99"/>
    <w:semiHidden/>
    <w:rsid w:val="003244CE"/>
    <w:rPr>
      <w:rFonts w:ascii="Segoe UI" w:hAnsi="Segoe UI" w:cs="Segoe UI"/>
      <w:sz w:val="16"/>
      <w:szCs w:val="16"/>
      <w:lang w:val="en-GB" w:eastAsia="en-US"/>
    </w:rPr>
  </w:style>
  <w:style w:type="character" w:customStyle="1" w:styleId="UnresolvedMention1">
    <w:name w:val="Unresolved Mention1"/>
    <w:basedOn w:val="DefaultParagraphFont"/>
    <w:uiPriority w:val="99"/>
    <w:semiHidden/>
    <w:unhideWhenUsed/>
    <w:rsid w:val="003244CE"/>
    <w:rPr>
      <w:color w:val="605E5C"/>
      <w:shd w:val="clear" w:color="auto" w:fill="E1DFDD"/>
    </w:rPr>
  </w:style>
  <w:style w:type="numbering" w:customStyle="1" w:styleId="NoList1">
    <w:name w:val="No List1"/>
    <w:next w:val="NoList"/>
    <w:uiPriority w:val="99"/>
    <w:semiHidden/>
    <w:unhideWhenUsed/>
    <w:rsid w:val="003244CE"/>
  </w:style>
  <w:style w:type="table" w:customStyle="1" w:styleId="TableGrid31">
    <w:name w:val="Table Grid31"/>
    <w:basedOn w:val="TableNormal"/>
    <w:next w:val="TableGrid"/>
    <w:rsid w:val="003244CE"/>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244CE"/>
    <w:rPr>
      <w:color w:val="605E5C"/>
      <w:shd w:val="clear" w:color="auto" w:fill="E1DFDD"/>
    </w:rPr>
  </w:style>
  <w:style w:type="paragraph" w:customStyle="1" w:styleId="at">
    <w:name w:val="at"/>
    <w:rsid w:val="003244CE"/>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character" w:customStyle="1" w:styleId="UnresolvedMention3">
    <w:name w:val="Unresolved Mention3"/>
    <w:basedOn w:val="DefaultParagraphFont"/>
    <w:uiPriority w:val="99"/>
    <w:semiHidden/>
    <w:unhideWhenUsed/>
    <w:rsid w:val="003244CE"/>
    <w:rPr>
      <w:color w:val="605E5C"/>
      <w:shd w:val="clear" w:color="auto" w:fill="E1DFDD"/>
    </w:rPr>
  </w:style>
  <w:style w:type="character" w:customStyle="1" w:styleId="UnresolvedMention4">
    <w:name w:val="Unresolved Mention4"/>
    <w:basedOn w:val="DefaultParagraphFont"/>
    <w:uiPriority w:val="99"/>
    <w:semiHidden/>
    <w:unhideWhenUsed/>
    <w:rsid w:val="003244CE"/>
    <w:rPr>
      <w:color w:val="605E5C"/>
      <w:shd w:val="clear" w:color="auto" w:fill="E1DFDD"/>
    </w:rPr>
  </w:style>
  <w:style w:type="character" w:customStyle="1" w:styleId="UnresolvedMention5">
    <w:name w:val="Unresolved Mention5"/>
    <w:basedOn w:val="DefaultParagraphFont"/>
    <w:uiPriority w:val="99"/>
    <w:semiHidden/>
    <w:unhideWhenUsed/>
    <w:rsid w:val="00324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rec/R-REC-M.1902/en" TargetMode="External"/><Relationship Id="rId21" Type="http://schemas.openxmlformats.org/officeDocument/2006/relationships/hyperlink" Target="http://www.itu.int/rec/R-REC-M.1902/en" TargetMode="External"/><Relationship Id="rId42" Type="http://schemas.openxmlformats.org/officeDocument/2006/relationships/header" Target="header9.xml"/><Relationship Id="rId47" Type="http://schemas.openxmlformats.org/officeDocument/2006/relationships/header" Target="header11.xml"/><Relationship Id="rId63" Type="http://schemas.openxmlformats.org/officeDocument/2006/relationships/image" Target="media/image9.wmf"/><Relationship Id="rId68" Type="http://schemas.openxmlformats.org/officeDocument/2006/relationships/hyperlink" Target="http://www.itu.int/rec/R-REC-M.1902/en" TargetMode="External"/><Relationship Id="rId84" Type="http://schemas.openxmlformats.org/officeDocument/2006/relationships/theme" Target="theme/theme1.xml"/><Relationship Id="rId16" Type="http://schemas.openxmlformats.org/officeDocument/2006/relationships/hyperlink" Target="http://www.itu.int/rec/R-REC-RS.1347/en" TargetMode="External"/><Relationship Id="rId11" Type="http://schemas.openxmlformats.org/officeDocument/2006/relationships/hyperlink" Target="https://www.itu.int/publ/R-REP/en" TargetMode="External"/><Relationship Id="rId32" Type="http://schemas.openxmlformats.org/officeDocument/2006/relationships/footer" Target="footer2.xml"/><Relationship Id="rId37" Type="http://schemas.openxmlformats.org/officeDocument/2006/relationships/footer" Target="footer5.xml"/><Relationship Id="rId53" Type="http://schemas.openxmlformats.org/officeDocument/2006/relationships/oleObject" Target="embeddings/oleObject2.bin"/><Relationship Id="rId58" Type="http://schemas.openxmlformats.org/officeDocument/2006/relationships/image" Target="media/image7.wmf"/><Relationship Id="rId74" Type="http://schemas.openxmlformats.org/officeDocument/2006/relationships/footer" Target="footer14.xml"/><Relationship Id="rId79" Type="http://schemas.openxmlformats.org/officeDocument/2006/relationships/footer" Target="footer17.xml"/><Relationship Id="rId5" Type="http://schemas.openxmlformats.org/officeDocument/2006/relationships/footnotes" Target="footnotes.xml"/><Relationship Id="rId61" Type="http://schemas.openxmlformats.org/officeDocument/2006/relationships/image" Target="media/image8.wmf"/><Relationship Id="rId82" Type="http://schemas.openxmlformats.org/officeDocument/2006/relationships/footer" Target="footer19.xml"/><Relationship Id="rId19" Type="http://schemas.openxmlformats.org/officeDocument/2006/relationships/hyperlink" Target="http://www.itu.int/rec/R-REC-M.1787/en" TargetMode="External"/><Relationship Id="rId14" Type="http://schemas.openxmlformats.org/officeDocument/2006/relationships/hyperlink" Target="https://www.itu.int/pub/R-QUE-SG07.234" TargetMode="External"/><Relationship Id="rId22" Type="http://schemas.openxmlformats.org/officeDocument/2006/relationships/hyperlink" Target="http://www.itu.int/rec/R-REC-M.2030/en" TargetMode="External"/><Relationship Id="rId27" Type="http://schemas.openxmlformats.org/officeDocument/2006/relationships/hyperlink" Target="http://www.itu.int/rec/R-REC-M.2030/en" TargetMode="External"/><Relationship Id="rId30" Type="http://schemas.openxmlformats.org/officeDocument/2006/relationships/header" Target="header5.xml"/><Relationship Id="rId35" Type="http://schemas.openxmlformats.org/officeDocument/2006/relationships/header" Target="header7.xml"/><Relationship Id="rId43" Type="http://schemas.openxmlformats.org/officeDocument/2006/relationships/header" Target="header10.xml"/><Relationship Id="rId48" Type="http://schemas.openxmlformats.org/officeDocument/2006/relationships/header" Target="header12.xml"/><Relationship Id="rId56" Type="http://schemas.openxmlformats.org/officeDocument/2006/relationships/image" Target="media/image6.wmf"/><Relationship Id="rId64" Type="http://schemas.openxmlformats.org/officeDocument/2006/relationships/oleObject" Target="embeddings/oleObject7.bin"/><Relationship Id="rId69" Type="http://schemas.openxmlformats.org/officeDocument/2006/relationships/hyperlink" Target="http://www.itu.int/rec/R-REC-M.2030/en" TargetMode="External"/><Relationship Id="rId77" Type="http://schemas.openxmlformats.org/officeDocument/2006/relationships/header" Target="header15.xml"/><Relationship Id="rId8" Type="http://schemas.openxmlformats.org/officeDocument/2006/relationships/header" Target="header2.xml"/><Relationship Id="rId51" Type="http://schemas.openxmlformats.org/officeDocument/2006/relationships/footer" Target="footer13.xml"/><Relationship Id="rId72" Type="http://schemas.openxmlformats.org/officeDocument/2006/relationships/header" Target="header13.xml"/><Relationship Id="rId80" Type="http://schemas.openxmlformats.org/officeDocument/2006/relationships/footer" Target="footer18.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www.itu.int/rec/R-REC-RS.2160/en" TargetMode="External"/><Relationship Id="rId25" Type="http://schemas.openxmlformats.org/officeDocument/2006/relationships/hyperlink" Target="http://www.itu.int/pub/R-REP-M.2305" TargetMode="External"/><Relationship Id="rId33" Type="http://schemas.openxmlformats.org/officeDocument/2006/relationships/footer" Target="footer3.xml"/><Relationship Id="rId38" Type="http://schemas.openxmlformats.org/officeDocument/2006/relationships/footer" Target="footer6.xml"/><Relationship Id="rId46" Type="http://schemas.openxmlformats.org/officeDocument/2006/relationships/footer" Target="footer10.xml"/><Relationship Id="rId59" Type="http://schemas.openxmlformats.org/officeDocument/2006/relationships/oleObject" Target="embeddings/oleObject5.bin"/><Relationship Id="rId67" Type="http://schemas.openxmlformats.org/officeDocument/2006/relationships/hyperlink" Target="http://www.itu.int/pub/R-REP-M.2220" TargetMode="External"/><Relationship Id="rId20" Type="http://schemas.openxmlformats.org/officeDocument/2006/relationships/hyperlink" Target="http://www.itu.int/rec/R-REC-M.1901/en" TargetMode="External"/><Relationship Id="rId41" Type="http://schemas.openxmlformats.org/officeDocument/2006/relationships/image" Target="media/image3.png"/><Relationship Id="rId54" Type="http://schemas.openxmlformats.org/officeDocument/2006/relationships/image" Target="media/image5.wmf"/><Relationship Id="rId62" Type="http://schemas.openxmlformats.org/officeDocument/2006/relationships/oleObject" Target="embeddings/oleObject6.bin"/><Relationship Id="rId70" Type="http://schemas.openxmlformats.org/officeDocument/2006/relationships/hyperlink" Target="http://www.itu.int/pub/R-REP-M.2220" TargetMode="External"/><Relationship Id="rId75" Type="http://schemas.openxmlformats.org/officeDocument/2006/relationships/footer" Target="footer15.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tu.int/pub/R-REP-M.2305" TargetMode="External"/><Relationship Id="rId23" Type="http://schemas.openxmlformats.org/officeDocument/2006/relationships/hyperlink" Target="http://www.itu.int/rec/R-REC-RS.2105/en" TargetMode="External"/><Relationship Id="rId28" Type="http://schemas.openxmlformats.org/officeDocument/2006/relationships/hyperlink" Target="http://www.itu.int/rec/R-REC-M.1902/en" TargetMode="External"/><Relationship Id="rId36" Type="http://schemas.openxmlformats.org/officeDocument/2006/relationships/header" Target="header8.xml"/><Relationship Id="rId49" Type="http://schemas.openxmlformats.org/officeDocument/2006/relationships/footer" Target="footer11.xml"/><Relationship Id="rId57" Type="http://schemas.openxmlformats.org/officeDocument/2006/relationships/oleObject" Target="embeddings/oleObject4.bin"/><Relationship Id="rId10" Type="http://schemas.openxmlformats.org/officeDocument/2006/relationships/hyperlink" Target="http://www.itu.int/ITU-R/go/patents/en" TargetMode="External"/><Relationship Id="rId31" Type="http://schemas.openxmlformats.org/officeDocument/2006/relationships/header" Target="header6.xml"/><Relationship Id="rId44" Type="http://schemas.openxmlformats.org/officeDocument/2006/relationships/footer" Target="footer8.xml"/><Relationship Id="rId52" Type="http://schemas.openxmlformats.org/officeDocument/2006/relationships/image" Target="media/image4.wmf"/><Relationship Id="rId60" Type="http://schemas.openxmlformats.org/officeDocument/2006/relationships/hyperlink" Target="http://www.itu.int/rec/R-REC-M.1902/en" TargetMode="External"/><Relationship Id="rId65" Type="http://schemas.openxmlformats.org/officeDocument/2006/relationships/hyperlink" Target="http://www.itu.int/rec/R-REC-M.2030/en" TargetMode="External"/><Relationship Id="rId73" Type="http://schemas.openxmlformats.org/officeDocument/2006/relationships/header" Target="header14.xml"/><Relationship Id="rId78" Type="http://schemas.openxmlformats.org/officeDocument/2006/relationships/header" Target="header16.xml"/><Relationship Id="rId81"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www.itu.int/rec/R-REC-M.1318/en" TargetMode="External"/><Relationship Id="rId39" Type="http://schemas.openxmlformats.org/officeDocument/2006/relationships/footer" Target="footer7.xml"/><Relationship Id="rId34" Type="http://schemas.openxmlformats.org/officeDocument/2006/relationships/footer" Target="footer4.xml"/><Relationship Id="rId50" Type="http://schemas.openxmlformats.org/officeDocument/2006/relationships/footer" Target="footer12.xml"/><Relationship Id="rId55" Type="http://schemas.openxmlformats.org/officeDocument/2006/relationships/oleObject" Target="embeddings/oleObject3.bin"/><Relationship Id="rId76" Type="http://schemas.openxmlformats.org/officeDocument/2006/relationships/footer" Target="footer16.xml"/><Relationship Id="rId7" Type="http://schemas.openxmlformats.org/officeDocument/2006/relationships/header" Target="header1.xml"/><Relationship Id="rId71" Type="http://schemas.openxmlformats.org/officeDocument/2006/relationships/hyperlink" Target="http://www.itu.int/pub/R-REP-M.2220" TargetMode="External"/><Relationship Id="rId2" Type="http://schemas.openxmlformats.org/officeDocument/2006/relationships/styles" Target="styles.xml"/><Relationship Id="rId29" Type="http://schemas.openxmlformats.org/officeDocument/2006/relationships/hyperlink" Target="http://www.itu.int/rec/R-REC-M.2030/en" TargetMode="External"/><Relationship Id="rId24" Type="http://schemas.openxmlformats.org/officeDocument/2006/relationships/hyperlink" Target="http://www.itu.int/pub/R-REP-M.2220" TargetMode="External"/><Relationship Id="rId40" Type="http://schemas.openxmlformats.org/officeDocument/2006/relationships/chart" Target="charts/chart1.xml"/><Relationship Id="rId45" Type="http://schemas.openxmlformats.org/officeDocument/2006/relationships/footer" Target="footer9.xml"/><Relationship Id="rId66" Type="http://schemas.openxmlformats.org/officeDocument/2006/relationships/hyperlink" Target="http://www.itu.int/rec/R-REC-M.1902/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itu.int/pub/R-REP-M.2220" TargetMode="External"/><Relationship Id="rId2" Type="http://schemas.openxmlformats.org/officeDocument/2006/relationships/hyperlink" Target="http://www.itu.int/rec/R-REC-M.1902/en" TargetMode="External"/><Relationship Id="rId1" Type="http://schemas.openxmlformats.org/officeDocument/2006/relationships/hyperlink" Target="http://www.itu.int/rec/R-REC-M.1902/en" TargetMode="External"/><Relationship Id="rId5" Type="http://schemas.openxmlformats.org/officeDocument/2006/relationships/hyperlink" Target="http://www.itu.int/rec/R-REC-M.1902/en" TargetMode="External"/><Relationship Id="rId4" Type="http://schemas.openxmlformats.org/officeDocument/2006/relationships/hyperlink" Target="http://www.itu.int/rec/R-REC-M.2030/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nga\AppData\Roaming\Microsoft\Templates\QuickPub\BR_Rec_2005.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v>row B</c:v>
          </c:tx>
          <c:marker>
            <c:symbol val="none"/>
          </c:marker>
          <c:xVal>
            <c:numRef>
              <c:f>Sheet1!$A$3:$A$93</c:f>
              <c:numCache>
                <c:formatCode>General</c:formatCode>
                <c:ptCount val="91"/>
                <c:pt idx="0">
                  <c:v>-40</c:v>
                </c:pt>
                <c:pt idx="1">
                  <c:v>-39</c:v>
                </c:pt>
                <c:pt idx="2">
                  <c:v>-38</c:v>
                </c:pt>
                <c:pt idx="3">
                  <c:v>-37</c:v>
                </c:pt>
                <c:pt idx="4">
                  <c:v>-36</c:v>
                </c:pt>
                <c:pt idx="5">
                  <c:v>-35</c:v>
                </c:pt>
                <c:pt idx="6">
                  <c:v>-34</c:v>
                </c:pt>
                <c:pt idx="7">
                  <c:v>-33</c:v>
                </c:pt>
                <c:pt idx="8">
                  <c:v>-32</c:v>
                </c:pt>
                <c:pt idx="9">
                  <c:v>-31</c:v>
                </c:pt>
                <c:pt idx="10">
                  <c:v>-30</c:v>
                </c:pt>
                <c:pt idx="11">
                  <c:v>-29</c:v>
                </c:pt>
                <c:pt idx="12">
                  <c:v>-28</c:v>
                </c:pt>
                <c:pt idx="13">
                  <c:v>-27</c:v>
                </c:pt>
                <c:pt idx="14">
                  <c:v>-26</c:v>
                </c:pt>
                <c:pt idx="15">
                  <c:v>-25</c:v>
                </c:pt>
                <c:pt idx="16">
                  <c:v>-24</c:v>
                </c:pt>
                <c:pt idx="17">
                  <c:v>-23</c:v>
                </c:pt>
                <c:pt idx="18">
                  <c:v>-22</c:v>
                </c:pt>
                <c:pt idx="19">
                  <c:v>-21</c:v>
                </c:pt>
                <c:pt idx="20">
                  <c:v>-20</c:v>
                </c:pt>
                <c:pt idx="21">
                  <c:v>-19</c:v>
                </c:pt>
                <c:pt idx="22">
                  <c:v>-18</c:v>
                </c:pt>
                <c:pt idx="23">
                  <c:v>-17</c:v>
                </c:pt>
                <c:pt idx="24">
                  <c:v>-16</c:v>
                </c:pt>
                <c:pt idx="25">
                  <c:v>-15</c:v>
                </c:pt>
                <c:pt idx="26">
                  <c:v>-14</c:v>
                </c:pt>
                <c:pt idx="27">
                  <c:v>-13</c:v>
                </c:pt>
                <c:pt idx="28">
                  <c:v>-12</c:v>
                </c:pt>
                <c:pt idx="29">
                  <c:v>-11.8</c:v>
                </c:pt>
                <c:pt idx="30">
                  <c:v>-11.6</c:v>
                </c:pt>
                <c:pt idx="31">
                  <c:v>-11.4</c:v>
                </c:pt>
                <c:pt idx="32">
                  <c:v>-11.3</c:v>
                </c:pt>
                <c:pt idx="33">
                  <c:v>-11.2</c:v>
                </c:pt>
                <c:pt idx="34">
                  <c:v>-11</c:v>
                </c:pt>
                <c:pt idx="35">
                  <c:v>-10</c:v>
                </c:pt>
                <c:pt idx="36">
                  <c:v>-9</c:v>
                </c:pt>
                <c:pt idx="37">
                  <c:v>-8</c:v>
                </c:pt>
                <c:pt idx="38">
                  <c:v>-7</c:v>
                </c:pt>
                <c:pt idx="39">
                  <c:v>-6</c:v>
                </c:pt>
                <c:pt idx="40">
                  <c:v>-5</c:v>
                </c:pt>
                <c:pt idx="41">
                  <c:v>-4</c:v>
                </c:pt>
                <c:pt idx="42">
                  <c:v>-3</c:v>
                </c:pt>
                <c:pt idx="43">
                  <c:v>-2</c:v>
                </c:pt>
                <c:pt idx="44">
                  <c:v>-1</c:v>
                </c:pt>
                <c:pt idx="45">
                  <c:v>0</c:v>
                </c:pt>
                <c:pt idx="46">
                  <c:v>1</c:v>
                </c:pt>
                <c:pt idx="47">
                  <c:v>2</c:v>
                </c:pt>
                <c:pt idx="48">
                  <c:v>3</c:v>
                </c:pt>
                <c:pt idx="49">
                  <c:v>4</c:v>
                </c:pt>
                <c:pt idx="50">
                  <c:v>5</c:v>
                </c:pt>
                <c:pt idx="51">
                  <c:v>6</c:v>
                </c:pt>
                <c:pt idx="52">
                  <c:v>7</c:v>
                </c:pt>
                <c:pt idx="53">
                  <c:v>8</c:v>
                </c:pt>
                <c:pt idx="54">
                  <c:v>9</c:v>
                </c:pt>
                <c:pt idx="55">
                  <c:v>10</c:v>
                </c:pt>
                <c:pt idx="56">
                  <c:v>11</c:v>
                </c:pt>
                <c:pt idx="57">
                  <c:v>11.2</c:v>
                </c:pt>
                <c:pt idx="58">
                  <c:v>11.3</c:v>
                </c:pt>
                <c:pt idx="59">
                  <c:v>11.4</c:v>
                </c:pt>
                <c:pt idx="60">
                  <c:v>11.6</c:v>
                </c:pt>
                <c:pt idx="61">
                  <c:v>11.8</c:v>
                </c:pt>
                <c:pt idx="62">
                  <c:v>12</c:v>
                </c:pt>
                <c:pt idx="63">
                  <c:v>13</c:v>
                </c:pt>
                <c:pt idx="64">
                  <c:v>14</c:v>
                </c:pt>
                <c:pt idx="65">
                  <c:v>15</c:v>
                </c:pt>
                <c:pt idx="66">
                  <c:v>16</c:v>
                </c:pt>
                <c:pt idx="67">
                  <c:v>17</c:v>
                </c:pt>
                <c:pt idx="68">
                  <c:v>18</c:v>
                </c:pt>
                <c:pt idx="69">
                  <c:v>19</c:v>
                </c:pt>
                <c:pt idx="70">
                  <c:v>20</c:v>
                </c:pt>
                <c:pt idx="71">
                  <c:v>21</c:v>
                </c:pt>
                <c:pt idx="72">
                  <c:v>22</c:v>
                </c:pt>
                <c:pt idx="73">
                  <c:v>23</c:v>
                </c:pt>
                <c:pt idx="74">
                  <c:v>24</c:v>
                </c:pt>
                <c:pt idx="75">
                  <c:v>25</c:v>
                </c:pt>
                <c:pt idx="76">
                  <c:v>26</c:v>
                </c:pt>
                <c:pt idx="77">
                  <c:v>27</c:v>
                </c:pt>
                <c:pt idx="78">
                  <c:v>28</c:v>
                </c:pt>
                <c:pt idx="79">
                  <c:v>29</c:v>
                </c:pt>
                <c:pt idx="80">
                  <c:v>30</c:v>
                </c:pt>
                <c:pt idx="81">
                  <c:v>31</c:v>
                </c:pt>
                <c:pt idx="82">
                  <c:v>32</c:v>
                </c:pt>
                <c:pt idx="83">
                  <c:v>33</c:v>
                </c:pt>
                <c:pt idx="84">
                  <c:v>34</c:v>
                </c:pt>
                <c:pt idx="85">
                  <c:v>35</c:v>
                </c:pt>
                <c:pt idx="86">
                  <c:v>36</c:v>
                </c:pt>
                <c:pt idx="87">
                  <c:v>37</c:v>
                </c:pt>
                <c:pt idx="88">
                  <c:v>38</c:v>
                </c:pt>
                <c:pt idx="89">
                  <c:v>39</c:v>
                </c:pt>
                <c:pt idx="90">
                  <c:v>40</c:v>
                </c:pt>
              </c:numCache>
            </c:numRef>
          </c:xVal>
          <c:yVal>
            <c:numRef>
              <c:f>Sheet1!$B$3:$B$93</c:f>
              <c:numCache>
                <c:formatCode>General</c:formatCode>
                <c:ptCount val="91"/>
                <c:pt idx="0">
                  <c:v>-30</c:v>
                </c:pt>
                <c:pt idx="1">
                  <c:v>-30</c:v>
                </c:pt>
                <c:pt idx="2">
                  <c:v>-30</c:v>
                </c:pt>
                <c:pt idx="3">
                  <c:v>-30</c:v>
                </c:pt>
                <c:pt idx="4">
                  <c:v>-30</c:v>
                </c:pt>
                <c:pt idx="5">
                  <c:v>-30</c:v>
                </c:pt>
                <c:pt idx="6">
                  <c:v>-29.094761474478911</c:v>
                </c:pt>
                <c:pt idx="7">
                  <c:v>-28.145089949460029</c:v>
                </c:pt>
                <c:pt idx="8">
                  <c:v>-27.187119549054049</c:v>
                </c:pt>
                <c:pt idx="9">
                  <c:v>-26.220323231752769</c:v>
                </c:pt>
                <c:pt idx="10">
                  <c:v>-25.24412209816888</c:v>
                </c:pt>
                <c:pt idx="11">
                  <c:v>-24.257878356298399</c:v>
                </c:pt>
                <c:pt idx="12">
                  <c:v>-23.260887051918161</c:v>
                </c:pt>
                <c:pt idx="13">
                  <c:v>-22.252366294506881</c:v>
                </c:pt>
                <c:pt idx="14">
                  <c:v>-21.231445637793019</c:v>
                </c:pt>
                <c:pt idx="15">
                  <c:v>-20.197152180378389</c:v>
                </c:pt>
                <c:pt idx="16">
                  <c:v>-19.14839382760141</c:v>
                </c:pt>
                <c:pt idx="17">
                  <c:v>-18.083938989165819</c:v>
                </c:pt>
                <c:pt idx="18">
                  <c:v>-17.00239176110189</c:v>
                </c:pt>
                <c:pt idx="19">
                  <c:v>-15.902161330465519</c:v>
                </c:pt>
                <c:pt idx="20">
                  <c:v>-14.781423909810799</c:v>
                </c:pt>
                <c:pt idx="21">
                  <c:v>-13.638074899818839</c:v>
                </c:pt>
                <c:pt idx="22">
                  <c:v>-12.46966810614877</c:v>
                </c:pt>
                <c:pt idx="23">
                  <c:v>-11.2733375646681</c:v>
                </c:pt>
                <c:pt idx="24">
                  <c:v>-10.045695639243281</c:v>
                </c:pt>
                <c:pt idx="25">
                  <c:v>8.7900000000000009</c:v>
                </c:pt>
                <c:pt idx="26">
                  <c:v>22.24</c:v>
                </c:pt>
                <c:pt idx="27">
                  <c:v>30.310000000000031</c:v>
                </c:pt>
                <c:pt idx="28">
                  <c:v>33</c:v>
                </c:pt>
                <c:pt idx="29">
                  <c:v>32.892400000000002</c:v>
                </c:pt>
                <c:pt idx="30">
                  <c:v>32.569600000000001</c:v>
                </c:pt>
                <c:pt idx="31">
                  <c:v>32.031599999999997</c:v>
                </c:pt>
                <c:pt idx="32">
                  <c:v>31.681900000000031</c:v>
                </c:pt>
                <c:pt idx="33">
                  <c:v>31.718</c:v>
                </c:pt>
                <c:pt idx="34">
                  <c:v>31.8</c:v>
                </c:pt>
                <c:pt idx="35">
                  <c:v>32.15</c:v>
                </c:pt>
                <c:pt idx="36">
                  <c:v>32.4</c:v>
                </c:pt>
                <c:pt idx="37">
                  <c:v>32.549999999999997</c:v>
                </c:pt>
                <c:pt idx="38">
                  <c:v>32.6</c:v>
                </c:pt>
                <c:pt idx="39">
                  <c:v>32.549999999999997</c:v>
                </c:pt>
                <c:pt idx="40">
                  <c:v>32.4</c:v>
                </c:pt>
                <c:pt idx="41">
                  <c:v>32.15</c:v>
                </c:pt>
                <c:pt idx="42">
                  <c:v>33.380000000000003</c:v>
                </c:pt>
                <c:pt idx="43">
                  <c:v>34.28</c:v>
                </c:pt>
                <c:pt idx="44">
                  <c:v>34.82</c:v>
                </c:pt>
                <c:pt idx="45">
                  <c:v>35</c:v>
                </c:pt>
                <c:pt idx="46">
                  <c:v>34.82</c:v>
                </c:pt>
                <c:pt idx="47">
                  <c:v>34.28</c:v>
                </c:pt>
                <c:pt idx="48">
                  <c:v>33.380000000000003</c:v>
                </c:pt>
                <c:pt idx="49">
                  <c:v>32.15</c:v>
                </c:pt>
                <c:pt idx="50">
                  <c:v>32.4</c:v>
                </c:pt>
                <c:pt idx="51">
                  <c:v>32.549999999999997</c:v>
                </c:pt>
                <c:pt idx="52">
                  <c:v>32.6</c:v>
                </c:pt>
                <c:pt idx="53">
                  <c:v>32.549999999999997</c:v>
                </c:pt>
                <c:pt idx="54">
                  <c:v>32.4</c:v>
                </c:pt>
                <c:pt idx="55">
                  <c:v>32.15</c:v>
                </c:pt>
                <c:pt idx="56">
                  <c:v>31.8</c:v>
                </c:pt>
                <c:pt idx="57">
                  <c:v>31.718</c:v>
                </c:pt>
                <c:pt idx="58">
                  <c:v>31.681900000000031</c:v>
                </c:pt>
                <c:pt idx="59">
                  <c:v>32.031599999999997</c:v>
                </c:pt>
                <c:pt idx="60">
                  <c:v>32.569600000000008</c:v>
                </c:pt>
                <c:pt idx="61">
                  <c:v>32.892400000000009</c:v>
                </c:pt>
                <c:pt idx="62">
                  <c:v>33</c:v>
                </c:pt>
                <c:pt idx="63">
                  <c:v>30.310000000000031</c:v>
                </c:pt>
                <c:pt idx="64">
                  <c:v>22.24</c:v>
                </c:pt>
                <c:pt idx="65">
                  <c:v>8.7900000000000009</c:v>
                </c:pt>
                <c:pt idx="66">
                  <c:v>-10.045695639243281</c:v>
                </c:pt>
                <c:pt idx="67">
                  <c:v>-11.2733375646681</c:v>
                </c:pt>
                <c:pt idx="68">
                  <c:v>-12.46966810614877</c:v>
                </c:pt>
                <c:pt idx="69">
                  <c:v>-13.638074899818839</c:v>
                </c:pt>
                <c:pt idx="70">
                  <c:v>-14.781423909810799</c:v>
                </c:pt>
                <c:pt idx="71">
                  <c:v>-15.902161330465519</c:v>
                </c:pt>
                <c:pt idx="72">
                  <c:v>-17.00239176110189</c:v>
                </c:pt>
                <c:pt idx="73">
                  <c:v>-18.083938989165819</c:v>
                </c:pt>
                <c:pt idx="74">
                  <c:v>-19.14839382760141</c:v>
                </c:pt>
                <c:pt idx="75">
                  <c:v>-20.197152180378389</c:v>
                </c:pt>
                <c:pt idx="76">
                  <c:v>-21.231445637793019</c:v>
                </c:pt>
                <c:pt idx="77">
                  <c:v>-22.252366294506881</c:v>
                </c:pt>
                <c:pt idx="78">
                  <c:v>-23.260887051918161</c:v>
                </c:pt>
                <c:pt idx="79">
                  <c:v>-24.257878356298399</c:v>
                </c:pt>
                <c:pt idx="80">
                  <c:v>-25.24412209816888</c:v>
                </c:pt>
                <c:pt idx="81">
                  <c:v>-26.220323231752769</c:v>
                </c:pt>
                <c:pt idx="82">
                  <c:v>-27.187119549054049</c:v>
                </c:pt>
                <c:pt idx="83">
                  <c:v>-28.145089949460029</c:v>
                </c:pt>
                <c:pt idx="84">
                  <c:v>-29.094761474478911</c:v>
                </c:pt>
                <c:pt idx="85">
                  <c:v>-30</c:v>
                </c:pt>
                <c:pt idx="86">
                  <c:v>-30</c:v>
                </c:pt>
                <c:pt idx="87">
                  <c:v>-30</c:v>
                </c:pt>
                <c:pt idx="88">
                  <c:v>-30</c:v>
                </c:pt>
                <c:pt idx="89">
                  <c:v>-30</c:v>
                </c:pt>
                <c:pt idx="90">
                  <c:v>-30</c:v>
                </c:pt>
              </c:numCache>
            </c:numRef>
          </c:yVal>
          <c:smooth val="1"/>
          <c:extLst>
            <c:ext xmlns:c16="http://schemas.microsoft.com/office/drawing/2014/chart" uri="{C3380CC4-5D6E-409C-BE32-E72D297353CC}">
              <c16:uniqueId val="{00000000-ABCC-42B3-B6B0-B788D8358F20}"/>
            </c:ext>
          </c:extLst>
        </c:ser>
        <c:ser>
          <c:idx val="1"/>
          <c:order val="1"/>
          <c:tx>
            <c:v>row H</c:v>
          </c:tx>
          <c:spPr>
            <a:ln>
              <a:solidFill>
                <a:schemeClr val="tx2"/>
              </a:solidFill>
            </a:ln>
          </c:spPr>
          <c:marker>
            <c:symbol val="none"/>
          </c:marker>
          <c:xVal>
            <c:numRef>
              <c:f>Sheet1!$A$3:$A$93</c:f>
              <c:numCache>
                <c:formatCode>General</c:formatCode>
                <c:ptCount val="91"/>
                <c:pt idx="0">
                  <c:v>-40</c:v>
                </c:pt>
                <c:pt idx="1">
                  <c:v>-39</c:v>
                </c:pt>
                <c:pt idx="2">
                  <c:v>-38</c:v>
                </c:pt>
                <c:pt idx="3">
                  <c:v>-37</c:v>
                </c:pt>
                <c:pt idx="4">
                  <c:v>-36</c:v>
                </c:pt>
                <c:pt idx="5">
                  <c:v>-35</c:v>
                </c:pt>
                <c:pt idx="6">
                  <c:v>-34</c:v>
                </c:pt>
                <c:pt idx="7">
                  <c:v>-33</c:v>
                </c:pt>
                <c:pt idx="8">
                  <c:v>-32</c:v>
                </c:pt>
                <c:pt idx="9">
                  <c:v>-31</c:v>
                </c:pt>
                <c:pt idx="10">
                  <c:v>-30</c:v>
                </c:pt>
                <c:pt idx="11">
                  <c:v>-29</c:v>
                </c:pt>
                <c:pt idx="12">
                  <c:v>-28</c:v>
                </c:pt>
                <c:pt idx="13">
                  <c:v>-27</c:v>
                </c:pt>
                <c:pt idx="14">
                  <c:v>-26</c:v>
                </c:pt>
                <c:pt idx="15">
                  <c:v>-25</c:v>
                </c:pt>
                <c:pt idx="16">
                  <c:v>-24</c:v>
                </c:pt>
                <c:pt idx="17">
                  <c:v>-23</c:v>
                </c:pt>
                <c:pt idx="18">
                  <c:v>-22</c:v>
                </c:pt>
                <c:pt idx="19">
                  <c:v>-21</c:v>
                </c:pt>
                <c:pt idx="20">
                  <c:v>-20</c:v>
                </c:pt>
                <c:pt idx="21">
                  <c:v>-19</c:v>
                </c:pt>
                <c:pt idx="22">
                  <c:v>-18</c:v>
                </c:pt>
                <c:pt idx="23">
                  <c:v>-17</c:v>
                </c:pt>
                <c:pt idx="24">
                  <c:v>-16</c:v>
                </c:pt>
                <c:pt idx="25">
                  <c:v>-15</c:v>
                </c:pt>
                <c:pt idx="26">
                  <c:v>-14</c:v>
                </c:pt>
                <c:pt idx="27">
                  <c:v>-13</c:v>
                </c:pt>
                <c:pt idx="28">
                  <c:v>-12</c:v>
                </c:pt>
                <c:pt idx="29">
                  <c:v>-11.8</c:v>
                </c:pt>
                <c:pt idx="30">
                  <c:v>-11.6</c:v>
                </c:pt>
                <c:pt idx="31">
                  <c:v>-11.4</c:v>
                </c:pt>
                <c:pt idx="32">
                  <c:v>-11.3</c:v>
                </c:pt>
                <c:pt idx="33">
                  <c:v>-11.2</c:v>
                </c:pt>
                <c:pt idx="34">
                  <c:v>-11</c:v>
                </c:pt>
                <c:pt idx="35">
                  <c:v>-10</c:v>
                </c:pt>
                <c:pt idx="36">
                  <c:v>-9</c:v>
                </c:pt>
                <c:pt idx="37">
                  <c:v>-8</c:v>
                </c:pt>
                <c:pt idx="38">
                  <c:v>-7</c:v>
                </c:pt>
                <c:pt idx="39">
                  <c:v>-6</c:v>
                </c:pt>
                <c:pt idx="40">
                  <c:v>-5</c:v>
                </c:pt>
                <c:pt idx="41">
                  <c:v>-4</c:v>
                </c:pt>
                <c:pt idx="42">
                  <c:v>-3</c:v>
                </c:pt>
                <c:pt idx="43">
                  <c:v>-2</c:v>
                </c:pt>
                <c:pt idx="44">
                  <c:v>-1</c:v>
                </c:pt>
                <c:pt idx="45">
                  <c:v>0</c:v>
                </c:pt>
                <c:pt idx="46">
                  <c:v>1</c:v>
                </c:pt>
                <c:pt idx="47">
                  <c:v>2</c:v>
                </c:pt>
                <c:pt idx="48">
                  <c:v>3</c:v>
                </c:pt>
                <c:pt idx="49">
                  <c:v>4</c:v>
                </c:pt>
                <c:pt idx="50">
                  <c:v>5</c:v>
                </c:pt>
                <c:pt idx="51">
                  <c:v>6</c:v>
                </c:pt>
                <c:pt idx="52">
                  <c:v>7</c:v>
                </c:pt>
                <c:pt idx="53">
                  <c:v>8</c:v>
                </c:pt>
                <c:pt idx="54">
                  <c:v>9</c:v>
                </c:pt>
                <c:pt idx="55">
                  <c:v>10</c:v>
                </c:pt>
                <c:pt idx="56">
                  <c:v>11</c:v>
                </c:pt>
                <c:pt idx="57">
                  <c:v>11.2</c:v>
                </c:pt>
                <c:pt idx="58">
                  <c:v>11.3</c:v>
                </c:pt>
                <c:pt idx="59">
                  <c:v>11.4</c:v>
                </c:pt>
                <c:pt idx="60">
                  <c:v>11.6</c:v>
                </c:pt>
                <c:pt idx="61">
                  <c:v>11.8</c:v>
                </c:pt>
                <c:pt idx="62">
                  <c:v>12</c:v>
                </c:pt>
                <c:pt idx="63">
                  <c:v>13</c:v>
                </c:pt>
                <c:pt idx="64">
                  <c:v>14</c:v>
                </c:pt>
                <c:pt idx="65">
                  <c:v>15</c:v>
                </c:pt>
                <c:pt idx="66">
                  <c:v>16</c:v>
                </c:pt>
                <c:pt idx="67">
                  <c:v>17</c:v>
                </c:pt>
                <c:pt idx="68">
                  <c:v>18</c:v>
                </c:pt>
                <c:pt idx="69">
                  <c:v>19</c:v>
                </c:pt>
                <c:pt idx="70">
                  <c:v>20</c:v>
                </c:pt>
                <c:pt idx="71">
                  <c:v>21</c:v>
                </c:pt>
                <c:pt idx="72">
                  <c:v>22</c:v>
                </c:pt>
                <c:pt idx="73">
                  <c:v>23</c:v>
                </c:pt>
                <c:pt idx="74">
                  <c:v>24</c:v>
                </c:pt>
                <c:pt idx="75">
                  <c:v>25</c:v>
                </c:pt>
                <c:pt idx="76">
                  <c:v>26</c:v>
                </c:pt>
                <c:pt idx="77">
                  <c:v>27</c:v>
                </c:pt>
                <c:pt idx="78">
                  <c:v>28</c:v>
                </c:pt>
                <c:pt idx="79">
                  <c:v>29</c:v>
                </c:pt>
                <c:pt idx="80">
                  <c:v>30</c:v>
                </c:pt>
                <c:pt idx="81">
                  <c:v>31</c:v>
                </c:pt>
                <c:pt idx="82">
                  <c:v>32</c:v>
                </c:pt>
                <c:pt idx="83">
                  <c:v>33</c:v>
                </c:pt>
                <c:pt idx="84">
                  <c:v>34</c:v>
                </c:pt>
                <c:pt idx="85">
                  <c:v>35</c:v>
                </c:pt>
                <c:pt idx="86">
                  <c:v>36</c:v>
                </c:pt>
                <c:pt idx="87">
                  <c:v>37</c:v>
                </c:pt>
                <c:pt idx="88">
                  <c:v>38</c:v>
                </c:pt>
                <c:pt idx="89">
                  <c:v>39</c:v>
                </c:pt>
                <c:pt idx="90">
                  <c:v>40</c:v>
                </c:pt>
              </c:numCache>
            </c:numRef>
          </c:xVal>
          <c:yVal>
            <c:numRef>
              <c:f>Sheet1!$H$3:$H$93</c:f>
              <c:numCache>
                <c:formatCode>General</c:formatCode>
                <c:ptCount val="91"/>
                <c:pt idx="0">
                  <c:v>-30</c:v>
                </c:pt>
                <c:pt idx="1">
                  <c:v>-30</c:v>
                </c:pt>
                <c:pt idx="2">
                  <c:v>-30</c:v>
                </c:pt>
                <c:pt idx="3">
                  <c:v>-30</c:v>
                </c:pt>
                <c:pt idx="4">
                  <c:v>-30</c:v>
                </c:pt>
                <c:pt idx="5">
                  <c:v>-30</c:v>
                </c:pt>
                <c:pt idx="6">
                  <c:v>-29.094761474478911</c:v>
                </c:pt>
                <c:pt idx="7">
                  <c:v>-28.145089949460029</c:v>
                </c:pt>
                <c:pt idx="8">
                  <c:v>-27.187119549054049</c:v>
                </c:pt>
                <c:pt idx="9">
                  <c:v>-26.220323231752769</c:v>
                </c:pt>
                <c:pt idx="10">
                  <c:v>-25.24412209816888</c:v>
                </c:pt>
                <c:pt idx="11">
                  <c:v>-24.257878356298399</c:v>
                </c:pt>
                <c:pt idx="12">
                  <c:v>-23.260887051918161</c:v>
                </c:pt>
                <c:pt idx="13">
                  <c:v>-22.252366294506881</c:v>
                </c:pt>
                <c:pt idx="14">
                  <c:v>-21.231445637793019</c:v>
                </c:pt>
                <c:pt idx="15">
                  <c:v>-20.197152180378389</c:v>
                </c:pt>
                <c:pt idx="16">
                  <c:v>-19.14839382760141</c:v>
                </c:pt>
                <c:pt idx="17">
                  <c:v>-18.083938989165819</c:v>
                </c:pt>
                <c:pt idx="18">
                  <c:v>-17.00239176110189</c:v>
                </c:pt>
                <c:pt idx="19">
                  <c:v>-15.902161330465519</c:v>
                </c:pt>
                <c:pt idx="20">
                  <c:v>-14.781423909810799</c:v>
                </c:pt>
                <c:pt idx="21">
                  <c:v>-13.638074899818839</c:v>
                </c:pt>
                <c:pt idx="22">
                  <c:v>-12.46966810614877</c:v>
                </c:pt>
                <c:pt idx="23">
                  <c:v>-11.2733375646681</c:v>
                </c:pt>
                <c:pt idx="24">
                  <c:v>-10.045695639243281</c:v>
                </c:pt>
                <c:pt idx="25">
                  <c:v>8.7900000000000009</c:v>
                </c:pt>
                <c:pt idx="26">
                  <c:v>22.24</c:v>
                </c:pt>
                <c:pt idx="27">
                  <c:v>30.310000000000031</c:v>
                </c:pt>
                <c:pt idx="28">
                  <c:v>33</c:v>
                </c:pt>
                <c:pt idx="29">
                  <c:v>32.892400000000002</c:v>
                </c:pt>
                <c:pt idx="30">
                  <c:v>32.569600000000001</c:v>
                </c:pt>
                <c:pt idx="31">
                  <c:v>32.031599999999997</c:v>
                </c:pt>
                <c:pt idx="32">
                  <c:v>31.681900000000031</c:v>
                </c:pt>
                <c:pt idx="33">
                  <c:v>31.718</c:v>
                </c:pt>
                <c:pt idx="34">
                  <c:v>31.8</c:v>
                </c:pt>
                <c:pt idx="35">
                  <c:v>32.15</c:v>
                </c:pt>
                <c:pt idx="36">
                  <c:v>32.4</c:v>
                </c:pt>
                <c:pt idx="37">
                  <c:v>32.549999999999997</c:v>
                </c:pt>
                <c:pt idx="38">
                  <c:v>32.6</c:v>
                </c:pt>
                <c:pt idx="39">
                  <c:v>32.549999999999997</c:v>
                </c:pt>
                <c:pt idx="40">
                  <c:v>32.4</c:v>
                </c:pt>
                <c:pt idx="41">
                  <c:v>32.15</c:v>
                </c:pt>
                <c:pt idx="42">
                  <c:v>33.380000000000003</c:v>
                </c:pt>
                <c:pt idx="43">
                  <c:v>34.28</c:v>
                </c:pt>
                <c:pt idx="44">
                  <c:v>34.82</c:v>
                </c:pt>
                <c:pt idx="45">
                  <c:v>35</c:v>
                </c:pt>
                <c:pt idx="46">
                  <c:v>34.82</c:v>
                </c:pt>
                <c:pt idx="47">
                  <c:v>34.28</c:v>
                </c:pt>
                <c:pt idx="48">
                  <c:v>33.380000000000003</c:v>
                </c:pt>
                <c:pt idx="49">
                  <c:v>32.15</c:v>
                </c:pt>
                <c:pt idx="50">
                  <c:v>32.4</c:v>
                </c:pt>
                <c:pt idx="51">
                  <c:v>32.549999999999997</c:v>
                </c:pt>
                <c:pt idx="52">
                  <c:v>32.6</c:v>
                </c:pt>
                <c:pt idx="53">
                  <c:v>32.549999999999997</c:v>
                </c:pt>
                <c:pt idx="54">
                  <c:v>32.4</c:v>
                </c:pt>
                <c:pt idx="55">
                  <c:v>32.15</c:v>
                </c:pt>
                <c:pt idx="56">
                  <c:v>31.8</c:v>
                </c:pt>
                <c:pt idx="57">
                  <c:v>31.718</c:v>
                </c:pt>
                <c:pt idx="58">
                  <c:v>31.681900000000031</c:v>
                </c:pt>
                <c:pt idx="59">
                  <c:v>32.031599999999997</c:v>
                </c:pt>
                <c:pt idx="60">
                  <c:v>32.569600000000008</c:v>
                </c:pt>
                <c:pt idx="61">
                  <c:v>32.892400000000009</c:v>
                </c:pt>
                <c:pt idx="62">
                  <c:v>33</c:v>
                </c:pt>
                <c:pt idx="63">
                  <c:v>30.310000000000031</c:v>
                </c:pt>
                <c:pt idx="64">
                  <c:v>22.24</c:v>
                </c:pt>
                <c:pt idx="65">
                  <c:v>8.7900000000000009</c:v>
                </c:pt>
                <c:pt idx="66">
                  <c:v>-10.045695639243281</c:v>
                </c:pt>
                <c:pt idx="67">
                  <c:v>-11.2733375646681</c:v>
                </c:pt>
                <c:pt idx="68">
                  <c:v>-12.46966810614877</c:v>
                </c:pt>
                <c:pt idx="69">
                  <c:v>-13.638074899818839</c:v>
                </c:pt>
                <c:pt idx="70">
                  <c:v>-14.781423909810799</c:v>
                </c:pt>
                <c:pt idx="71">
                  <c:v>-15.902161330465519</c:v>
                </c:pt>
                <c:pt idx="72">
                  <c:v>-17.00239176110189</c:v>
                </c:pt>
                <c:pt idx="73">
                  <c:v>-18.083938989165819</c:v>
                </c:pt>
                <c:pt idx="74">
                  <c:v>-19.14839382760141</c:v>
                </c:pt>
                <c:pt idx="75">
                  <c:v>-20.197152180378389</c:v>
                </c:pt>
                <c:pt idx="76">
                  <c:v>-21.231445637793019</c:v>
                </c:pt>
                <c:pt idx="77">
                  <c:v>-22.252366294506881</c:v>
                </c:pt>
                <c:pt idx="78">
                  <c:v>-23.260887051918161</c:v>
                </c:pt>
                <c:pt idx="79">
                  <c:v>-24.257878356298399</c:v>
                </c:pt>
                <c:pt idx="80">
                  <c:v>-25.24412209816888</c:v>
                </c:pt>
                <c:pt idx="81">
                  <c:v>-26.220323231752769</c:v>
                </c:pt>
                <c:pt idx="82">
                  <c:v>-27.187119549054049</c:v>
                </c:pt>
                <c:pt idx="83">
                  <c:v>-28.145089949460029</c:v>
                </c:pt>
                <c:pt idx="84">
                  <c:v>-29.094761474478911</c:v>
                </c:pt>
                <c:pt idx="85">
                  <c:v>-30</c:v>
                </c:pt>
                <c:pt idx="86">
                  <c:v>-30</c:v>
                </c:pt>
                <c:pt idx="87">
                  <c:v>-30</c:v>
                </c:pt>
                <c:pt idx="88">
                  <c:v>-30</c:v>
                </c:pt>
                <c:pt idx="89">
                  <c:v>-30</c:v>
                </c:pt>
                <c:pt idx="90">
                  <c:v>-30</c:v>
                </c:pt>
              </c:numCache>
            </c:numRef>
          </c:yVal>
          <c:smooth val="1"/>
          <c:extLst>
            <c:ext xmlns:c16="http://schemas.microsoft.com/office/drawing/2014/chart" uri="{C3380CC4-5D6E-409C-BE32-E72D297353CC}">
              <c16:uniqueId val="{00000001-ABCC-42B3-B6B0-B788D8358F20}"/>
            </c:ext>
          </c:extLst>
        </c:ser>
        <c:dLbls>
          <c:showLegendKey val="0"/>
          <c:showVal val="0"/>
          <c:showCatName val="0"/>
          <c:showSerName val="0"/>
          <c:showPercent val="0"/>
          <c:showBubbleSize val="0"/>
        </c:dLbls>
        <c:axId val="605067344"/>
        <c:axId val="605064600"/>
      </c:scatterChart>
      <c:valAx>
        <c:axId val="605067344"/>
        <c:scaling>
          <c:orientation val="minMax"/>
          <c:max val="40"/>
          <c:min val="-30"/>
        </c:scaling>
        <c:delete val="0"/>
        <c:axPos val="b"/>
        <c:majorGridlines/>
        <c:title>
          <c:tx>
            <c:rich>
              <a:bodyPr/>
              <a:lstStyle/>
              <a:p>
                <a:pPr>
                  <a:defRPr lang="ja-JP"/>
                </a:pPr>
                <a:r>
                  <a:rPr lang="en-US"/>
                  <a:t>Off-Axis Angle (deg)</a:t>
                </a:r>
              </a:p>
            </c:rich>
          </c:tx>
          <c:overlay val="0"/>
        </c:title>
        <c:numFmt formatCode="General" sourceLinked="1"/>
        <c:majorTickMark val="out"/>
        <c:minorTickMark val="none"/>
        <c:tickLblPos val="nextTo"/>
        <c:txPr>
          <a:bodyPr rot="0" vert="horz"/>
          <a:lstStyle/>
          <a:p>
            <a:pPr>
              <a:defRPr lang="ja-JP" sz="1000" b="0" i="0" u="none" strike="noStrike" baseline="0">
                <a:solidFill>
                  <a:srgbClr val="000000"/>
                </a:solidFill>
                <a:latin typeface="Calibri"/>
                <a:ea typeface="Calibri"/>
                <a:cs typeface="Calibri"/>
              </a:defRPr>
            </a:pPr>
            <a:endParaRPr lang="en-US"/>
          </a:p>
        </c:txPr>
        <c:crossAx val="605064600"/>
        <c:crossesAt val="-40"/>
        <c:crossBetween val="midCat"/>
      </c:valAx>
      <c:valAx>
        <c:axId val="605064600"/>
        <c:scaling>
          <c:orientation val="minMax"/>
        </c:scaling>
        <c:delete val="0"/>
        <c:axPos val="l"/>
        <c:majorGridlines/>
        <c:title>
          <c:tx>
            <c:rich>
              <a:bodyPr rot="-5400000" vert="horz"/>
              <a:lstStyle/>
              <a:p>
                <a:pPr>
                  <a:defRPr lang="ja-JP"/>
                </a:pPr>
                <a:r>
                  <a:rPr lang="en-US"/>
                  <a:t>Elevation Antenna Gain (dBi)</a:t>
                </a:r>
              </a:p>
            </c:rich>
          </c:tx>
          <c:overlay val="0"/>
        </c:title>
        <c:numFmt formatCode="General" sourceLinked="1"/>
        <c:majorTickMark val="out"/>
        <c:minorTickMark val="none"/>
        <c:tickLblPos val="nextTo"/>
        <c:txPr>
          <a:bodyPr/>
          <a:lstStyle/>
          <a:p>
            <a:pPr>
              <a:defRPr lang="ja-JP"/>
            </a:pPr>
            <a:endParaRPr lang="en-US"/>
          </a:p>
        </c:txPr>
        <c:crossAx val="605067344"/>
        <c:crossesAt val="-60"/>
        <c:crossBetween val="midCat"/>
      </c:valAx>
      <c:spPr>
        <a:noFill/>
        <a:ln w="25400">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BR_Rec_2005.dotm</Template>
  <TotalTime>301</TotalTime>
  <Pages>1</Pages>
  <Words>9711</Words>
  <Characters>53708</Characters>
  <Application>Microsoft Office Word</Application>
  <DocSecurity>0</DocSecurity>
  <Lines>1193</Lines>
  <Paragraphs>77</Paragraphs>
  <ScaleCrop>false</ScaleCrop>
  <HeadingPairs>
    <vt:vector size="2" baseType="variant">
      <vt:variant>
        <vt:lpstr>Title</vt:lpstr>
      </vt:variant>
      <vt:variant>
        <vt:i4>1</vt:i4>
      </vt:variant>
    </vt:vector>
  </HeadingPairs>
  <TitlesOfParts>
    <vt:vector size="1" baseType="lpstr">
      <vt:lpstr>Report ITU-R RS.2537-0 (09/2023) Representative system characteristics and examples of evaluating interference into receiving earth stations in the radionavigation-satellite service (space-to-Earth) from spaceborne synthetic aperture radar sensors in the </vt:lpstr>
    </vt:vector>
  </TitlesOfParts>
  <Manager/>
  <Company>ITU</Company>
  <LinksUpToDate>false</LinksUpToDate>
  <CharactersWithSpaces>63342</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ITU-R RS.2537-0 (09/2023) Representative system characteristics and examples of evaluating interference into receiving earth stations in the radionavigation-satellite service (space-to-Earth) from spaceborne synthetic aperture radar sensors in the Earth exploration-satellite (active) service in the 1 215-1 300 MHz band</dc:title>
  <dc:subject/>
  <dc:creator>Gachet, Christelle</dc:creator>
  <cp:keywords/>
  <dc:description>2023-03-17 Version 1.1</dc:description>
  <cp:lastModifiedBy>Gachet, Christelle</cp:lastModifiedBy>
  <cp:revision>31</cp:revision>
  <cp:lastPrinted>2023-11-27T06:03:00Z</cp:lastPrinted>
  <dcterms:created xsi:type="dcterms:W3CDTF">2023-11-13T16:11:00Z</dcterms:created>
  <dcterms:modified xsi:type="dcterms:W3CDTF">2023-11-27T06:05:00Z</dcterms:modified>
  <cp:category>ITU-R 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