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p w:rsidR="005A1005" w:rsidRPr="00C37314" w:rsidRDefault="005A1005">
      <w:pPr>
        <w:rPr>
          <w:lang w:val="en-GB"/>
        </w:rPr>
      </w:pPr>
    </w:p>
    <w:tbl>
      <w:tblPr>
        <w:tblW w:w="10089" w:type="dxa"/>
        <w:tblLook w:val="01E0" w:firstRow="1" w:lastRow="1" w:firstColumn="1" w:lastColumn="1" w:noHBand="0" w:noVBand="0"/>
      </w:tblPr>
      <w:tblGrid>
        <w:gridCol w:w="10089"/>
      </w:tblGrid>
      <w:tr w:rsidR="005A1005" w:rsidRPr="00C908C7" w:rsidTr="00CA47D8">
        <w:tc>
          <w:tcPr>
            <w:tcW w:w="10089" w:type="dxa"/>
          </w:tcPr>
          <w:p w:rsidR="005A1005" w:rsidRPr="00C37314" w:rsidRDefault="005A1005" w:rsidP="00CA47D8">
            <w:pPr>
              <w:spacing w:before="380" w:line="280" w:lineRule="exact"/>
              <w:jc w:val="right"/>
              <w:rPr>
                <w:rFonts w:ascii="Tahoma" w:hAnsi="Tahoma" w:cs="Tahoma"/>
                <w:b/>
                <w:bCs/>
                <w:iCs/>
                <w:color w:val="509141"/>
                <w:sz w:val="32"/>
                <w:szCs w:val="32"/>
                <w:lang w:val="en-GB"/>
              </w:rPr>
            </w:pPr>
            <w:r w:rsidRPr="00C37314">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8" o:title=""/>
                </v:shape>
                <o:OLEObject Type="Embed" ProgID="Equation.3" ShapeID="_x0000_i1025" DrawAspect="Content" ObjectID="_1450772897" r:id="rId9"/>
              </w:object>
            </w:r>
          </w:p>
          <w:p w:rsidR="005A1005" w:rsidRPr="00C37314" w:rsidRDefault="005A1005" w:rsidP="005A1005">
            <w:pPr>
              <w:spacing w:before="380" w:line="280" w:lineRule="exact"/>
              <w:jc w:val="right"/>
              <w:rPr>
                <w:rFonts w:ascii="Tahoma" w:hAnsi="Tahoma" w:cs="Tahoma"/>
                <w:b/>
                <w:bCs/>
                <w:iCs/>
                <w:color w:val="509141"/>
                <w:sz w:val="36"/>
                <w:szCs w:val="36"/>
                <w:lang w:val="en-GB"/>
              </w:rPr>
            </w:pPr>
            <w:r w:rsidRPr="00C37314">
              <w:rPr>
                <w:rFonts w:ascii="Tahoma" w:hAnsi="Tahoma" w:cs="Tahoma"/>
                <w:b/>
                <w:bCs/>
                <w:iCs/>
                <w:color w:val="509141"/>
                <w:sz w:val="36"/>
                <w:szCs w:val="36"/>
                <w:lang w:val="en-GB"/>
              </w:rPr>
              <w:t>Report  ITU-R  S.2278</w:t>
            </w:r>
          </w:p>
          <w:p w:rsidR="005A1005" w:rsidRPr="00C37314" w:rsidRDefault="005A1005" w:rsidP="00890BC8">
            <w:pPr>
              <w:spacing w:before="80" w:line="280" w:lineRule="exact"/>
              <w:jc w:val="right"/>
              <w:rPr>
                <w:rFonts w:ascii="Tahoma" w:hAnsi="Tahoma" w:cs="Tahoma"/>
                <w:iCs/>
                <w:color w:val="509141"/>
                <w:szCs w:val="24"/>
                <w:lang w:val="en-GB"/>
              </w:rPr>
            </w:pPr>
            <w:r w:rsidRPr="00C37314">
              <w:rPr>
                <w:rFonts w:ascii="Tahoma" w:hAnsi="Tahoma" w:cs="Tahoma"/>
                <w:b/>
                <w:bCs/>
                <w:iCs/>
                <w:color w:val="509141"/>
                <w:szCs w:val="24"/>
                <w:lang w:val="en-GB"/>
              </w:rPr>
              <w:t>(</w:t>
            </w:r>
            <w:r w:rsidR="00890BC8">
              <w:rPr>
                <w:rFonts w:ascii="Tahoma" w:hAnsi="Tahoma" w:cs="Tahoma"/>
                <w:b/>
                <w:bCs/>
                <w:iCs/>
                <w:color w:val="509141"/>
                <w:szCs w:val="24"/>
                <w:lang w:val="en-GB"/>
              </w:rPr>
              <w:t>10</w:t>
            </w:r>
            <w:r w:rsidRPr="00C37314">
              <w:rPr>
                <w:rFonts w:ascii="Tahoma" w:hAnsi="Tahoma" w:cs="Tahoma"/>
                <w:b/>
                <w:bCs/>
                <w:iCs/>
                <w:color w:val="509141"/>
                <w:szCs w:val="24"/>
                <w:lang w:val="en-GB"/>
              </w:rPr>
              <w:t>/2013)</w:t>
            </w:r>
          </w:p>
        </w:tc>
      </w:tr>
      <w:tr w:rsidR="005A1005" w:rsidRPr="003A3778" w:rsidTr="00CA47D8">
        <w:tc>
          <w:tcPr>
            <w:tcW w:w="10089" w:type="dxa"/>
          </w:tcPr>
          <w:p w:rsidR="005A1005" w:rsidRPr="00C37314" w:rsidRDefault="005A1005" w:rsidP="00CA47D8">
            <w:pPr>
              <w:spacing w:before="80" w:line="500" w:lineRule="exact"/>
              <w:jc w:val="right"/>
              <w:rPr>
                <w:rFonts w:ascii="Tahoma" w:hAnsi="Tahoma" w:cs="Tahoma"/>
                <w:b/>
                <w:bCs/>
                <w:iCs/>
                <w:color w:val="509141"/>
                <w:sz w:val="44"/>
                <w:szCs w:val="44"/>
                <w:lang w:val="en-GB"/>
              </w:rPr>
            </w:pPr>
          </w:p>
          <w:p w:rsidR="005A1005" w:rsidRPr="00C37314" w:rsidRDefault="005A1005" w:rsidP="0021424A">
            <w:pPr>
              <w:spacing w:before="80" w:line="500" w:lineRule="exact"/>
              <w:jc w:val="right"/>
              <w:rPr>
                <w:rFonts w:ascii="Tahoma" w:hAnsi="Tahoma" w:cs="Tahoma"/>
                <w:b/>
                <w:bCs/>
                <w:iCs/>
                <w:color w:val="509141"/>
                <w:sz w:val="44"/>
                <w:szCs w:val="44"/>
                <w:lang w:val="en-GB"/>
              </w:rPr>
            </w:pPr>
            <w:r w:rsidRPr="00C37314">
              <w:rPr>
                <w:rFonts w:ascii="Tahoma" w:hAnsi="Tahoma" w:cs="Tahoma"/>
                <w:b/>
                <w:bCs/>
                <w:color w:val="509141"/>
                <w:sz w:val="44"/>
                <w:szCs w:val="44"/>
                <w:lang w:val="en-GB"/>
              </w:rPr>
              <w:t>Use of very small aperture terminals</w:t>
            </w:r>
            <w:r w:rsidR="0021424A" w:rsidRPr="00C37314">
              <w:rPr>
                <w:rFonts w:ascii="Tahoma" w:hAnsi="Tahoma" w:cs="Tahoma"/>
                <w:b/>
                <w:bCs/>
                <w:color w:val="509141"/>
                <w:sz w:val="44"/>
                <w:szCs w:val="44"/>
                <w:lang w:val="en-GB"/>
              </w:rPr>
              <w:br/>
            </w:r>
            <w:r w:rsidRPr="00C37314">
              <w:rPr>
                <w:rFonts w:ascii="Tahoma" w:hAnsi="Tahoma" w:cs="Tahoma"/>
                <w:b/>
                <w:bCs/>
                <w:color w:val="509141"/>
                <w:sz w:val="44"/>
                <w:szCs w:val="44"/>
                <w:lang w:val="en-GB"/>
              </w:rPr>
              <w:t>(VSATs)</w:t>
            </w:r>
            <w:r w:rsidRPr="00C37314">
              <w:rPr>
                <w:rFonts w:ascii="Tahoma" w:hAnsi="Tahoma" w:cs="Tahoma"/>
                <w:b/>
                <w:bCs/>
                <w:iCs/>
                <w:color w:val="509141"/>
                <w:sz w:val="44"/>
                <w:szCs w:val="44"/>
                <w:lang w:val="en-GB"/>
              </w:rPr>
              <w:t xml:space="preserve"> </w:t>
            </w:r>
          </w:p>
        </w:tc>
      </w:tr>
      <w:tr w:rsidR="005A1005" w:rsidRPr="003A3778" w:rsidTr="00CA47D8">
        <w:tc>
          <w:tcPr>
            <w:tcW w:w="10089" w:type="dxa"/>
          </w:tcPr>
          <w:p w:rsidR="005A1005" w:rsidRPr="00C37314" w:rsidRDefault="005A1005" w:rsidP="00CA47D8">
            <w:pPr>
              <w:spacing w:before="80" w:line="280" w:lineRule="exact"/>
              <w:ind w:right="640"/>
              <w:rPr>
                <w:rFonts w:ascii="Tahoma" w:hAnsi="Tahoma" w:cs="Tahoma"/>
                <w:b/>
                <w:bCs/>
                <w:iCs/>
                <w:color w:val="243285"/>
                <w:sz w:val="32"/>
                <w:szCs w:val="32"/>
                <w:lang w:val="en-GB"/>
              </w:rPr>
            </w:pPr>
          </w:p>
          <w:p w:rsidR="005A1005" w:rsidRPr="00C37314" w:rsidRDefault="005A1005" w:rsidP="00CA47D8">
            <w:pPr>
              <w:spacing w:before="80" w:line="280" w:lineRule="exact"/>
              <w:ind w:right="640"/>
              <w:rPr>
                <w:rFonts w:ascii="Tahoma" w:hAnsi="Tahoma" w:cs="Tahoma"/>
                <w:b/>
                <w:bCs/>
                <w:iCs/>
                <w:color w:val="243285"/>
                <w:sz w:val="32"/>
                <w:szCs w:val="32"/>
                <w:lang w:val="en-GB"/>
              </w:rPr>
            </w:pPr>
          </w:p>
          <w:p w:rsidR="005A1005" w:rsidRPr="00C37314" w:rsidRDefault="005A1005" w:rsidP="00CA47D8">
            <w:pPr>
              <w:spacing w:before="80" w:line="280" w:lineRule="exact"/>
              <w:ind w:right="640"/>
              <w:rPr>
                <w:rFonts w:ascii="Tahoma" w:hAnsi="Tahoma" w:cs="Tahoma"/>
                <w:b/>
                <w:bCs/>
                <w:iCs/>
                <w:color w:val="243285"/>
                <w:sz w:val="32"/>
                <w:szCs w:val="32"/>
                <w:lang w:val="en-GB"/>
              </w:rPr>
            </w:pPr>
          </w:p>
          <w:p w:rsidR="005A1005" w:rsidRPr="00C37314" w:rsidRDefault="005A1005" w:rsidP="00CA47D8">
            <w:pPr>
              <w:spacing w:before="80" w:after="180" w:line="360" w:lineRule="exact"/>
              <w:jc w:val="right"/>
              <w:rPr>
                <w:rFonts w:ascii="Tahoma" w:hAnsi="Tahoma" w:cs="Tahoma"/>
                <w:b/>
                <w:bCs/>
                <w:iCs/>
                <w:color w:val="243285"/>
                <w:sz w:val="36"/>
                <w:szCs w:val="36"/>
                <w:lang w:val="en-GB"/>
              </w:rPr>
            </w:pPr>
          </w:p>
          <w:p w:rsidR="005A1005" w:rsidRPr="00C37314" w:rsidRDefault="005A1005" w:rsidP="00CA47D8">
            <w:pPr>
              <w:spacing w:before="80" w:after="180" w:line="360" w:lineRule="exact"/>
              <w:jc w:val="right"/>
              <w:rPr>
                <w:rFonts w:ascii="Tahoma" w:hAnsi="Tahoma" w:cs="Tahoma"/>
                <w:b/>
                <w:bCs/>
                <w:iCs/>
                <w:color w:val="509141"/>
                <w:sz w:val="36"/>
                <w:szCs w:val="36"/>
                <w:lang w:val="en-GB"/>
              </w:rPr>
            </w:pPr>
            <w:r w:rsidRPr="00C37314">
              <w:rPr>
                <w:rFonts w:ascii="Tahoma" w:hAnsi="Tahoma" w:cs="Tahoma"/>
                <w:b/>
                <w:bCs/>
                <w:iCs/>
                <w:color w:val="509141"/>
                <w:sz w:val="36"/>
                <w:szCs w:val="36"/>
                <w:lang w:val="en-GB"/>
              </w:rPr>
              <w:t>S Series</w:t>
            </w:r>
          </w:p>
          <w:p w:rsidR="005A1005" w:rsidRPr="00C37314" w:rsidRDefault="005A1005" w:rsidP="00CA47D8">
            <w:pPr>
              <w:spacing w:before="80" w:line="420" w:lineRule="exact"/>
              <w:jc w:val="right"/>
              <w:rPr>
                <w:rFonts w:ascii="Tahoma" w:hAnsi="Tahoma" w:cs="Tahoma"/>
                <w:b/>
                <w:bCs/>
                <w:iCs/>
                <w:color w:val="509141"/>
                <w:sz w:val="36"/>
                <w:szCs w:val="36"/>
                <w:lang w:val="en-GB"/>
              </w:rPr>
            </w:pPr>
            <w:r w:rsidRPr="00C37314">
              <w:rPr>
                <w:rFonts w:ascii="Tahoma" w:hAnsi="Tahoma" w:cs="Tahoma"/>
                <w:b/>
                <w:bCs/>
                <w:iCs/>
                <w:color w:val="509141"/>
                <w:sz w:val="36"/>
                <w:szCs w:val="36"/>
                <w:lang w:val="en-GB"/>
              </w:rPr>
              <w:t>Fixed satellite service</w:t>
            </w:r>
          </w:p>
        </w:tc>
      </w:tr>
    </w:tbl>
    <w:p w:rsidR="005A1005" w:rsidRPr="00C37314" w:rsidRDefault="005A1005" w:rsidP="00CD659B">
      <w:pPr>
        <w:spacing w:before="80"/>
        <w:rPr>
          <w:i/>
          <w:sz w:val="22"/>
          <w:lang w:val="en-GB"/>
        </w:rPr>
      </w:pPr>
    </w:p>
    <w:p w:rsidR="005A1005" w:rsidRPr="00C37314" w:rsidRDefault="005A1005" w:rsidP="00CD659B">
      <w:pPr>
        <w:spacing w:before="80"/>
        <w:rPr>
          <w:i/>
          <w:sz w:val="22"/>
          <w:lang w:val="en-GB"/>
        </w:rPr>
      </w:pPr>
    </w:p>
    <w:p w:rsidR="005A1005" w:rsidRPr="00C37314" w:rsidRDefault="005A1005" w:rsidP="00CD659B">
      <w:pPr>
        <w:spacing w:before="80"/>
        <w:rPr>
          <w:i/>
          <w:sz w:val="22"/>
          <w:lang w:val="en-GB"/>
        </w:rPr>
      </w:pPr>
    </w:p>
    <w:p w:rsidR="005A1005" w:rsidRPr="00C37314" w:rsidRDefault="005A1005" w:rsidP="00CD659B">
      <w:pPr>
        <w:spacing w:before="80"/>
        <w:rPr>
          <w:i/>
          <w:sz w:val="22"/>
          <w:lang w:val="en-GB"/>
        </w:rPr>
      </w:pPr>
    </w:p>
    <w:p w:rsidR="005A1005" w:rsidRPr="00C37314" w:rsidRDefault="005A1005" w:rsidP="00CD659B">
      <w:pPr>
        <w:spacing w:before="80"/>
        <w:rPr>
          <w:i/>
          <w:sz w:val="22"/>
          <w:lang w:val="en-GB"/>
        </w:rPr>
      </w:pPr>
    </w:p>
    <w:p w:rsidR="005A1005" w:rsidRPr="00C37314" w:rsidRDefault="005A1005" w:rsidP="00CD659B">
      <w:pPr>
        <w:spacing w:before="80"/>
        <w:rPr>
          <w:i/>
          <w:sz w:val="22"/>
          <w:lang w:val="en-GB"/>
        </w:rPr>
      </w:pPr>
    </w:p>
    <w:p w:rsidR="005A1005" w:rsidRPr="00C37314" w:rsidRDefault="005A1005" w:rsidP="00CD659B">
      <w:pPr>
        <w:rPr>
          <w:rFonts w:ascii="Palatino Linotype" w:hAnsi="Palatino Linotype"/>
          <w:lang w:val="en-GB"/>
        </w:rPr>
        <w:sectPr w:rsidR="005A1005" w:rsidRPr="00C37314" w:rsidSect="00D11BC5">
          <w:headerReference w:type="even" r:id="rId10"/>
          <w:headerReference w:type="default" r:id="rId11"/>
          <w:pgSz w:w="11907" w:h="16834" w:code="9"/>
          <w:pgMar w:top="1418" w:right="1134" w:bottom="1134" w:left="1134" w:header="720" w:footer="482" w:gutter="0"/>
          <w:paperSrc w:first="15" w:other="15"/>
          <w:cols w:space="720"/>
        </w:sectPr>
      </w:pPr>
    </w:p>
    <w:p w:rsidR="005A1005" w:rsidRPr="00C37314" w:rsidRDefault="005A1005"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37314">
        <w:rPr>
          <w:bCs/>
          <w:sz w:val="24"/>
          <w:szCs w:val="24"/>
          <w:lang w:val="en-GB"/>
        </w:rPr>
        <w:lastRenderedPageBreak/>
        <w:t>Foreword</w:t>
      </w:r>
    </w:p>
    <w:p w:rsidR="005A1005" w:rsidRPr="00C37314" w:rsidRDefault="005A1005" w:rsidP="00CB60A4">
      <w:pPr>
        <w:spacing w:before="240"/>
        <w:rPr>
          <w:sz w:val="20"/>
          <w:lang w:val="en-GB"/>
        </w:rPr>
      </w:pPr>
      <w:r w:rsidRPr="00C3731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A1005" w:rsidRPr="00C37314" w:rsidRDefault="005A1005" w:rsidP="00CB60A4">
      <w:pPr>
        <w:rPr>
          <w:sz w:val="20"/>
          <w:lang w:val="en-GB"/>
        </w:rPr>
      </w:pPr>
      <w:r w:rsidRPr="00C37314">
        <w:rPr>
          <w:sz w:val="20"/>
          <w:lang w:val="en-GB"/>
        </w:rPr>
        <w:t>The regulatory and policy functions of the Radiocommunication Sector are performed by World and Regional Radiocommunication Conferences and Radiocommunication Assemblies supported by Study Groups.</w:t>
      </w:r>
    </w:p>
    <w:p w:rsidR="005A1005" w:rsidRPr="00C37314" w:rsidRDefault="005A1005" w:rsidP="00505FB4">
      <w:pPr>
        <w:pStyle w:val="Heading1"/>
        <w:spacing w:before="400"/>
        <w:jc w:val="center"/>
        <w:rPr>
          <w:szCs w:val="24"/>
          <w:lang w:val="en-GB"/>
        </w:rPr>
      </w:pPr>
    </w:p>
    <w:p w:rsidR="005A1005" w:rsidRPr="00C37314" w:rsidRDefault="005A1005" w:rsidP="000C0413">
      <w:pPr>
        <w:pStyle w:val="Heading1"/>
        <w:spacing w:before="540"/>
        <w:jc w:val="center"/>
        <w:rPr>
          <w:szCs w:val="24"/>
          <w:lang w:val="en-GB"/>
        </w:rPr>
      </w:pPr>
      <w:bookmarkStart w:id="1" w:name="_Toc373828452"/>
      <w:bookmarkStart w:id="2" w:name="_Toc376852978"/>
      <w:r w:rsidRPr="00C37314">
        <w:rPr>
          <w:szCs w:val="24"/>
          <w:lang w:val="en-GB"/>
        </w:rPr>
        <w:t>Policy on Intellectual Property Right (IPR)</w:t>
      </w:r>
      <w:bookmarkEnd w:id="1"/>
      <w:bookmarkEnd w:id="2"/>
    </w:p>
    <w:p w:rsidR="005A1005" w:rsidRPr="00C37314" w:rsidRDefault="005A1005" w:rsidP="009030CC">
      <w:pPr>
        <w:tabs>
          <w:tab w:val="left" w:pos="720"/>
        </w:tabs>
        <w:spacing w:before="240"/>
        <w:rPr>
          <w:sz w:val="20"/>
          <w:lang w:val="en-GB"/>
        </w:rPr>
      </w:pPr>
      <w:r w:rsidRPr="00C3731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C37314">
          <w:rPr>
            <w:rStyle w:val="Hyperlink"/>
            <w:sz w:val="20"/>
            <w:lang w:val="en-GB"/>
          </w:rPr>
          <w:t>http://www.itu.int/ITU-R/go/patents/en</w:t>
        </w:r>
      </w:hyperlink>
      <w:r w:rsidRPr="00C37314">
        <w:rPr>
          <w:sz w:val="20"/>
          <w:lang w:val="en-GB"/>
        </w:rPr>
        <w:t xml:space="preserve"> where the Guidelines for Implementation of the Common Patent Policy for ITU</w:t>
      </w:r>
      <w:r w:rsidRPr="00C37314">
        <w:rPr>
          <w:sz w:val="20"/>
          <w:lang w:val="en-GB"/>
        </w:rPr>
        <w:noBreakHyphen/>
        <w:t>T/ITU</w:t>
      </w:r>
      <w:r w:rsidRPr="00C37314">
        <w:rPr>
          <w:sz w:val="20"/>
          <w:lang w:val="en-GB"/>
        </w:rPr>
        <w:noBreakHyphen/>
        <w:t xml:space="preserve">R/ISO/IEC and the ITU-R patent information database can also be found. </w:t>
      </w:r>
    </w:p>
    <w:p w:rsidR="005A1005" w:rsidRPr="00C37314" w:rsidRDefault="005A1005" w:rsidP="00CB60A4">
      <w:pPr>
        <w:jc w:val="center"/>
        <w:rPr>
          <w:sz w:val="22"/>
          <w:lang w:val="en-GB"/>
        </w:rPr>
      </w:pPr>
    </w:p>
    <w:p w:rsidR="005A1005" w:rsidRPr="00C37314" w:rsidRDefault="005A1005" w:rsidP="00CB60A4">
      <w:pPr>
        <w:jc w:val="center"/>
        <w:rPr>
          <w:sz w:val="22"/>
          <w:lang w:val="en-GB"/>
        </w:rPr>
      </w:pPr>
    </w:p>
    <w:p w:rsidR="005A1005" w:rsidRPr="00C37314" w:rsidRDefault="005A1005"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A1005" w:rsidRPr="003A3778">
        <w:tc>
          <w:tcPr>
            <w:tcW w:w="9360" w:type="dxa"/>
            <w:gridSpan w:val="2"/>
            <w:tcBorders>
              <w:top w:val="single" w:sz="12" w:space="0" w:color="000080"/>
              <w:left w:val="single" w:sz="12" w:space="0" w:color="000080"/>
              <w:bottom w:val="nil"/>
              <w:right w:val="single" w:sz="12" w:space="0" w:color="000080"/>
            </w:tcBorders>
          </w:tcPr>
          <w:p w:rsidR="005A1005" w:rsidRPr="00C37314" w:rsidRDefault="005A1005" w:rsidP="00C7761D">
            <w:pPr>
              <w:pStyle w:val="ChapNo"/>
              <w:spacing w:before="240"/>
              <w:rPr>
                <w:sz w:val="22"/>
                <w:szCs w:val="22"/>
                <w:lang w:val="en-GB"/>
              </w:rPr>
            </w:pPr>
            <w:r w:rsidRPr="00C37314">
              <w:rPr>
                <w:sz w:val="22"/>
                <w:szCs w:val="22"/>
                <w:lang w:val="en-GB"/>
              </w:rPr>
              <w:t xml:space="preserve">Series of ITU-R Reports </w:t>
            </w:r>
          </w:p>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37314">
              <w:rPr>
                <w:b w:val="0"/>
                <w:sz w:val="18"/>
                <w:szCs w:val="18"/>
                <w:lang w:val="en-GB"/>
              </w:rPr>
              <w:t xml:space="preserve">(Also available online at </w:t>
            </w:r>
            <w:hyperlink r:id="rId13" w:history="1">
              <w:r w:rsidRPr="00C37314">
                <w:rPr>
                  <w:rStyle w:val="Hyperlink"/>
                  <w:b w:val="0"/>
                  <w:bCs/>
                  <w:sz w:val="18"/>
                  <w:szCs w:val="18"/>
                  <w:lang w:val="en-GB"/>
                </w:rPr>
                <w:t>http://www.itu.int/publ/R-REP/en</w:t>
              </w:r>
            </w:hyperlink>
            <w:r w:rsidRPr="00C37314">
              <w:rPr>
                <w:b w:val="0"/>
                <w:sz w:val="18"/>
                <w:szCs w:val="18"/>
                <w:lang w:val="en-GB"/>
              </w:rPr>
              <w:t>)</w:t>
            </w:r>
          </w:p>
        </w:tc>
      </w:tr>
      <w:tr w:rsidR="005A1005" w:rsidRPr="00C37314" w:rsidTr="006F2B77">
        <w:tc>
          <w:tcPr>
            <w:tcW w:w="1140" w:type="dxa"/>
            <w:tcBorders>
              <w:top w:val="nil"/>
              <w:left w:val="single" w:sz="12" w:space="0" w:color="000080"/>
              <w:bottom w:val="nil"/>
              <w:right w:val="nil"/>
            </w:tcBorders>
          </w:tcPr>
          <w:p w:rsidR="005A1005" w:rsidRPr="00C37314" w:rsidRDefault="005A1005">
            <w:pPr>
              <w:spacing w:before="200" w:after="100"/>
              <w:ind w:left="57"/>
              <w:rPr>
                <w:b/>
                <w:bCs/>
                <w:sz w:val="20"/>
                <w:lang w:val="en-GB"/>
              </w:rPr>
            </w:pPr>
            <w:r w:rsidRPr="00C37314">
              <w:rPr>
                <w:b/>
                <w:bCs/>
                <w:sz w:val="20"/>
                <w:lang w:val="en-GB"/>
              </w:rPr>
              <w:t>Series</w:t>
            </w:r>
          </w:p>
        </w:tc>
        <w:tc>
          <w:tcPr>
            <w:tcW w:w="8220" w:type="dxa"/>
            <w:tcBorders>
              <w:top w:val="nil"/>
              <w:left w:val="nil"/>
              <w:bottom w:val="nil"/>
              <w:right w:val="single" w:sz="12" w:space="0" w:color="000080"/>
            </w:tcBorders>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37314">
              <w:rPr>
                <w:bCs/>
                <w:sz w:val="20"/>
                <w:lang w:val="en-GB"/>
              </w:rPr>
              <w:t>Title</w:t>
            </w:r>
          </w:p>
        </w:tc>
      </w:tr>
      <w:tr w:rsidR="005A1005" w:rsidRPr="00C37314" w:rsidTr="006F2B77">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37314">
              <w:rPr>
                <w:b w:val="0"/>
                <w:sz w:val="20"/>
                <w:lang w:val="en-GB"/>
              </w:rPr>
              <w:t>Satellite delivery</w:t>
            </w:r>
          </w:p>
        </w:tc>
      </w:tr>
      <w:tr w:rsidR="005A1005" w:rsidRPr="003A3778" w:rsidTr="00D55B55">
        <w:tc>
          <w:tcPr>
            <w:tcW w:w="1140" w:type="dxa"/>
            <w:tcBorders>
              <w:top w:val="nil"/>
              <w:left w:val="single" w:sz="12" w:space="0" w:color="000080"/>
              <w:bottom w:val="nil"/>
              <w:right w:val="nil"/>
            </w:tcBorders>
          </w:tcPr>
          <w:p w:rsidR="005A1005" w:rsidRPr="00C37314" w:rsidRDefault="005A1005">
            <w:pPr>
              <w:spacing w:before="30" w:after="30"/>
              <w:ind w:left="57"/>
              <w:jc w:val="left"/>
              <w:rPr>
                <w:b/>
                <w:bCs/>
                <w:sz w:val="20"/>
                <w:lang w:val="en-GB"/>
              </w:rPr>
            </w:pPr>
            <w:r w:rsidRPr="00C37314">
              <w:rPr>
                <w:b/>
                <w:bCs/>
                <w:sz w:val="20"/>
                <w:lang w:val="en-GB"/>
              </w:rPr>
              <w:t>BR</w:t>
            </w:r>
          </w:p>
        </w:tc>
        <w:tc>
          <w:tcPr>
            <w:tcW w:w="8220" w:type="dxa"/>
            <w:tcBorders>
              <w:top w:val="nil"/>
              <w:left w:val="nil"/>
              <w:bottom w:val="nil"/>
              <w:right w:val="single" w:sz="12" w:space="0" w:color="000080"/>
            </w:tcBorders>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37314">
              <w:rPr>
                <w:b w:val="0"/>
                <w:sz w:val="20"/>
                <w:lang w:val="en-GB"/>
              </w:rPr>
              <w:t>Recording for production, archival and play-out; film for television</w:t>
            </w:r>
          </w:p>
        </w:tc>
      </w:tr>
      <w:tr w:rsidR="005A1005" w:rsidRPr="00C37314" w:rsidTr="00D55B55">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37314">
              <w:rPr>
                <w:b w:val="0"/>
                <w:sz w:val="20"/>
                <w:lang w:val="en-GB"/>
              </w:rPr>
              <w:t>Broadcasting service (sound)</w:t>
            </w:r>
          </w:p>
        </w:tc>
      </w:tr>
      <w:tr w:rsidR="005A1005" w:rsidRPr="00C37314" w:rsidTr="00D069F2">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37314">
              <w:rPr>
                <w:b w:val="0"/>
                <w:sz w:val="20"/>
                <w:lang w:val="en-GB"/>
              </w:rPr>
              <w:t>Broadcasting service (television)</w:t>
            </w:r>
          </w:p>
        </w:tc>
      </w:tr>
      <w:tr w:rsidR="005A1005" w:rsidRPr="00C37314" w:rsidTr="00D069F2">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5A1005" w:rsidRPr="00C37314" w:rsidRDefault="005A10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37314">
              <w:rPr>
                <w:sz w:val="20"/>
                <w:lang w:val="en-GB"/>
              </w:rPr>
              <w:t>Fixed service</w:t>
            </w:r>
          </w:p>
        </w:tc>
      </w:tr>
      <w:tr w:rsidR="005A1005" w:rsidRPr="00C37314" w:rsidTr="002D77AF">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b/>
                <w:bCs/>
                <w:sz w:val="20"/>
                <w:lang w:val="en-GB"/>
              </w:rPr>
            </w:pPr>
            <w:r w:rsidRPr="00C37314">
              <w:rPr>
                <w:b/>
                <w:bCs/>
                <w:sz w:val="20"/>
                <w:lang w:val="en-GB"/>
              </w:rPr>
              <w:t>M</w:t>
            </w:r>
          </w:p>
        </w:tc>
        <w:tc>
          <w:tcPr>
            <w:tcW w:w="8220" w:type="dxa"/>
            <w:tcBorders>
              <w:top w:val="nil"/>
              <w:left w:val="nil"/>
              <w:bottom w:val="nil"/>
              <w:right w:val="single" w:sz="12" w:space="0" w:color="000080"/>
            </w:tcBorders>
            <w:shd w:val="clear" w:color="auto" w:fill="auto"/>
          </w:tcPr>
          <w:p w:rsidR="005A1005" w:rsidRPr="00C37314" w:rsidRDefault="005A100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37314">
              <w:rPr>
                <w:b w:val="0"/>
                <w:sz w:val="20"/>
                <w:lang w:val="en-GB"/>
              </w:rPr>
              <w:t>Mobile, radiodetermination, amateur and related satellite services</w:t>
            </w:r>
          </w:p>
        </w:tc>
      </w:tr>
      <w:tr w:rsidR="005A1005" w:rsidRPr="00C37314" w:rsidTr="003B4EE8">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5A1005" w:rsidRPr="00C37314" w:rsidRDefault="005A1005">
            <w:pPr>
              <w:spacing w:before="30" w:after="30"/>
              <w:jc w:val="left"/>
              <w:rPr>
                <w:sz w:val="20"/>
                <w:lang w:val="en-GB"/>
              </w:rPr>
            </w:pPr>
            <w:r w:rsidRPr="00C37314">
              <w:rPr>
                <w:sz w:val="20"/>
                <w:lang w:val="en-GB"/>
              </w:rPr>
              <w:t>Radiowave propagation</w:t>
            </w:r>
          </w:p>
        </w:tc>
      </w:tr>
      <w:tr w:rsidR="005A1005" w:rsidRPr="00C37314" w:rsidTr="00CB1116">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5A1005" w:rsidRPr="00C37314" w:rsidRDefault="005A10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37314">
              <w:rPr>
                <w:sz w:val="20"/>
                <w:lang w:val="en-GB"/>
              </w:rPr>
              <w:t>Radio astronomy</w:t>
            </w:r>
          </w:p>
        </w:tc>
      </w:tr>
      <w:tr w:rsidR="005A1005" w:rsidRPr="00C37314" w:rsidTr="00CB1116">
        <w:tc>
          <w:tcPr>
            <w:tcW w:w="1140" w:type="dxa"/>
            <w:tcBorders>
              <w:top w:val="nil"/>
              <w:left w:val="single" w:sz="12" w:space="0" w:color="000080"/>
              <w:bottom w:val="nil"/>
              <w:right w:val="nil"/>
            </w:tcBorders>
            <w:shd w:val="clear" w:color="auto" w:fill="auto"/>
          </w:tcPr>
          <w:p w:rsidR="005A1005" w:rsidRPr="00C37314" w:rsidRDefault="005A1005">
            <w:pPr>
              <w:spacing w:before="30" w:after="30"/>
              <w:ind w:left="57"/>
              <w:jc w:val="left"/>
              <w:rPr>
                <w:rFonts w:ascii="Times New Roman Bold" w:hAnsi="Times New Roman Bold" w:cs="Times New Roman Bold"/>
                <w:b/>
                <w:bCs/>
                <w:sz w:val="20"/>
                <w:lang w:val="en-GB"/>
              </w:rPr>
            </w:pPr>
            <w:r w:rsidRPr="00C37314">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5A1005" w:rsidRPr="00C37314" w:rsidRDefault="005A100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37314">
              <w:rPr>
                <w:sz w:val="20"/>
                <w:lang w:val="en-GB"/>
              </w:rPr>
              <w:t>Remote sensing systems</w:t>
            </w:r>
          </w:p>
        </w:tc>
      </w:tr>
      <w:tr w:rsidR="005A1005" w:rsidRPr="00C37314" w:rsidTr="00CB1116">
        <w:tc>
          <w:tcPr>
            <w:tcW w:w="1140" w:type="dxa"/>
            <w:tcBorders>
              <w:top w:val="nil"/>
              <w:left w:val="single" w:sz="12" w:space="0" w:color="000080"/>
              <w:bottom w:val="nil"/>
              <w:right w:val="nil"/>
            </w:tcBorders>
            <w:shd w:val="clear" w:color="auto" w:fill="F3F3F3"/>
          </w:tcPr>
          <w:p w:rsidR="005A1005" w:rsidRPr="00C37314" w:rsidRDefault="005A1005">
            <w:pPr>
              <w:spacing w:before="30" w:after="30"/>
              <w:ind w:left="57"/>
              <w:jc w:val="left"/>
              <w:rPr>
                <w:b/>
                <w:bCs/>
                <w:color w:val="000080"/>
                <w:sz w:val="20"/>
                <w:lang w:val="en-GB"/>
              </w:rPr>
            </w:pPr>
            <w:r w:rsidRPr="00C37314">
              <w:rPr>
                <w:b/>
                <w:bCs/>
                <w:color w:val="000080"/>
                <w:sz w:val="20"/>
                <w:lang w:val="en-GB"/>
              </w:rPr>
              <w:t>S</w:t>
            </w:r>
          </w:p>
        </w:tc>
        <w:tc>
          <w:tcPr>
            <w:tcW w:w="8220" w:type="dxa"/>
            <w:tcBorders>
              <w:top w:val="nil"/>
              <w:left w:val="nil"/>
              <w:bottom w:val="nil"/>
              <w:right w:val="single" w:sz="12" w:space="0" w:color="000080"/>
            </w:tcBorders>
            <w:shd w:val="clear" w:color="auto" w:fill="F3F3F3"/>
          </w:tcPr>
          <w:p w:rsidR="005A1005" w:rsidRPr="00C37314" w:rsidRDefault="005A1005">
            <w:pPr>
              <w:spacing w:before="30" w:after="30"/>
              <w:jc w:val="left"/>
              <w:rPr>
                <w:b/>
                <w:bCs/>
                <w:color w:val="000080"/>
                <w:sz w:val="20"/>
                <w:lang w:val="en-GB"/>
              </w:rPr>
            </w:pPr>
            <w:r w:rsidRPr="00C37314">
              <w:rPr>
                <w:b/>
                <w:bCs/>
                <w:color w:val="000080"/>
                <w:sz w:val="20"/>
                <w:lang w:val="en-GB"/>
              </w:rPr>
              <w:t>Fixed-satellite service</w:t>
            </w:r>
          </w:p>
        </w:tc>
      </w:tr>
      <w:tr w:rsidR="005A1005" w:rsidRPr="00C37314">
        <w:tc>
          <w:tcPr>
            <w:tcW w:w="1140" w:type="dxa"/>
            <w:tcBorders>
              <w:top w:val="nil"/>
              <w:left w:val="single" w:sz="12" w:space="0" w:color="000080"/>
              <w:bottom w:val="nil"/>
              <w:right w:val="nil"/>
            </w:tcBorders>
          </w:tcPr>
          <w:p w:rsidR="005A1005" w:rsidRPr="00C37314" w:rsidRDefault="005A1005">
            <w:pPr>
              <w:spacing w:before="30" w:after="30"/>
              <w:ind w:left="57"/>
              <w:jc w:val="left"/>
              <w:rPr>
                <w:b/>
                <w:bCs/>
                <w:sz w:val="20"/>
                <w:lang w:val="en-GB"/>
              </w:rPr>
            </w:pPr>
            <w:r w:rsidRPr="00C37314">
              <w:rPr>
                <w:b/>
                <w:bCs/>
                <w:sz w:val="20"/>
                <w:lang w:val="en-GB"/>
              </w:rPr>
              <w:t>SA</w:t>
            </w:r>
          </w:p>
        </w:tc>
        <w:tc>
          <w:tcPr>
            <w:tcW w:w="8220" w:type="dxa"/>
            <w:tcBorders>
              <w:top w:val="nil"/>
              <w:left w:val="nil"/>
              <w:bottom w:val="nil"/>
              <w:right w:val="single" w:sz="12" w:space="0" w:color="000080"/>
            </w:tcBorders>
          </w:tcPr>
          <w:p w:rsidR="005A1005" w:rsidRPr="00C37314" w:rsidRDefault="005A1005">
            <w:pPr>
              <w:spacing w:before="30" w:after="30"/>
              <w:jc w:val="left"/>
              <w:rPr>
                <w:sz w:val="20"/>
                <w:lang w:val="en-GB"/>
              </w:rPr>
            </w:pPr>
            <w:r w:rsidRPr="00C37314">
              <w:rPr>
                <w:sz w:val="20"/>
                <w:lang w:val="en-GB"/>
              </w:rPr>
              <w:t>Space applications and meteorology</w:t>
            </w:r>
          </w:p>
        </w:tc>
      </w:tr>
      <w:tr w:rsidR="005A1005" w:rsidRPr="003A3778">
        <w:tc>
          <w:tcPr>
            <w:tcW w:w="1140" w:type="dxa"/>
            <w:tcBorders>
              <w:top w:val="nil"/>
              <w:left w:val="single" w:sz="12" w:space="0" w:color="000080"/>
              <w:bottom w:val="nil"/>
              <w:right w:val="nil"/>
            </w:tcBorders>
          </w:tcPr>
          <w:p w:rsidR="005A1005" w:rsidRPr="00C37314" w:rsidRDefault="005A1005">
            <w:pPr>
              <w:spacing w:before="30" w:after="30"/>
              <w:ind w:left="57"/>
              <w:jc w:val="left"/>
              <w:rPr>
                <w:b/>
                <w:bCs/>
                <w:sz w:val="20"/>
                <w:lang w:val="en-GB"/>
              </w:rPr>
            </w:pPr>
            <w:r w:rsidRPr="00C37314">
              <w:rPr>
                <w:b/>
                <w:bCs/>
                <w:sz w:val="20"/>
                <w:lang w:val="en-GB"/>
              </w:rPr>
              <w:t>SF</w:t>
            </w:r>
          </w:p>
        </w:tc>
        <w:tc>
          <w:tcPr>
            <w:tcW w:w="8220" w:type="dxa"/>
            <w:tcBorders>
              <w:top w:val="nil"/>
              <w:left w:val="nil"/>
              <w:bottom w:val="nil"/>
              <w:right w:val="single" w:sz="12" w:space="0" w:color="000080"/>
            </w:tcBorders>
          </w:tcPr>
          <w:p w:rsidR="005A1005" w:rsidRPr="00C37314" w:rsidRDefault="005A1005">
            <w:pPr>
              <w:spacing w:before="30" w:after="30"/>
              <w:jc w:val="left"/>
              <w:rPr>
                <w:sz w:val="20"/>
                <w:lang w:val="en-GB"/>
              </w:rPr>
            </w:pPr>
            <w:r w:rsidRPr="00C37314">
              <w:rPr>
                <w:sz w:val="20"/>
                <w:lang w:val="en-GB"/>
              </w:rPr>
              <w:t>Frequency sharing and coordination between fixed-satellite and fixed service systems</w:t>
            </w:r>
          </w:p>
        </w:tc>
      </w:tr>
      <w:tr w:rsidR="005A1005" w:rsidRPr="00C37314">
        <w:tc>
          <w:tcPr>
            <w:tcW w:w="1140" w:type="dxa"/>
            <w:tcBorders>
              <w:top w:val="nil"/>
              <w:left w:val="single" w:sz="12" w:space="0" w:color="000080"/>
              <w:bottom w:val="single" w:sz="12" w:space="0" w:color="000080"/>
              <w:right w:val="nil"/>
            </w:tcBorders>
          </w:tcPr>
          <w:p w:rsidR="005A1005" w:rsidRPr="00C37314" w:rsidRDefault="005A1005">
            <w:pPr>
              <w:spacing w:before="30" w:after="30"/>
              <w:ind w:left="57"/>
              <w:jc w:val="left"/>
              <w:rPr>
                <w:b/>
                <w:bCs/>
                <w:sz w:val="20"/>
                <w:lang w:val="en-GB"/>
              </w:rPr>
            </w:pPr>
            <w:r w:rsidRPr="00C37314">
              <w:rPr>
                <w:b/>
                <w:bCs/>
                <w:sz w:val="20"/>
                <w:lang w:val="en-GB"/>
              </w:rPr>
              <w:t>SM</w:t>
            </w:r>
          </w:p>
        </w:tc>
        <w:tc>
          <w:tcPr>
            <w:tcW w:w="8220" w:type="dxa"/>
            <w:tcBorders>
              <w:top w:val="nil"/>
              <w:left w:val="nil"/>
              <w:bottom w:val="single" w:sz="12" w:space="0" w:color="000080"/>
              <w:right w:val="single" w:sz="12" w:space="0" w:color="000080"/>
            </w:tcBorders>
          </w:tcPr>
          <w:p w:rsidR="005A1005" w:rsidRPr="00C37314" w:rsidRDefault="005A1005" w:rsidP="00505FB4">
            <w:pPr>
              <w:spacing w:before="30" w:after="180"/>
              <w:jc w:val="left"/>
              <w:rPr>
                <w:sz w:val="20"/>
                <w:lang w:val="en-GB"/>
              </w:rPr>
            </w:pPr>
            <w:r w:rsidRPr="00C37314">
              <w:rPr>
                <w:sz w:val="20"/>
                <w:lang w:val="en-GB"/>
              </w:rPr>
              <w:t>Spectrum management</w:t>
            </w:r>
          </w:p>
        </w:tc>
      </w:tr>
    </w:tbl>
    <w:p w:rsidR="005A1005" w:rsidRPr="00C37314" w:rsidRDefault="005A1005"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A1005" w:rsidRPr="00C37314">
        <w:tc>
          <w:tcPr>
            <w:tcW w:w="720" w:type="dxa"/>
          </w:tcPr>
          <w:p w:rsidR="005A1005" w:rsidRPr="00C37314" w:rsidRDefault="005A1005">
            <w:pPr>
              <w:jc w:val="center"/>
              <w:rPr>
                <w:sz w:val="22"/>
                <w:lang w:val="en-GB"/>
              </w:rPr>
            </w:pPr>
          </w:p>
        </w:tc>
      </w:tr>
    </w:tbl>
    <w:p w:rsidR="005A1005" w:rsidRPr="00C37314" w:rsidRDefault="005A1005"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A1005" w:rsidRPr="003A3778" w:rsidTr="00CA47D8">
        <w:tc>
          <w:tcPr>
            <w:tcW w:w="9360" w:type="dxa"/>
            <w:tcBorders>
              <w:top w:val="single" w:sz="12" w:space="0" w:color="000080"/>
              <w:left w:val="single" w:sz="12" w:space="0" w:color="000080"/>
              <w:bottom w:val="single" w:sz="12" w:space="0" w:color="000080"/>
              <w:right w:val="single" w:sz="12" w:space="0" w:color="000080"/>
            </w:tcBorders>
          </w:tcPr>
          <w:p w:rsidR="005A1005" w:rsidRPr="00C37314" w:rsidRDefault="005A1005" w:rsidP="006323E9">
            <w:pPr>
              <w:spacing w:after="120"/>
              <w:jc w:val="left"/>
              <w:rPr>
                <w:b/>
                <w:bCs/>
                <w:sz w:val="20"/>
                <w:lang w:val="en-GB"/>
              </w:rPr>
            </w:pPr>
            <w:r w:rsidRPr="00C37314">
              <w:rPr>
                <w:b/>
                <w:bCs/>
                <w:i/>
                <w:iCs/>
                <w:sz w:val="20"/>
                <w:lang w:val="en-GB"/>
              </w:rPr>
              <w:t>Note</w:t>
            </w:r>
            <w:r w:rsidRPr="00C37314">
              <w:rPr>
                <w:i/>
                <w:iCs/>
                <w:sz w:val="20"/>
                <w:lang w:val="en-GB"/>
              </w:rPr>
              <w:t>: This ITU-R Report was approved in English by the Study Group under the procedure detailed in Resolution ITU-R 1.</w:t>
            </w:r>
          </w:p>
        </w:tc>
      </w:tr>
    </w:tbl>
    <w:p w:rsidR="005A1005" w:rsidRPr="00C37314" w:rsidRDefault="005A1005" w:rsidP="00CB60A4">
      <w:pPr>
        <w:spacing w:before="0"/>
        <w:jc w:val="center"/>
        <w:rPr>
          <w:sz w:val="22"/>
          <w:lang w:val="en-GB"/>
        </w:rPr>
      </w:pPr>
    </w:p>
    <w:p w:rsidR="005A1005" w:rsidRPr="00C37314" w:rsidRDefault="005A1005" w:rsidP="00CB60A4">
      <w:pPr>
        <w:spacing w:before="0"/>
        <w:jc w:val="center"/>
        <w:rPr>
          <w:sz w:val="22"/>
          <w:lang w:val="en-GB"/>
        </w:rPr>
      </w:pPr>
    </w:p>
    <w:p w:rsidR="005A1005" w:rsidRPr="00C37314" w:rsidRDefault="005A1005" w:rsidP="00CB60A4">
      <w:pPr>
        <w:spacing w:before="0"/>
        <w:jc w:val="right"/>
        <w:rPr>
          <w:i/>
          <w:iCs/>
          <w:sz w:val="20"/>
          <w:lang w:val="en-GB"/>
        </w:rPr>
      </w:pPr>
      <w:r w:rsidRPr="00C37314">
        <w:rPr>
          <w:i/>
          <w:iCs/>
          <w:sz w:val="20"/>
          <w:lang w:val="en-GB"/>
        </w:rPr>
        <w:t>Electronic Publication</w:t>
      </w:r>
    </w:p>
    <w:p w:rsidR="005A1005" w:rsidRPr="00C37314" w:rsidRDefault="005A1005" w:rsidP="005909A0">
      <w:pPr>
        <w:spacing w:before="0"/>
        <w:jc w:val="right"/>
        <w:rPr>
          <w:sz w:val="20"/>
          <w:lang w:val="en-GB"/>
        </w:rPr>
      </w:pPr>
      <w:r w:rsidRPr="00C37314">
        <w:rPr>
          <w:sz w:val="20"/>
          <w:lang w:val="en-GB"/>
        </w:rPr>
        <w:t>Geneva, 201</w:t>
      </w:r>
      <w:r w:rsidR="005909A0">
        <w:rPr>
          <w:sz w:val="20"/>
          <w:lang w:val="en-GB"/>
        </w:rPr>
        <w:t>4</w:t>
      </w:r>
    </w:p>
    <w:p w:rsidR="005A1005" w:rsidRPr="00C37314" w:rsidRDefault="005A1005" w:rsidP="005909A0">
      <w:pPr>
        <w:jc w:val="center"/>
        <w:rPr>
          <w:sz w:val="20"/>
          <w:lang w:val="en-GB"/>
        </w:rPr>
      </w:pPr>
      <w:r w:rsidRPr="00C37314">
        <w:rPr>
          <w:sz w:val="20"/>
          <w:lang w:val="en-GB"/>
        </w:rPr>
        <w:sym w:font="Symbol" w:char="00E3"/>
      </w:r>
      <w:r w:rsidRPr="00C37314">
        <w:rPr>
          <w:sz w:val="20"/>
          <w:lang w:val="en-GB"/>
        </w:rPr>
        <w:t xml:space="preserve"> ITU </w:t>
      </w:r>
      <w:bookmarkStart w:id="3" w:name="iiannee"/>
      <w:bookmarkEnd w:id="3"/>
      <w:r w:rsidRPr="00C37314">
        <w:rPr>
          <w:sz w:val="20"/>
          <w:lang w:val="en-GB"/>
        </w:rPr>
        <w:t>201</w:t>
      </w:r>
      <w:r w:rsidR="005909A0">
        <w:rPr>
          <w:sz w:val="20"/>
          <w:lang w:val="en-GB"/>
        </w:rPr>
        <w:t>4</w:t>
      </w:r>
      <w:bookmarkStart w:id="4" w:name="_GoBack"/>
      <w:bookmarkEnd w:id="4"/>
    </w:p>
    <w:p w:rsidR="005A1005" w:rsidRPr="00C37314" w:rsidRDefault="005A1005" w:rsidP="00CB60A4">
      <w:pPr>
        <w:rPr>
          <w:sz w:val="18"/>
          <w:szCs w:val="18"/>
          <w:lang w:val="en-GB"/>
        </w:rPr>
      </w:pPr>
      <w:r w:rsidRPr="00C37314">
        <w:rPr>
          <w:sz w:val="18"/>
          <w:szCs w:val="18"/>
          <w:lang w:val="en-GB"/>
        </w:rPr>
        <w:t>All rights reserved. No part of this publication may be reproduced, by any means whatsoever, without written permission of ITU.</w:t>
      </w:r>
    </w:p>
    <w:p w:rsidR="005A1005" w:rsidRPr="00C37314" w:rsidRDefault="005A1005" w:rsidP="00CB60A4">
      <w:pPr>
        <w:tabs>
          <w:tab w:val="clear" w:pos="794"/>
          <w:tab w:val="clear" w:pos="1191"/>
          <w:tab w:val="clear" w:pos="1588"/>
          <w:tab w:val="clear" w:pos="1985"/>
        </w:tabs>
        <w:overflowPunct/>
        <w:autoSpaceDE/>
        <w:autoSpaceDN/>
        <w:adjustRightInd/>
        <w:spacing w:before="0"/>
        <w:jc w:val="left"/>
        <w:rPr>
          <w:i/>
          <w:sz w:val="20"/>
          <w:lang w:val="en-GB"/>
        </w:rPr>
        <w:sectPr w:rsidR="005A1005" w:rsidRPr="00C37314">
          <w:pgSz w:w="11907" w:h="16834"/>
          <w:pgMar w:top="1418" w:right="1134" w:bottom="1134" w:left="1134" w:header="720" w:footer="482" w:gutter="0"/>
          <w:paperSrc w:first="15" w:other="15"/>
          <w:pgNumType w:fmt="lowerRoman" w:start="2"/>
          <w:cols w:space="720"/>
        </w:sectPr>
      </w:pPr>
    </w:p>
    <w:p w:rsidR="005A1005" w:rsidRPr="00C37314" w:rsidRDefault="005A1005" w:rsidP="005A1005">
      <w:pPr>
        <w:pStyle w:val="RepNo"/>
        <w:spacing w:before="0"/>
        <w:rPr>
          <w:lang w:val="en-GB"/>
        </w:rPr>
      </w:pPr>
      <w:bookmarkStart w:id="5" w:name="irecnoe"/>
      <w:bookmarkEnd w:id="5"/>
      <w:r w:rsidRPr="00C37314">
        <w:rPr>
          <w:lang w:val="en-GB"/>
        </w:rPr>
        <w:lastRenderedPageBreak/>
        <w:t xml:space="preserve">REPORT  </w:t>
      </w:r>
      <w:r w:rsidRPr="00C37314">
        <w:rPr>
          <w:rStyle w:val="href"/>
          <w:lang w:val="en-GB"/>
        </w:rPr>
        <w:t>ITU-R  S.2278</w:t>
      </w:r>
    </w:p>
    <w:p w:rsidR="005A1005" w:rsidRPr="00C37314" w:rsidRDefault="005A1005" w:rsidP="005A1005">
      <w:pPr>
        <w:pStyle w:val="Reptitle"/>
        <w:rPr>
          <w:lang w:val="en-GB"/>
        </w:rPr>
      </w:pPr>
      <w:r w:rsidRPr="00C37314">
        <w:rPr>
          <w:lang w:val="en-GB"/>
        </w:rPr>
        <w:t>Use of very small aperture terminals (VSATs)</w:t>
      </w:r>
    </w:p>
    <w:p w:rsidR="005A1005" w:rsidRPr="00C37314" w:rsidRDefault="005A1005" w:rsidP="005A1005">
      <w:pPr>
        <w:pStyle w:val="Repdate"/>
        <w:rPr>
          <w:lang w:val="en-GB"/>
        </w:rPr>
      </w:pPr>
      <w:r w:rsidRPr="00C37314">
        <w:rPr>
          <w:lang w:val="en-GB"/>
        </w:rPr>
        <w:t>(2013)</w:t>
      </w:r>
    </w:p>
    <w:p w:rsidR="005A1005" w:rsidRPr="00C37314" w:rsidRDefault="005A1005" w:rsidP="00644266">
      <w:pPr>
        <w:rPr>
          <w:lang w:val="en-GB"/>
        </w:rPr>
      </w:pPr>
    </w:p>
    <w:p w:rsidR="005A1005" w:rsidRPr="00C37314" w:rsidRDefault="005A1005" w:rsidP="005A1005">
      <w:pPr>
        <w:jc w:val="center"/>
        <w:rPr>
          <w:lang w:val="en-GB"/>
        </w:rPr>
      </w:pPr>
      <w:r w:rsidRPr="00C37314">
        <w:rPr>
          <w:lang w:val="en-GB"/>
        </w:rPr>
        <w:t>TABLE OF CONTENTS</w:t>
      </w:r>
    </w:p>
    <w:p w:rsidR="00C37314" w:rsidRPr="00C37314" w:rsidRDefault="00C37314" w:rsidP="00C37314">
      <w:pPr>
        <w:pStyle w:val="toc0"/>
        <w:rPr>
          <w:lang w:val="en-GB"/>
        </w:rPr>
      </w:pPr>
      <w:r w:rsidRPr="00C37314">
        <w:rPr>
          <w:lang w:val="en-GB"/>
        </w:rPr>
        <w:tab/>
        <w:t>Page</w:t>
      </w:r>
    </w:p>
    <w:p w:rsidR="00695B7B" w:rsidRPr="00695B7B" w:rsidRDefault="00695B7B" w:rsidP="00695B7B">
      <w:pPr>
        <w:pStyle w:val="TOC1"/>
        <w:rPr>
          <w:rFonts w:eastAsiaTheme="minorEastAsia"/>
        </w:rPr>
      </w:pPr>
      <w:r w:rsidRPr="00695B7B">
        <w:rPr>
          <w:lang w:val="en-GB"/>
        </w:rPr>
        <w:t>1</w:t>
      </w:r>
      <w:r w:rsidRPr="00695B7B">
        <w:rPr>
          <w:rFonts w:eastAsiaTheme="minorEastAsia"/>
        </w:rPr>
        <w:tab/>
      </w:r>
      <w:r w:rsidRPr="00695B7B">
        <w:rPr>
          <w:lang w:val="en-GB" w:eastAsia="ja-JP"/>
        </w:rPr>
        <w:t>Intro</w:t>
      </w:r>
      <w:r w:rsidRPr="00695B7B">
        <w:t>duction</w:t>
      </w:r>
      <w:r w:rsidRPr="00695B7B">
        <w:rPr>
          <w:webHidden/>
        </w:rPr>
        <w:tab/>
      </w:r>
      <w:r w:rsidRPr="00695B7B">
        <w:rPr>
          <w:webHidden/>
        </w:rPr>
        <w:tab/>
        <w:t>2</w:t>
      </w:r>
    </w:p>
    <w:p w:rsidR="00695B7B" w:rsidRPr="00695B7B" w:rsidRDefault="00695B7B">
      <w:pPr>
        <w:pStyle w:val="TOC1"/>
        <w:rPr>
          <w:rFonts w:eastAsiaTheme="minorEastAsia"/>
        </w:rPr>
      </w:pPr>
      <w:r w:rsidRPr="00695B7B">
        <w:rPr>
          <w:lang w:val="en-GB"/>
        </w:rPr>
        <w:t>2</w:t>
      </w:r>
      <w:r w:rsidRPr="00695B7B">
        <w:rPr>
          <w:rFonts w:eastAsiaTheme="minorEastAsia"/>
        </w:rPr>
        <w:tab/>
      </w:r>
      <w:r w:rsidRPr="00695B7B">
        <w:rPr>
          <w:lang w:val="en-GB"/>
        </w:rPr>
        <w:t>Characteristics of VSATs</w:t>
      </w:r>
      <w:r w:rsidRPr="00695B7B">
        <w:rPr>
          <w:webHidden/>
        </w:rPr>
        <w:tab/>
      </w:r>
      <w:r w:rsidRPr="00695B7B">
        <w:rPr>
          <w:webHidden/>
        </w:rPr>
        <w:tab/>
        <w:t>2</w:t>
      </w:r>
    </w:p>
    <w:p w:rsidR="00695B7B" w:rsidRPr="00695B7B" w:rsidRDefault="00695B7B">
      <w:pPr>
        <w:pStyle w:val="TOC2"/>
        <w:rPr>
          <w:rFonts w:eastAsiaTheme="minorEastAsia"/>
        </w:rPr>
      </w:pPr>
      <w:r w:rsidRPr="00695B7B">
        <w:rPr>
          <w:lang w:val="en-GB"/>
        </w:rPr>
        <w:t>2.1</w:t>
      </w:r>
      <w:r w:rsidRPr="00695B7B">
        <w:rPr>
          <w:rFonts w:eastAsiaTheme="minorEastAsia"/>
        </w:rPr>
        <w:tab/>
      </w:r>
      <w:r w:rsidRPr="00695B7B">
        <w:rPr>
          <w:lang w:val="en-GB"/>
        </w:rPr>
        <w:t>Overview</w:t>
      </w:r>
      <w:r w:rsidRPr="00695B7B">
        <w:rPr>
          <w:webHidden/>
        </w:rPr>
        <w:tab/>
      </w:r>
      <w:r w:rsidRPr="00695B7B">
        <w:rPr>
          <w:webHidden/>
        </w:rPr>
        <w:tab/>
        <w:t>2</w:t>
      </w:r>
    </w:p>
    <w:p w:rsidR="00695B7B" w:rsidRPr="00695B7B" w:rsidRDefault="00695B7B">
      <w:pPr>
        <w:pStyle w:val="TOC2"/>
        <w:rPr>
          <w:rFonts w:eastAsiaTheme="minorEastAsia"/>
        </w:rPr>
      </w:pPr>
      <w:r w:rsidRPr="00695B7B">
        <w:rPr>
          <w:lang w:val="en-GB"/>
        </w:rPr>
        <w:t>2.2</w:t>
      </w:r>
      <w:r w:rsidRPr="00695B7B">
        <w:rPr>
          <w:rFonts w:eastAsiaTheme="minorEastAsia"/>
        </w:rPr>
        <w:tab/>
      </w:r>
      <w:r w:rsidRPr="00695B7B">
        <w:rPr>
          <w:lang w:val="en-GB"/>
        </w:rPr>
        <w:t>Operational characteristics of VSATs</w:t>
      </w:r>
      <w:r w:rsidRPr="00695B7B">
        <w:rPr>
          <w:webHidden/>
        </w:rPr>
        <w:tab/>
      </w:r>
      <w:r w:rsidRPr="00695B7B">
        <w:rPr>
          <w:webHidden/>
        </w:rPr>
        <w:tab/>
        <w:t>2</w:t>
      </w:r>
    </w:p>
    <w:p w:rsidR="00695B7B" w:rsidRPr="00695B7B" w:rsidRDefault="00695B7B">
      <w:pPr>
        <w:pStyle w:val="TOC2"/>
        <w:rPr>
          <w:rFonts w:eastAsiaTheme="minorEastAsia"/>
        </w:rPr>
      </w:pPr>
      <w:r w:rsidRPr="00695B7B">
        <w:rPr>
          <w:lang w:val="en-GB"/>
        </w:rPr>
        <w:t>2.3</w:t>
      </w:r>
      <w:r w:rsidRPr="00695B7B">
        <w:rPr>
          <w:rFonts w:eastAsiaTheme="minorEastAsia"/>
        </w:rPr>
        <w:tab/>
      </w:r>
      <w:r w:rsidRPr="00695B7B">
        <w:rPr>
          <w:lang w:val="en-GB"/>
        </w:rPr>
        <w:t>Technical characteristics of VSATs</w:t>
      </w:r>
      <w:r w:rsidRPr="00695B7B">
        <w:rPr>
          <w:webHidden/>
        </w:rPr>
        <w:tab/>
      </w:r>
      <w:r w:rsidRPr="00695B7B">
        <w:rPr>
          <w:webHidden/>
        </w:rPr>
        <w:tab/>
        <w:t>2</w:t>
      </w:r>
    </w:p>
    <w:p w:rsidR="00695B7B" w:rsidRPr="00695B7B" w:rsidRDefault="00695B7B">
      <w:pPr>
        <w:pStyle w:val="TOC2"/>
        <w:rPr>
          <w:rFonts w:eastAsiaTheme="minorEastAsia"/>
        </w:rPr>
      </w:pPr>
      <w:r w:rsidRPr="00695B7B">
        <w:rPr>
          <w:lang w:val="en-GB"/>
        </w:rPr>
        <w:t>2.</w:t>
      </w:r>
      <w:r w:rsidRPr="00695B7B">
        <w:rPr>
          <w:lang w:val="en-GB" w:eastAsia="ja-JP"/>
        </w:rPr>
        <w:t>4</w:t>
      </w:r>
      <w:r w:rsidRPr="00695B7B">
        <w:rPr>
          <w:rFonts w:eastAsiaTheme="minorEastAsia"/>
        </w:rPr>
        <w:tab/>
      </w:r>
      <w:r w:rsidRPr="00695B7B">
        <w:rPr>
          <w:lang w:val="en-GB" w:eastAsia="ja-JP"/>
        </w:rPr>
        <w:t>Antenna diameters</w:t>
      </w:r>
      <w:r w:rsidRPr="00695B7B">
        <w:rPr>
          <w:webHidden/>
        </w:rPr>
        <w:tab/>
      </w:r>
      <w:r w:rsidRPr="00695B7B">
        <w:rPr>
          <w:webHidden/>
        </w:rPr>
        <w:tab/>
        <w:t>3</w:t>
      </w:r>
    </w:p>
    <w:p w:rsidR="00695B7B" w:rsidRPr="00695B7B" w:rsidRDefault="00695B7B">
      <w:pPr>
        <w:pStyle w:val="TOC2"/>
        <w:rPr>
          <w:rFonts w:eastAsiaTheme="minorEastAsia"/>
        </w:rPr>
      </w:pPr>
      <w:r w:rsidRPr="00695B7B">
        <w:rPr>
          <w:lang w:val="en-GB"/>
        </w:rPr>
        <w:t>2.5</w:t>
      </w:r>
      <w:r w:rsidRPr="00695B7B">
        <w:rPr>
          <w:rFonts w:eastAsiaTheme="minorEastAsia"/>
        </w:rPr>
        <w:tab/>
      </w:r>
      <w:r w:rsidRPr="00695B7B">
        <w:rPr>
          <w:lang w:val="en-GB"/>
        </w:rPr>
        <w:t>ITU-R Recommendations concerning technical and operational characteristics for VSATs</w:t>
      </w:r>
      <w:r w:rsidRPr="00695B7B">
        <w:rPr>
          <w:webHidden/>
        </w:rPr>
        <w:tab/>
      </w:r>
      <w:r w:rsidRPr="00695B7B">
        <w:rPr>
          <w:webHidden/>
        </w:rPr>
        <w:tab/>
        <w:t>3</w:t>
      </w:r>
    </w:p>
    <w:p w:rsidR="00695B7B" w:rsidRPr="00695B7B" w:rsidRDefault="00695B7B">
      <w:pPr>
        <w:pStyle w:val="TOC1"/>
        <w:rPr>
          <w:rFonts w:eastAsiaTheme="minorEastAsia"/>
        </w:rPr>
      </w:pPr>
      <w:r w:rsidRPr="00695B7B">
        <w:rPr>
          <w:lang w:val="en-GB"/>
        </w:rPr>
        <w:t>3</w:t>
      </w:r>
      <w:r w:rsidRPr="00695B7B">
        <w:rPr>
          <w:rFonts w:eastAsiaTheme="minorEastAsia"/>
        </w:rPr>
        <w:tab/>
      </w:r>
      <w:r w:rsidRPr="00695B7B">
        <w:rPr>
          <w:lang w:val="en-GB"/>
        </w:rPr>
        <w:t>Topologies of networks with VSATs</w:t>
      </w:r>
      <w:r w:rsidRPr="00695B7B">
        <w:rPr>
          <w:webHidden/>
        </w:rPr>
        <w:tab/>
      </w:r>
      <w:r w:rsidRPr="00695B7B">
        <w:rPr>
          <w:webHidden/>
        </w:rPr>
        <w:tab/>
        <w:t>7</w:t>
      </w:r>
    </w:p>
    <w:p w:rsidR="00695B7B" w:rsidRPr="00695B7B" w:rsidRDefault="00695B7B">
      <w:pPr>
        <w:pStyle w:val="TOC2"/>
        <w:rPr>
          <w:rFonts w:eastAsiaTheme="minorEastAsia"/>
        </w:rPr>
      </w:pPr>
      <w:r w:rsidRPr="00695B7B">
        <w:rPr>
          <w:lang w:val="en-GB"/>
        </w:rPr>
        <w:t>3.1</w:t>
      </w:r>
      <w:r w:rsidRPr="00695B7B">
        <w:rPr>
          <w:rFonts w:eastAsiaTheme="minorEastAsia"/>
        </w:rPr>
        <w:tab/>
      </w:r>
      <w:r w:rsidRPr="00695B7B">
        <w:rPr>
          <w:lang w:val="en-GB"/>
        </w:rPr>
        <w:t>Star type topology</w:t>
      </w:r>
      <w:r w:rsidRPr="00695B7B">
        <w:rPr>
          <w:webHidden/>
        </w:rPr>
        <w:tab/>
      </w:r>
      <w:r w:rsidRPr="00695B7B">
        <w:rPr>
          <w:webHidden/>
        </w:rPr>
        <w:tab/>
        <w:t>7</w:t>
      </w:r>
    </w:p>
    <w:p w:rsidR="00695B7B" w:rsidRPr="00695B7B" w:rsidRDefault="00695B7B">
      <w:pPr>
        <w:pStyle w:val="TOC2"/>
        <w:rPr>
          <w:rFonts w:eastAsiaTheme="minorEastAsia"/>
        </w:rPr>
      </w:pPr>
      <w:r w:rsidRPr="00695B7B">
        <w:rPr>
          <w:lang w:val="en-GB"/>
        </w:rPr>
        <w:t>3.2</w:t>
      </w:r>
      <w:r w:rsidRPr="00695B7B">
        <w:rPr>
          <w:rFonts w:eastAsiaTheme="minorEastAsia"/>
        </w:rPr>
        <w:tab/>
      </w:r>
      <w:r w:rsidRPr="00695B7B">
        <w:rPr>
          <w:lang w:val="en-GB"/>
        </w:rPr>
        <w:t>Mesh type topology</w:t>
      </w:r>
      <w:r w:rsidRPr="00695B7B">
        <w:rPr>
          <w:webHidden/>
        </w:rPr>
        <w:tab/>
      </w:r>
      <w:r w:rsidRPr="00695B7B">
        <w:rPr>
          <w:webHidden/>
        </w:rPr>
        <w:tab/>
        <w:t>8</w:t>
      </w:r>
    </w:p>
    <w:p w:rsidR="00695B7B" w:rsidRPr="00695B7B" w:rsidRDefault="00695B7B">
      <w:pPr>
        <w:pStyle w:val="TOC2"/>
        <w:rPr>
          <w:rFonts w:eastAsiaTheme="minorEastAsia"/>
        </w:rPr>
      </w:pPr>
      <w:r w:rsidRPr="00695B7B">
        <w:rPr>
          <w:lang w:val="en-GB" w:eastAsia="ja-JP"/>
        </w:rPr>
        <w:t>3.3</w:t>
      </w:r>
      <w:r w:rsidRPr="00695B7B">
        <w:rPr>
          <w:rFonts w:eastAsiaTheme="minorEastAsia"/>
        </w:rPr>
        <w:tab/>
      </w:r>
      <w:r w:rsidRPr="00695B7B">
        <w:rPr>
          <w:lang w:val="en-GB" w:eastAsia="ja-JP"/>
        </w:rPr>
        <w:t>Hybrid topology</w:t>
      </w:r>
      <w:r w:rsidRPr="00695B7B">
        <w:rPr>
          <w:webHidden/>
        </w:rPr>
        <w:tab/>
      </w:r>
      <w:r w:rsidRPr="00695B7B">
        <w:rPr>
          <w:webHidden/>
        </w:rPr>
        <w:tab/>
        <w:t>9</w:t>
      </w:r>
    </w:p>
    <w:p w:rsidR="00695B7B" w:rsidRPr="00695B7B" w:rsidRDefault="00695B7B">
      <w:pPr>
        <w:pStyle w:val="TOC2"/>
        <w:rPr>
          <w:rFonts w:eastAsiaTheme="minorEastAsia"/>
        </w:rPr>
      </w:pPr>
      <w:r w:rsidRPr="00695B7B">
        <w:rPr>
          <w:lang w:val="en-GB"/>
        </w:rPr>
        <w:t>3.4</w:t>
      </w:r>
      <w:r w:rsidRPr="00695B7B">
        <w:rPr>
          <w:rFonts w:eastAsiaTheme="minorEastAsia"/>
        </w:rPr>
        <w:tab/>
      </w:r>
      <w:r w:rsidRPr="00695B7B">
        <w:rPr>
          <w:lang w:val="en-GB"/>
        </w:rPr>
        <w:t>Point-to-point topology</w:t>
      </w:r>
      <w:r w:rsidRPr="00695B7B">
        <w:rPr>
          <w:webHidden/>
        </w:rPr>
        <w:tab/>
      </w:r>
      <w:r w:rsidRPr="00695B7B">
        <w:rPr>
          <w:webHidden/>
        </w:rPr>
        <w:tab/>
        <w:t>9</w:t>
      </w:r>
    </w:p>
    <w:p w:rsidR="00695B7B" w:rsidRPr="00695B7B" w:rsidRDefault="00695B7B">
      <w:pPr>
        <w:pStyle w:val="TOC1"/>
        <w:rPr>
          <w:rFonts w:eastAsiaTheme="minorEastAsia"/>
        </w:rPr>
      </w:pPr>
      <w:r w:rsidRPr="00695B7B">
        <w:rPr>
          <w:lang w:val="en-GB" w:eastAsia="ja-JP"/>
        </w:rPr>
        <w:t>4</w:t>
      </w:r>
      <w:r w:rsidRPr="00695B7B">
        <w:rPr>
          <w:rFonts w:eastAsiaTheme="minorEastAsia"/>
        </w:rPr>
        <w:tab/>
      </w:r>
      <w:r w:rsidRPr="00695B7B">
        <w:rPr>
          <w:lang w:val="en-GB" w:eastAsia="ja-JP"/>
        </w:rPr>
        <w:t>Features of operation of VSATs</w:t>
      </w:r>
      <w:r w:rsidRPr="00695B7B">
        <w:rPr>
          <w:webHidden/>
        </w:rPr>
        <w:tab/>
      </w:r>
      <w:r w:rsidRPr="00695B7B">
        <w:rPr>
          <w:webHidden/>
        </w:rPr>
        <w:tab/>
        <w:t>10</w:t>
      </w:r>
    </w:p>
    <w:p w:rsidR="00695B7B" w:rsidRPr="00695B7B" w:rsidRDefault="00695B7B">
      <w:pPr>
        <w:pStyle w:val="TOC2"/>
        <w:rPr>
          <w:rFonts w:eastAsiaTheme="minorEastAsia"/>
        </w:rPr>
      </w:pPr>
      <w:r w:rsidRPr="00695B7B">
        <w:rPr>
          <w:lang w:val="en-GB" w:eastAsia="ja-JP"/>
        </w:rPr>
        <w:t>4.1</w:t>
      </w:r>
      <w:r w:rsidRPr="00695B7B">
        <w:rPr>
          <w:rFonts w:eastAsiaTheme="minorEastAsia"/>
        </w:rPr>
        <w:tab/>
      </w:r>
      <w:r w:rsidRPr="00695B7B">
        <w:rPr>
          <w:lang w:val="en-GB" w:eastAsia="ja-JP"/>
        </w:rPr>
        <w:t xml:space="preserve">Initialization of </w:t>
      </w:r>
      <w:r w:rsidRPr="00695B7B">
        <w:rPr>
          <w:lang w:val="en-GB"/>
        </w:rPr>
        <w:t>the operation of a VSAT</w:t>
      </w:r>
      <w:r w:rsidRPr="00695B7B">
        <w:rPr>
          <w:webHidden/>
        </w:rPr>
        <w:tab/>
      </w:r>
      <w:r w:rsidRPr="00695B7B">
        <w:rPr>
          <w:webHidden/>
        </w:rPr>
        <w:tab/>
        <w:t>10</w:t>
      </w:r>
    </w:p>
    <w:p w:rsidR="00695B7B" w:rsidRPr="00695B7B" w:rsidRDefault="00695B7B">
      <w:pPr>
        <w:pStyle w:val="TOC2"/>
        <w:rPr>
          <w:rFonts w:eastAsiaTheme="minorEastAsia"/>
        </w:rPr>
      </w:pPr>
      <w:r w:rsidRPr="00695B7B">
        <w:rPr>
          <w:lang w:val="en-GB"/>
        </w:rPr>
        <w:t>4.2</w:t>
      </w:r>
      <w:r w:rsidRPr="00695B7B">
        <w:rPr>
          <w:rFonts w:eastAsiaTheme="minorEastAsia"/>
        </w:rPr>
        <w:tab/>
      </w:r>
      <w:r w:rsidRPr="00695B7B">
        <w:rPr>
          <w:lang w:val="en-GB"/>
        </w:rPr>
        <w:t>Control and monitoring functions during the operation of a VSAT</w:t>
      </w:r>
      <w:r w:rsidRPr="00695B7B">
        <w:rPr>
          <w:webHidden/>
        </w:rPr>
        <w:tab/>
      </w:r>
      <w:r w:rsidRPr="00695B7B">
        <w:rPr>
          <w:webHidden/>
        </w:rPr>
        <w:tab/>
        <w:t>11</w:t>
      </w:r>
    </w:p>
    <w:p w:rsidR="00695B7B" w:rsidRPr="00695B7B" w:rsidRDefault="00695B7B">
      <w:pPr>
        <w:pStyle w:val="TOC2"/>
        <w:rPr>
          <w:rFonts w:eastAsiaTheme="minorEastAsia"/>
        </w:rPr>
      </w:pPr>
      <w:r w:rsidRPr="00695B7B">
        <w:rPr>
          <w:lang w:val="en-GB"/>
        </w:rPr>
        <w:t>4.3</w:t>
      </w:r>
      <w:r w:rsidRPr="00695B7B">
        <w:rPr>
          <w:rFonts w:eastAsiaTheme="minorEastAsia"/>
        </w:rPr>
        <w:tab/>
      </w:r>
      <w:r w:rsidRPr="00695B7B">
        <w:rPr>
          <w:lang w:val="en-GB"/>
        </w:rPr>
        <w:t>Other control and monitoring functions</w:t>
      </w:r>
      <w:r w:rsidRPr="00695B7B">
        <w:rPr>
          <w:webHidden/>
        </w:rPr>
        <w:tab/>
      </w:r>
      <w:r w:rsidRPr="00695B7B">
        <w:rPr>
          <w:webHidden/>
        </w:rPr>
        <w:tab/>
        <w:t>12</w:t>
      </w:r>
    </w:p>
    <w:p w:rsidR="00695B7B" w:rsidRPr="00695B7B" w:rsidRDefault="00695B7B">
      <w:pPr>
        <w:pStyle w:val="TOC3"/>
        <w:rPr>
          <w:rFonts w:eastAsiaTheme="minorEastAsia"/>
        </w:rPr>
      </w:pPr>
      <w:r w:rsidRPr="00695B7B">
        <w:rPr>
          <w:lang w:val="en-GB" w:eastAsia="ja-JP"/>
        </w:rPr>
        <w:t>4.3.1</w:t>
      </w:r>
      <w:r w:rsidRPr="00695B7B">
        <w:rPr>
          <w:rFonts w:eastAsiaTheme="minorEastAsia"/>
        </w:rPr>
        <w:tab/>
      </w:r>
      <w:r w:rsidRPr="00695B7B">
        <w:rPr>
          <w:lang w:val="en-GB" w:eastAsia="ja-JP"/>
        </w:rPr>
        <w:t>Management of the profiles of VSATs (location, satellite beam contour and beam handover)</w:t>
      </w:r>
      <w:r w:rsidRPr="00695B7B">
        <w:rPr>
          <w:webHidden/>
        </w:rPr>
        <w:tab/>
      </w:r>
      <w:r w:rsidRPr="00695B7B">
        <w:rPr>
          <w:webHidden/>
        </w:rPr>
        <w:tab/>
        <w:t>12</w:t>
      </w:r>
    </w:p>
    <w:p w:rsidR="00695B7B" w:rsidRPr="00695B7B" w:rsidRDefault="00695B7B">
      <w:pPr>
        <w:pStyle w:val="TOC3"/>
        <w:rPr>
          <w:rFonts w:eastAsiaTheme="minorEastAsia"/>
        </w:rPr>
      </w:pPr>
      <w:r w:rsidRPr="00695B7B">
        <w:rPr>
          <w:lang w:val="en-GB" w:eastAsia="ja-JP"/>
        </w:rPr>
        <w:t>4.3.2</w:t>
      </w:r>
      <w:r w:rsidRPr="00695B7B">
        <w:rPr>
          <w:rFonts w:eastAsiaTheme="minorEastAsia"/>
        </w:rPr>
        <w:tab/>
      </w:r>
      <w:r w:rsidRPr="00695B7B">
        <w:rPr>
          <w:lang w:val="en-GB" w:eastAsia="ja-JP"/>
        </w:rPr>
        <w:t>Dynamic power control function during the operation of a VSAT</w:t>
      </w:r>
      <w:r w:rsidRPr="00695B7B">
        <w:rPr>
          <w:webHidden/>
        </w:rPr>
        <w:tab/>
      </w:r>
      <w:r w:rsidRPr="00695B7B">
        <w:rPr>
          <w:webHidden/>
        </w:rPr>
        <w:tab/>
        <w:t>12</w:t>
      </w:r>
    </w:p>
    <w:p w:rsidR="00695B7B" w:rsidRPr="00695B7B" w:rsidRDefault="00695B7B">
      <w:pPr>
        <w:pStyle w:val="TOC3"/>
        <w:rPr>
          <w:rFonts w:eastAsiaTheme="minorEastAsia"/>
        </w:rPr>
      </w:pPr>
      <w:r w:rsidRPr="00695B7B">
        <w:rPr>
          <w:lang w:val="en-GB" w:eastAsia="ja-JP"/>
        </w:rPr>
        <w:t>4.3.3</w:t>
      </w:r>
      <w:r w:rsidRPr="00695B7B">
        <w:rPr>
          <w:rFonts w:eastAsiaTheme="minorEastAsia"/>
        </w:rPr>
        <w:tab/>
      </w:r>
      <w:r w:rsidRPr="00695B7B">
        <w:rPr>
          <w:lang w:val="en-GB" w:eastAsia="ja-JP"/>
        </w:rPr>
        <w:t>Adaptive coding and modulation function</w:t>
      </w:r>
      <w:r w:rsidRPr="00695B7B">
        <w:rPr>
          <w:webHidden/>
        </w:rPr>
        <w:tab/>
      </w:r>
      <w:r w:rsidRPr="00695B7B">
        <w:rPr>
          <w:webHidden/>
        </w:rPr>
        <w:tab/>
        <w:t>13</w:t>
      </w:r>
    </w:p>
    <w:p w:rsidR="00695B7B" w:rsidRPr="00695B7B" w:rsidRDefault="00695B7B">
      <w:pPr>
        <w:pStyle w:val="TOC1"/>
        <w:rPr>
          <w:rFonts w:eastAsiaTheme="minorEastAsia"/>
        </w:rPr>
      </w:pPr>
      <w:r w:rsidRPr="00695B7B">
        <w:rPr>
          <w:lang w:val="en-GB" w:eastAsia="ja-JP"/>
        </w:rPr>
        <w:t>5</w:t>
      </w:r>
      <w:r w:rsidRPr="00695B7B">
        <w:rPr>
          <w:rFonts w:eastAsiaTheme="minorEastAsia"/>
        </w:rPr>
        <w:tab/>
      </w:r>
      <w:r w:rsidRPr="00695B7B">
        <w:rPr>
          <w:lang w:val="en-GB" w:eastAsia="ja-JP"/>
        </w:rPr>
        <w:t>Conclusion</w:t>
      </w:r>
      <w:r w:rsidRPr="00695B7B">
        <w:rPr>
          <w:webHidden/>
        </w:rPr>
        <w:tab/>
      </w:r>
      <w:r w:rsidRPr="00695B7B">
        <w:rPr>
          <w:webHidden/>
        </w:rPr>
        <w:tab/>
        <w:t>14</w:t>
      </w:r>
    </w:p>
    <w:p w:rsidR="00C37314" w:rsidRPr="00C37314" w:rsidRDefault="00C37314" w:rsidP="00C37314">
      <w:pPr>
        <w:rPr>
          <w:lang w:val="en-GB"/>
        </w:rPr>
      </w:pPr>
    </w:p>
    <w:p w:rsidR="00C37314" w:rsidRPr="00C37314" w:rsidRDefault="00C37314" w:rsidP="00C37314">
      <w:pPr>
        <w:rPr>
          <w:lang w:val="en-GB"/>
        </w:rPr>
      </w:pPr>
    </w:p>
    <w:p w:rsidR="00C37314" w:rsidRPr="00C37314" w:rsidRDefault="00C37314" w:rsidP="005A1005">
      <w:pPr>
        <w:pStyle w:val="Heading1"/>
        <w:spacing w:before="360"/>
        <w:rPr>
          <w:szCs w:val="28"/>
          <w:lang w:val="en-GB"/>
        </w:rPr>
      </w:pPr>
      <w:bookmarkStart w:id="6" w:name="_Toc372898966"/>
      <w:r w:rsidRPr="00C37314">
        <w:rPr>
          <w:szCs w:val="28"/>
          <w:lang w:val="en-GB"/>
        </w:rPr>
        <w:br w:type="page"/>
      </w:r>
    </w:p>
    <w:p w:rsidR="005A1005" w:rsidRPr="00C37314" w:rsidRDefault="005A1005" w:rsidP="00BE5B9C">
      <w:pPr>
        <w:pStyle w:val="Heading1"/>
        <w:rPr>
          <w:lang w:val="en-GB" w:eastAsia="ja-JP"/>
        </w:rPr>
      </w:pPr>
      <w:bookmarkStart w:id="7" w:name="_Toc373828453"/>
      <w:bookmarkStart w:id="8" w:name="_Toc376852979"/>
      <w:r w:rsidRPr="00C37314">
        <w:rPr>
          <w:lang w:val="en-GB"/>
        </w:rPr>
        <w:lastRenderedPageBreak/>
        <w:t>1</w:t>
      </w:r>
      <w:r w:rsidRPr="00C37314">
        <w:rPr>
          <w:lang w:val="en-GB"/>
        </w:rPr>
        <w:tab/>
      </w:r>
      <w:r w:rsidRPr="00C37314">
        <w:rPr>
          <w:lang w:val="en-GB" w:eastAsia="ja-JP"/>
        </w:rPr>
        <w:t>Intro</w:t>
      </w:r>
      <w:r w:rsidRPr="00C908C7">
        <w:rPr>
          <w:lang w:val="en-US"/>
        </w:rPr>
        <w:t>duction</w:t>
      </w:r>
      <w:bookmarkEnd w:id="6"/>
      <w:bookmarkEnd w:id="7"/>
      <w:bookmarkEnd w:id="8"/>
    </w:p>
    <w:p w:rsidR="005A1005" w:rsidRPr="00C37314" w:rsidRDefault="005A1005" w:rsidP="005A1005">
      <w:pPr>
        <w:rPr>
          <w:lang w:val="en-GB" w:eastAsia="ja-JP"/>
        </w:rPr>
      </w:pPr>
      <w:r w:rsidRPr="00C37314">
        <w:rPr>
          <w:lang w:val="en-GB" w:eastAsia="zh-CN"/>
        </w:rPr>
        <w:t>This Report provides a normative</w:t>
      </w:r>
      <w:r w:rsidRPr="00C37314">
        <w:rPr>
          <w:rFonts w:ascii="Times New Roman CYR" w:hAnsi="Times New Roman CYR" w:cs="Times New Roman CYR"/>
          <w:lang w:val="en-GB" w:eastAsia="zh-CN"/>
        </w:rPr>
        <w:t xml:space="preserve"> </w:t>
      </w:r>
      <w:r w:rsidRPr="00C37314">
        <w:rPr>
          <w:lang w:val="en-GB" w:eastAsia="zh-CN"/>
        </w:rPr>
        <w:t xml:space="preserve">base </w:t>
      </w:r>
      <w:r w:rsidRPr="00C37314">
        <w:rPr>
          <w:lang w:val="en-GB" w:eastAsia="ja-JP"/>
        </w:rPr>
        <w:t>describing</w:t>
      </w:r>
      <w:r w:rsidRPr="00C37314">
        <w:rPr>
          <w:lang w:val="en-GB" w:eastAsia="zh-CN"/>
        </w:rPr>
        <w:t xml:space="preserve"> technical and operational </w:t>
      </w:r>
      <w:r w:rsidRPr="00C37314">
        <w:rPr>
          <w:lang w:val="en-GB" w:eastAsia="ja-JP"/>
        </w:rPr>
        <w:t>characteristics</w:t>
      </w:r>
      <w:r w:rsidRPr="00C37314">
        <w:rPr>
          <w:lang w:val="en-GB" w:eastAsia="zh-CN"/>
        </w:rPr>
        <w:t xml:space="preserve"> for </w:t>
      </w:r>
      <w:r w:rsidR="0021424A" w:rsidRPr="00C37314">
        <w:rPr>
          <w:lang w:val="en-GB" w:eastAsia="zh-CN"/>
        </w:rPr>
        <w:t>very small aperture terminals (</w:t>
      </w:r>
      <w:r w:rsidRPr="00C37314">
        <w:rPr>
          <w:lang w:val="en-GB" w:eastAsia="zh-CN"/>
        </w:rPr>
        <w:t>VSAT</w:t>
      </w:r>
      <w:r w:rsidR="0021424A" w:rsidRPr="00C37314">
        <w:rPr>
          <w:lang w:val="en-GB" w:eastAsia="zh-CN"/>
        </w:rPr>
        <w:t>)</w:t>
      </w:r>
      <w:r w:rsidRPr="00C37314">
        <w:rPr>
          <w:lang w:val="en-GB" w:eastAsia="zh-CN"/>
        </w:rPr>
        <w:t xml:space="preserve"> </w:t>
      </w:r>
      <w:r w:rsidRPr="00C37314">
        <w:rPr>
          <w:lang w:val="en-GB" w:eastAsia="ja-JP"/>
        </w:rPr>
        <w:t>networks.</w:t>
      </w:r>
      <w:r w:rsidRPr="00C37314">
        <w:rPr>
          <w:lang w:val="en-GB"/>
        </w:rPr>
        <w:t xml:space="preserve"> </w:t>
      </w:r>
      <w:r w:rsidRPr="00C37314">
        <w:rPr>
          <w:lang w:val="en-GB" w:eastAsia="zh-CN"/>
        </w:rPr>
        <w:t>Among the topics included are f</w:t>
      </w:r>
      <w:r w:rsidRPr="00C37314">
        <w:rPr>
          <w:lang w:val="en-GB"/>
        </w:rPr>
        <w:t>eatures of VSAT operation</w:t>
      </w:r>
      <w:r w:rsidRPr="00C37314">
        <w:rPr>
          <w:lang w:val="en-GB" w:eastAsia="ja-JP"/>
        </w:rPr>
        <w:t xml:space="preserve">, </w:t>
      </w:r>
      <w:r w:rsidRPr="00C37314">
        <w:rPr>
          <w:lang w:val="en-GB"/>
        </w:rPr>
        <w:t>VSAT networks</w:t>
      </w:r>
      <w:r w:rsidRPr="00C37314">
        <w:rPr>
          <w:lang w:val="en-GB" w:eastAsia="zh-CN"/>
        </w:rPr>
        <w:t xml:space="preserve"> t</w:t>
      </w:r>
      <w:r w:rsidRPr="00C37314">
        <w:rPr>
          <w:lang w:val="en-GB"/>
        </w:rPr>
        <w:t>opologies,</w:t>
      </w:r>
      <w:r w:rsidRPr="00C37314">
        <w:rPr>
          <w:lang w:val="en-GB" w:eastAsia="ja-JP"/>
        </w:rPr>
        <w:t xml:space="preserve"> and control and monitoring functions.</w:t>
      </w:r>
    </w:p>
    <w:p w:rsidR="005A1005" w:rsidRPr="00C37314" w:rsidRDefault="005A1005" w:rsidP="005A1005">
      <w:pPr>
        <w:rPr>
          <w:lang w:val="en-GB" w:eastAsia="ja-JP"/>
        </w:rPr>
      </w:pPr>
      <w:r w:rsidRPr="00C37314">
        <w:rPr>
          <w:lang w:val="en-GB" w:eastAsia="ja-JP"/>
        </w:rPr>
        <w:t>It is emphasized that VSATs, while in motion (e.g. on board vessel, on land vehicle and on board aircraft), are not encompassed by this Report.</w:t>
      </w:r>
    </w:p>
    <w:p w:rsidR="005A1005" w:rsidRPr="00C37314" w:rsidRDefault="005A1005" w:rsidP="005A1005">
      <w:pPr>
        <w:pStyle w:val="Heading1"/>
        <w:rPr>
          <w:rFonts w:eastAsiaTheme="minorHAnsi"/>
          <w:lang w:val="en-GB"/>
        </w:rPr>
      </w:pPr>
      <w:bookmarkStart w:id="9" w:name="_Toc372898967"/>
      <w:bookmarkStart w:id="10" w:name="_Toc373828454"/>
      <w:bookmarkStart w:id="11" w:name="_Toc376852980"/>
      <w:r w:rsidRPr="00C37314">
        <w:rPr>
          <w:lang w:val="en-GB"/>
        </w:rPr>
        <w:t>2</w:t>
      </w:r>
      <w:r w:rsidRPr="00C37314">
        <w:rPr>
          <w:lang w:val="en-GB"/>
        </w:rPr>
        <w:tab/>
        <w:t>Characteristics of VSATs</w:t>
      </w:r>
      <w:bookmarkEnd w:id="9"/>
      <w:bookmarkEnd w:id="10"/>
      <w:bookmarkEnd w:id="11"/>
    </w:p>
    <w:p w:rsidR="005A1005" w:rsidRPr="00C37314" w:rsidRDefault="005A1005" w:rsidP="005A1005">
      <w:pPr>
        <w:pStyle w:val="Heading2"/>
        <w:rPr>
          <w:lang w:val="en-GB"/>
        </w:rPr>
      </w:pPr>
      <w:bookmarkStart w:id="12" w:name="_Toc372898968"/>
      <w:bookmarkStart w:id="13" w:name="_Toc373828455"/>
      <w:bookmarkStart w:id="14" w:name="_Toc376852981"/>
      <w:r w:rsidRPr="00C37314">
        <w:rPr>
          <w:lang w:val="en-GB"/>
        </w:rPr>
        <w:t>2.1</w:t>
      </w:r>
      <w:r w:rsidRPr="00C37314">
        <w:rPr>
          <w:lang w:val="en-GB"/>
        </w:rPr>
        <w:tab/>
        <w:t>Overview</w:t>
      </w:r>
      <w:bookmarkEnd w:id="12"/>
      <w:bookmarkEnd w:id="13"/>
      <w:bookmarkEnd w:id="14"/>
    </w:p>
    <w:p w:rsidR="005A1005" w:rsidRPr="00C37314" w:rsidRDefault="005A1005" w:rsidP="005A1005">
      <w:pPr>
        <w:rPr>
          <w:lang w:val="en-GB"/>
        </w:rPr>
      </w:pPr>
      <w:r w:rsidRPr="00C37314">
        <w:rPr>
          <w:lang w:val="en-GB"/>
        </w:rPr>
        <w:t>VSATs could be described as earth stations that share satellite resources among a large number of similar terminals. Individual VSAT terminals typically have small aperture sizes, transmit at relatively low equivalent isotropically radiated power (e.i.r.p.) levels, and use relatively small equipment that allows flexible installation of a satellite network earth station directly at a wide variety of user locations and platforms.</w:t>
      </w:r>
    </w:p>
    <w:p w:rsidR="005A1005" w:rsidRPr="00C37314" w:rsidRDefault="005A1005" w:rsidP="005A1005">
      <w:pPr>
        <w:rPr>
          <w:lang w:val="en-GB"/>
        </w:rPr>
      </w:pPr>
      <w:r w:rsidRPr="00C37314">
        <w:rPr>
          <w:lang w:val="en-GB"/>
        </w:rPr>
        <w:t>Technical and operational characteristics of VSATs are provided below.</w:t>
      </w:r>
    </w:p>
    <w:p w:rsidR="005A1005" w:rsidRPr="00C37314" w:rsidRDefault="005A1005" w:rsidP="005A1005">
      <w:pPr>
        <w:pStyle w:val="Heading2"/>
        <w:rPr>
          <w:lang w:val="en-GB"/>
        </w:rPr>
      </w:pPr>
      <w:bookmarkStart w:id="15" w:name="_Toc372898969"/>
      <w:bookmarkStart w:id="16" w:name="_Toc373828456"/>
      <w:bookmarkStart w:id="17" w:name="_Toc376852982"/>
      <w:r w:rsidRPr="00C37314">
        <w:rPr>
          <w:lang w:val="en-GB"/>
        </w:rPr>
        <w:t>2.2</w:t>
      </w:r>
      <w:r w:rsidRPr="00C37314">
        <w:rPr>
          <w:lang w:val="en-GB"/>
        </w:rPr>
        <w:tab/>
        <w:t>Operational characteristics of VSATs</w:t>
      </w:r>
      <w:bookmarkEnd w:id="15"/>
      <w:bookmarkEnd w:id="16"/>
      <w:bookmarkEnd w:id="17"/>
    </w:p>
    <w:p w:rsidR="005A1005" w:rsidRPr="00C37314" w:rsidRDefault="005A1005" w:rsidP="005A1005">
      <w:pPr>
        <w:rPr>
          <w:rFonts w:ascii="Arial CYR" w:hAnsi="Arial CYR" w:cs="Arial CYR"/>
          <w:color w:val="000000"/>
          <w:sz w:val="20"/>
          <w:lang w:val="en-GB" w:eastAsia="zh-CN"/>
        </w:rPr>
      </w:pPr>
      <w:r w:rsidRPr="00C37314">
        <w:rPr>
          <w:lang w:val="en-GB" w:eastAsia="zh-CN"/>
        </w:rPr>
        <w:t>Some of the advantages of</w:t>
      </w:r>
      <w:r w:rsidRPr="00C37314">
        <w:rPr>
          <w:szCs w:val="24"/>
          <w:lang w:val="en-GB" w:eastAsia="zh-CN"/>
        </w:rPr>
        <w:t xml:space="preserve"> VSAT operational characteristics are:</w:t>
      </w:r>
    </w:p>
    <w:p w:rsidR="005A1005" w:rsidRPr="00C37314" w:rsidRDefault="005A1005" w:rsidP="005A1005">
      <w:pPr>
        <w:pStyle w:val="enumlev1"/>
        <w:rPr>
          <w:lang w:val="en-GB"/>
        </w:rPr>
      </w:pPr>
      <w:r w:rsidRPr="00C37314">
        <w:rPr>
          <w:lang w:val="en-GB"/>
        </w:rPr>
        <w:t>–</w:t>
      </w:r>
      <w:r w:rsidRPr="00C37314">
        <w:rPr>
          <w:lang w:val="en-GB"/>
        </w:rPr>
        <w:tab/>
        <w:t>local supervision of the terminal is not required;</w:t>
      </w:r>
    </w:p>
    <w:p w:rsidR="005A1005" w:rsidRPr="00C37314" w:rsidRDefault="005A1005" w:rsidP="005A1005">
      <w:pPr>
        <w:pStyle w:val="enumlev1"/>
        <w:rPr>
          <w:lang w:val="en-GB"/>
        </w:rPr>
      </w:pPr>
      <w:r w:rsidRPr="00C37314">
        <w:rPr>
          <w:lang w:val="en-GB"/>
        </w:rPr>
        <w:t>–</w:t>
      </w:r>
      <w:r w:rsidRPr="00C37314">
        <w:rPr>
          <w:lang w:val="en-GB"/>
        </w:rPr>
        <w:tab/>
        <w:t>allows for efficient use of shared satellite resources;</w:t>
      </w:r>
    </w:p>
    <w:p w:rsidR="005A1005" w:rsidRPr="00C37314" w:rsidRDefault="005A1005" w:rsidP="005A1005">
      <w:pPr>
        <w:pStyle w:val="enumlev1"/>
        <w:rPr>
          <w:lang w:val="en-GB"/>
        </w:rPr>
      </w:pPr>
      <w:r w:rsidRPr="00C37314">
        <w:rPr>
          <w:lang w:val="en-GB"/>
        </w:rPr>
        <w:t>–</w:t>
      </w:r>
      <w:r w:rsidRPr="00C37314">
        <w:rPr>
          <w:lang w:val="en-GB"/>
        </w:rPr>
        <w:tab/>
        <w:t xml:space="preserve">performance of the station is remotely monitored by a VSAT network control </w:t>
      </w:r>
      <w:r w:rsidR="00C37314" w:rsidRPr="00C37314">
        <w:rPr>
          <w:lang w:val="en-GB"/>
        </w:rPr>
        <w:t>centre</w:t>
      </w:r>
      <w:r w:rsidRPr="00C37314">
        <w:rPr>
          <w:lang w:val="en-GB"/>
        </w:rPr>
        <w:t>;</w:t>
      </w:r>
    </w:p>
    <w:p w:rsidR="005A1005" w:rsidRPr="00C37314" w:rsidRDefault="005A1005" w:rsidP="005A1005">
      <w:pPr>
        <w:pStyle w:val="enumlev1"/>
        <w:rPr>
          <w:lang w:val="en-GB"/>
        </w:rPr>
      </w:pPr>
      <w:r w:rsidRPr="00C37314">
        <w:rPr>
          <w:lang w:val="en-GB"/>
        </w:rPr>
        <w:t>–</w:t>
      </w:r>
      <w:r w:rsidRPr="00C37314">
        <w:rPr>
          <w:lang w:val="en-GB"/>
        </w:rPr>
        <w:tab/>
        <w:t>deployment in a geographical area without restrictions on installation density;</w:t>
      </w:r>
    </w:p>
    <w:p w:rsidR="005A1005" w:rsidRPr="00C37314" w:rsidRDefault="005A1005" w:rsidP="0021424A">
      <w:pPr>
        <w:pStyle w:val="enumlev1"/>
        <w:rPr>
          <w:lang w:val="en-GB"/>
        </w:rPr>
      </w:pPr>
      <w:r w:rsidRPr="00C37314">
        <w:rPr>
          <w:lang w:val="en-GB"/>
        </w:rPr>
        <w:t>–</w:t>
      </w:r>
      <w:r w:rsidRPr="00C37314">
        <w:rPr>
          <w:lang w:val="en-GB"/>
        </w:rPr>
        <w:tab/>
        <w:t>so as to ensure the VSAT is operating with the correct satellite and frequency, the</w:t>
      </w:r>
      <w:r w:rsidR="0021424A" w:rsidRPr="00C37314">
        <w:rPr>
          <w:lang w:val="en-GB"/>
        </w:rPr>
        <w:t xml:space="preserve"> </w:t>
      </w:r>
      <w:r w:rsidRPr="00C37314">
        <w:rPr>
          <w:lang w:val="en-GB"/>
        </w:rPr>
        <w:t>VSAT transmitter can only be enabled after having received authorization to do so via a</w:t>
      </w:r>
      <w:r w:rsidR="0021424A" w:rsidRPr="00C37314">
        <w:rPr>
          <w:lang w:val="en-GB"/>
        </w:rPr>
        <w:t xml:space="preserve"> </w:t>
      </w:r>
      <w:r w:rsidRPr="00C37314">
        <w:rPr>
          <w:lang w:val="en-GB"/>
        </w:rPr>
        <w:t>signal from the VSAT network control cent</w:t>
      </w:r>
      <w:r w:rsidR="0021424A" w:rsidRPr="00C37314">
        <w:rPr>
          <w:lang w:val="en-GB"/>
        </w:rPr>
        <w:t>r</w:t>
      </w:r>
      <w:r w:rsidRPr="00C37314">
        <w:rPr>
          <w:lang w:val="en-GB"/>
        </w:rPr>
        <w:t>e.</w:t>
      </w:r>
    </w:p>
    <w:p w:rsidR="005A1005" w:rsidRPr="00C37314" w:rsidRDefault="005A1005" w:rsidP="005A1005">
      <w:pPr>
        <w:rPr>
          <w:lang w:val="en-GB" w:eastAsia="ja-JP"/>
        </w:rPr>
      </w:pPr>
      <w:r w:rsidRPr="00C37314">
        <w:rPr>
          <w:lang w:val="en-GB" w:eastAsia="ja-JP"/>
        </w:rPr>
        <w:t>As a consequence of these characteristics, many administrations around the world allow blanket licensing or simplified licensing procedures to allow quick deployment and easy operation of VSAT networks.</w:t>
      </w:r>
    </w:p>
    <w:p w:rsidR="005A1005" w:rsidRPr="00C37314" w:rsidRDefault="005A1005" w:rsidP="005A1005">
      <w:pPr>
        <w:pStyle w:val="Heading2"/>
        <w:rPr>
          <w:lang w:val="en-GB"/>
        </w:rPr>
      </w:pPr>
      <w:bookmarkStart w:id="18" w:name="_Toc372898970"/>
      <w:bookmarkStart w:id="19" w:name="_Toc373828457"/>
      <w:bookmarkStart w:id="20" w:name="_Toc376852983"/>
      <w:r w:rsidRPr="00C37314">
        <w:rPr>
          <w:lang w:val="en-GB"/>
        </w:rPr>
        <w:t>2.3</w:t>
      </w:r>
      <w:r w:rsidRPr="00C37314">
        <w:rPr>
          <w:lang w:val="en-GB"/>
        </w:rPr>
        <w:tab/>
        <w:t>Technical characteristics of VSATs</w:t>
      </w:r>
      <w:bookmarkEnd w:id="18"/>
      <w:bookmarkEnd w:id="19"/>
      <w:bookmarkEnd w:id="20"/>
    </w:p>
    <w:p w:rsidR="005A1005" w:rsidRPr="00C37314" w:rsidRDefault="005A1005" w:rsidP="005A1005">
      <w:pPr>
        <w:rPr>
          <w:lang w:val="en-GB" w:eastAsia="zh-CN"/>
        </w:rPr>
      </w:pPr>
      <w:r w:rsidRPr="00C37314">
        <w:rPr>
          <w:lang w:val="en-GB" w:eastAsia="zh-CN"/>
        </w:rPr>
        <w:t>Technical characteristics of VSATs are:</w:t>
      </w:r>
    </w:p>
    <w:p w:rsidR="005A1005" w:rsidRPr="00C37314" w:rsidRDefault="005A1005" w:rsidP="0021424A">
      <w:pPr>
        <w:pStyle w:val="enumlev1"/>
        <w:rPr>
          <w:lang w:val="en-GB" w:eastAsia="zh-CN"/>
        </w:rPr>
      </w:pPr>
      <w:r w:rsidRPr="00C37314">
        <w:rPr>
          <w:lang w:val="en-GB" w:eastAsia="zh-CN"/>
        </w:rPr>
        <w:t>–</w:t>
      </w:r>
      <w:r w:rsidRPr="00C37314">
        <w:rPr>
          <w:lang w:val="en-GB" w:eastAsia="zh-CN"/>
        </w:rPr>
        <w:tab/>
        <w:t xml:space="preserve">while most VSAT networks make use of a star topology where a large hub is at the </w:t>
      </w:r>
      <w:r w:rsidR="00C37314" w:rsidRPr="00C37314">
        <w:rPr>
          <w:lang w:val="en-GB" w:eastAsia="zh-CN"/>
        </w:rPr>
        <w:t>centre</w:t>
      </w:r>
      <w:r w:rsidRPr="00C37314">
        <w:rPr>
          <w:lang w:val="en-GB" w:eastAsia="zh-CN"/>
        </w:rPr>
        <w:t xml:space="preserve"> of the star which communicates with remotes, other topologies are possible (see</w:t>
      </w:r>
      <w:r w:rsidR="0021424A" w:rsidRPr="00C37314">
        <w:rPr>
          <w:lang w:val="en-GB" w:eastAsia="zh-CN"/>
        </w:rPr>
        <w:t xml:space="preserve"> § </w:t>
      </w:r>
      <w:r w:rsidRPr="00C37314">
        <w:rPr>
          <w:lang w:val="en-GB" w:eastAsia="zh-CN"/>
        </w:rPr>
        <w:t>3);</w:t>
      </w:r>
    </w:p>
    <w:p w:rsidR="005A1005" w:rsidRPr="00C37314" w:rsidRDefault="005A1005" w:rsidP="005A1005">
      <w:pPr>
        <w:pStyle w:val="enumlev1"/>
        <w:rPr>
          <w:lang w:val="en-GB" w:eastAsia="zh-CN"/>
        </w:rPr>
      </w:pPr>
      <w:r w:rsidRPr="00C37314">
        <w:rPr>
          <w:lang w:val="en-GB" w:eastAsia="zh-CN"/>
        </w:rPr>
        <w:t>–</w:t>
      </w:r>
      <w:r w:rsidRPr="00C37314">
        <w:rPr>
          <w:lang w:val="en-GB" w:eastAsia="zh-CN"/>
        </w:rPr>
        <w:tab/>
        <w:t>dynamic assignment of satellite capacity to accommodate variable demand by a VSAT;</w:t>
      </w:r>
    </w:p>
    <w:p w:rsidR="005A1005" w:rsidRPr="00C37314" w:rsidRDefault="005A1005" w:rsidP="005A1005">
      <w:pPr>
        <w:pStyle w:val="enumlev1"/>
        <w:rPr>
          <w:lang w:val="en-GB" w:eastAsia="zh-CN"/>
        </w:rPr>
      </w:pPr>
      <w:r w:rsidRPr="00C37314">
        <w:rPr>
          <w:lang w:val="en-GB" w:eastAsia="zh-CN"/>
        </w:rPr>
        <w:t>–</w:t>
      </w:r>
      <w:r w:rsidRPr="00C37314">
        <w:rPr>
          <w:lang w:val="en-GB" w:eastAsia="zh-CN"/>
        </w:rPr>
        <w:tab/>
      </w:r>
      <w:r w:rsidRPr="00C37314">
        <w:rPr>
          <w:lang w:val="en-GB"/>
        </w:rPr>
        <w:t>capability that allows compatibility with closely spaced satellites;</w:t>
      </w:r>
    </w:p>
    <w:p w:rsidR="005A1005" w:rsidRPr="00C37314" w:rsidRDefault="005A1005" w:rsidP="005A1005">
      <w:pPr>
        <w:pStyle w:val="enumlev1"/>
        <w:rPr>
          <w:lang w:val="en-GB" w:eastAsia="zh-CN"/>
        </w:rPr>
      </w:pPr>
      <w:r w:rsidRPr="00C37314">
        <w:rPr>
          <w:lang w:val="en-GB" w:eastAsia="zh-CN"/>
        </w:rPr>
        <w:t>–</w:t>
      </w:r>
      <w:r w:rsidRPr="00C37314">
        <w:rPr>
          <w:lang w:val="en-GB" w:eastAsia="zh-CN"/>
        </w:rPr>
        <w:tab/>
        <w:t>capability of VSAT to dynamically adapt to changing channel conditions in order to improve link reliability by manipulation of the station’s characteristics such as signal parameters, data rate</w:t>
      </w:r>
      <w:r w:rsidRPr="00C37314" w:rsidDel="00D33C34">
        <w:rPr>
          <w:lang w:val="en-GB" w:eastAsia="zh-CN"/>
        </w:rPr>
        <w:t xml:space="preserve"> </w:t>
      </w:r>
      <w:r w:rsidRPr="00C37314">
        <w:rPr>
          <w:lang w:val="en-GB" w:eastAsia="ja-JP"/>
        </w:rPr>
        <w:t xml:space="preserve">and </w:t>
      </w:r>
      <w:r w:rsidRPr="00C37314">
        <w:rPr>
          <w:lang w:val="en-GB" w:eastAsia="zh-CN"/>
        </w:rPr>
        <w:t>power;</w:t>
      </w:r>
    </w:p>
    <w:p w:rsidR="005A1005" w:rsidRPr="00C37314" w:rsidRDefault="005A1005" w:rsidP="005A1005">
      <w:pPr>
        <w:pStyle w:val="enumlev1"/>
        <w:rPr>
          <w:lang w:val="en-GB" w:eastAsia="zh-CN"/>
        </w:rPr>
      </w:pPr>
      <w:r w:rsidRPr="00C37314">
        <w:rPr>
          <w:lang w:val="en-GB" w:eastAsia="zh-CN"/>
        </w:rPr>
        <w:t>–</w:t>
      </w:r>
      <w:r w:rsidRPr="00C37314">
        <w:rPr>
          <w:lang w:val="en-GB" w:eastAsia="zh-CN"/>
        </w:rPr>
        <w:tab/>
        <w:t>typically designed so as to be able to carry TCP/IP traffic.</w:t>
      </w:r>
      <w:r w:rsidR="0021424A" w:rsidRPr="00C37314">
        <w:rPr>
          <w:lang w:val="en-GB" w:eastAsia="zh-CN"/>
        </w:rPr>
        <w:t xml:space="preserve"> </w:t>
      </w:r>
      <w:r w:rsidRPr="00C37314">
        <w:rPr>
          <w:lang w:val="en-GB" w:eastAsia="zh-CN"/>
        </w:rPr>
        <w:t>The VSAT may also be designed to carry other multimedia applications;</w:t>
      </w:r>
    </w:p>
    <w:p w:rsidR="005A1005" w:rsidRPr="00C37314" w:rsidRDefault="005A1005" w:rsidP="00BE5B9C">
      <w:pPr>
        <w:pStyle w:val="enumlev1"/>
        <w:rPr>
          <w:lang w:val="en-GB" w:eastAsia="zh-CN"/>
        </w:rPr>
      </w:pPr>
      <w:r w:rsidRPr="00C37314">
        <w:rPr>
          <w:lang w:val="en-GB" w:eastAsia="zh-CN"/>
        </w:rPr>
        <w:t>–</w:t>
      </w:r>
      <w:r w:rsidRPr="00C37314">
        <w:rPr>
          <w:lang w:val="en-GB" w:eastAsia="zh-CN"/>
        </w:rPr>
        <w:tab/>
        <w:t>may make use of air interfaces appropriate for satellite communications (DVB-S2, DVB</w:t>
      </w:r>
      <w:r w:rsidR="00BE5B9C">
        <w:rPr>
          <w:lang w:val="en-GB" w:eastAsia="zh-CN"/>
        </w:rPr>
        <w:noBreakHyphen/>
      </w:r>
      <w:r w:rsidRPr="00C37314">
        <w:rPr>
          <w:lang w:val="en-GB" w:eastAsia="zh-CN"/>
        </w:rPr>
        <w:t>RCS, etc.) which allow</w:t>
      </w:r>
      <w:r w:rsidRPr="00C37314">
        <w:rPr>
          <w:lang w:val="en-GB"/>
        </w:rPr>
        <w:t xml:space="preserve"> very diverse coding and modulation techniques corresponding to the most effective information technologies</w:t>
      </w:r>
      <w:r w:rsidRPr="00C37314">
        <w:rPr>
          <w:lang w:val="en-GB" w:eastAsia="zh-CN"/>
        </w:rPr>
        <w:t>;</w:t>
      </w:r>
    </w:p>
    <w:p w:rsidR="005A1005" w:rsidRPr="00C37314" w:rsidRDefault="005A1005" w:rsidP="0021424A">
      <w:pPr>
        <w:pStyle w:val="enumlev1"/>
        <w:rPr>
          <w:lang w:val="en-GB"/>
        </w:rPr>
      </w:pPr>
      <w:r w:rsidRPr="00C37314">
        <w:rPr>
          <w:lang w:val="en-GB" w:eastAsia="zh-CN"/>
        </w:rPr>
        <w:lastRenderedPageBreak/>
        <w:t>–</w:t>
      </w:r>
      <w:r w:rsidRPr="00C37314">
        <w:rPr>
          <w:lang w:val="en-GB"/>
        </w:rPr>
        <w:tab/>
        <w:t>typically operated in the 4/6 GHz, 11-12/14 GHz and 20/30 GHz frequency bands (see</w:t>
      </w:r>
      <w:r w:rsidR="0021424A" w:rsidRPr="00C37314">
        <w:rPr>
          <w:lang w:val="en-GB"/>
        </w:rPr>
        <w:t xml:space="preserve"> § </w:t>
      </w:r>
      <w:r w:rsidRPr="00C37314">
        <w:rPr>
          <w:lang w:val="en-GB"/>
        </w:rPr>
        <w:t>2.4);</w:t>
      </w:r>
    </w:p>
    <w:p w:rsidR="005A1005" w:rsidRPr="00C37314" w:rsidRDefault="005A1005" w:rsidP="0021424A">
      <w:pPr>
        <w:pStyle w:val="enumlev1"/>
        <w:rPr>
          <w:lang w:val="en-GB" w:eastAsia="ja-JP"/>
        </w:rPr>
      </w:pPr>
      <w:r w:rsidRPr="00C37314">
        <w:rPr>
          <w:lang w:val="en-GB" w:eastAsia="zh-CN"/>
        </w:rPr>
        <w:t>–</w:t>
      </w:r>
      <w:r w:rsidRPr="00C37314">
        <w:rPr>
          <w:lang w:val="en-GB" w:eastAsia="zh-CN"/>
        </w:rPr>
        <w:tab/>
        <w:t xml:space="preserve">suitable for applications involving frequent relocation given the </w:t>
      </w:r>
      <w:r w:rsidRPr="00C37314">
        <w:rPr>
          <w:lang w:val="en-GB" w:eastAsia="ja-JP"/>
        </w:rPr>
        <w:t>developments in control and monitoring functions.</w:t>
      </w:r>
    </w:p>
    <w:p w:rsidR="005A1005" w:rsidRPr="00C37314" w:rsidRDefault="005A1005" w:rsidP="0021424A">
      <w:pPr>
        <w:pStyle w:val="Heading2"/>
        <w:rPr>
          <w:lang w:val="en-GB" w:eastAsia="ja-JP"/>
        </w:rPr>
      </w:pPr>
      <w:bookmarkStart w:id="21" w:name="_Toc372898971"/>
      <w:bookmarkStart w:id="22" w:name="_Toc373828458"/>
      <w:bookmarkStart w:id="23" w:name="_Toc376852984"/>
      <w:r w:rsidRPr="00C37314">
        <w:rPr>
          <w:lang w:val="en-GB"/>
        </w:rPr>
        <w:t>2.</w:t>
      </w:r>
      <w:r w:rsidRPr="00C37314">
        <w:rPr>
          <w:lang w:val="en-GB" w:eastAsia="ja-JP"/>
        </w:rPr>
        <w:t>4</w:t>
      </w:r>
      <w:r w:rsidRPr="00C37314">
        <w:rPr>
          <w:lang w:val="en-GB"/>
        </w:rPr>
        <w:tab/>
      </w:r>
      <w:r w:rsidRPr="00C37314">
        <w:rPr>
          <w:lang w:val="en-GB" w:eastAsia="ja-JP"/>
        </w:rPr>
        <w:t>Antenna diameters</w:t>
      </w:r>
      <w:bookmarkEnd w:id="21"/>
      <w:bookmarkEnd w:id="22"/>
      <w:bookmarkEnd w:id="23"/>
    </w:p>
    <w:p w:rsidR="005A1005" w:rsidRPr="00C37314" w:rsidRDefault="005A1005" w:rsidP="00CE66FD">
      <w:pPr>
        <w:rPr>
          <w:rFonts w:ascii="Arial CYR" w:hAnsi="Arial CYR"/>
          <w:color w:val="000000"/>
          <w:sz w:val="20"/>
          <w:lang w:val="en-GB"/>
        </w:rPr>
      </w:pPr>
      <w:r w:rsidRPr="00C37314">
        <w:rPr>
          <w:lang w:val="en-GB" w:eastAsia="ja-JP"/>
        </w:rPr>
        <w:t>VSATs are generally distinguished from the other types of earth stations by the use of smaller antenna apertures, which are nonetheless capable of operatin</w:t>
      </w:r>
      <w:r w:rsidR="00CE66FD">
        <w:rPr>
          <w:lang w:val="en-GB" w:eastAsia="ja-JP"/>
        </w:rPr>
        <w:t>g</w:t>
      </w:r>
      <w:r w:rsidRPr="00C37314">
        <w:rPr>
          <w:lang w:val="en-GB" w:eastAsia="ja-JP"/>
        </w:rPr>
        <w:t xml:space="preserve"> with closely spaced satellites. </w:t>
      </w:r>
      <w:r w:rsidRPr="00C37314">
        <w:rPr>
          <w:lang w:val="en-GB" w:eastAsia="zh-CN"/>
        </w:rPr>
        <w:t>They</w:t>
      </w:r>
      <w:r w:rsidR="00C37314" w:rsidRPr="00C37314">
        <w:rPr>
          <w:lang w:val="en-GB" w:eastAsia="zh-CN"/>
        </w:rPr>
        <w:t xml:space="preserve"> </w:t>
      </w:r>
      <w:r w:rsidRPr="00C37314">
        <w:rPr>
          <w:lang w:val="en-GB" w:eastAsia="zh-CN"/>
        </w:rPr>
        <w:t>are most often designed to operate in the 6/4 GHz, 14/11-12 GHz and 30/20 GHz frequency bands.</w:t>
      </w:r>
      <w:r w:rsidRPr="00C37314">
        <w:rPr>
          <w:rFonts w:cstheme="minorBidi"/>
          <w:lang w:val="en-GB"/>
        </w:rPr>
        <w:t xml:space="preserve"> </w:t>
      </w:r>
      <w:r w:rsidRPr="00C37314">
        <w:rPr>
          <w:lang w:val="en-GB" w:eastAsia="ja-JP"/>
        </w:rPr>
        <w:t>The actual values of their antenna diameters might vary based on the standards of regional or</w:t>
      </w:r>
      <w:r w:rsidR="00C37314" w:rsidRPr="00C37314">
        <w:rPr>
          <w:lang w:val="en-GB" w:eastAsia="ja-JP"/>
        </w:rPr>
        <w:t xml:space="preserve"> </w:t>
      </w:r>
      <w:r w:rsidRPr="00C37314">
        <w:rPr>
          <w:lang w:val="en-GB" w:eastAsia="ja-JP"/>
        </w:rPr>
        <w:t>national regulatory bodies (TIA, ETSI, etc.), satellite spacing and coordination agreements reached with adjacent satellite operators.</w:t>
      </w:r>
    </w:p>
    <w:p w:rsidR="005A1005" w:rsidRPr="00C37314" w:rsidRDefault="005A1005" w:rsidP="00890BC8">
      <w:pPr>
        <w:rPr>
          <w:lang w:val="en-GB" w:eastAsia="ja-JP"/>
        </w:rPr>
      </w:pPr>
      <w:r w:rsidRPr="00C37314">
        <w:rPr>
          <w:lang w:val="en-GB" w:eastAsia="ja-JP"/>
        </w:rPr>
        <w:t>NOTE – F</w:t>
      </w:r>
      <w:r w:rsidRPr="00C37314">
        <w:rPr>
          <w:lang w:val="en-GB" w:eastAsia="zh-CN"/>
        </w:rPr>
        <w:t xml:space="preserve">or example, the </w:t>
      </w:r>
      <w:r w:rsidRPr="00C37314">
        <w:rPr>
          <w:lang w:val="en-GB"/>
        </w:rPr>
        <w:t>ETSI standards EN 301 459 or EN 301 428</w:t>
      </w:r>
      <w:r w:rsidRPr="00C37314">
        <w:rPr>
          <w:lang w:val="en-GB" w:eastAsia="ja-JP"/>
        </w:rPr>
        <w:t xml:space="preserve"> state that </w:t>
      </w:r>
      <w:r w:rsidRPr="00C37314">
        <w:rPr>
          <w:lang w:val="en-GB" w:eastAsia="zh-CN"/>
        </w:rPr>
        <w:t>apertures for VSATs</w:t>
      </w:r>
      <w:r w:rsidRPr="00C37314">
        <w:rPr>
          <w:lang w:val="en-GB"/>
        </w:rPr>
        <w:t xml:space="preserve"> </w:t>
      </w:r>
      <w:r w:rsidRPr="00C37314">
        <w:rPr>
          <w:lang w:val="en-GB" w:eastAsia="zh-CN"/>
        </w:rPr>
        <w:t>should not excee</w:t>
      </w:r>
      <w:r w:rsidRPr="00C37314">
        <w:rPr>
          <w:lang w:val="en-GB"/>
        </w:rPr>
        <w:t xml:space="preserve">d 3.8 m for the 14/11-12 GHz band and 1.8 m for the 30/20 GHz band or </w:t>
      </w:r>
      <w:r w:rsidRPr="00C37314">
        <w:rPr>
          <w:lang w:val="en-GB" w:eastAsia="zh-CN"/>
        </w:rPr>
        <w:t>corresponding equivalent diameters in case of non</w:t>
      </w:r>
      <w:r w:rsidR="00CE66FD">
        <w:rPr>
          <w:lang w:val="en-GB" w:eastAsia="zh-CN"/>
        </w:rPr>
        <w:t>-</w:t>
      </w:r>
      <w:r w:rsidRPr="00C37314">
        <w:rPr>
          <w:lang w:val="en-GB" w:eastAsia="zh-CN"/>
        </w:rPr>
        <w:t>circular apertures.</w:t>
      </w:r>
      <w:r w:rsidR="0021424A" w:rsidRPr="00C37314">
        <w:rPr>
          <w:lang w:val="en-GB" w:eastAsia="ja-JP"/>
        </w:rPr>
        <w:t xml:space="preserve"> </w:t>
      </w:r>
      <w:r w:rsidRPr="00C37314">
        <w:rPr>
          <w:lang w:val="en-GB" w:eastAsia="ja-JP"/>
        </w:rPr>
        <w:t>I</w:t>
      </w:r>
      <w:r w:rsidRPr="00C37314">
        <w:rPr>
          <w:color w:val="000000"/>
          <w:lang w:val="en-GB"/>
        </w:rPr>
        <w:t xml:space="preserve">n these cases, </w:t>
      </w:r>
      <w:r w:rsidRPr="00C37314">
        <w:rPr>
          <w:lang w:val="en-GB" w:eastAsia="zh-CN"/>
        </w:rPr>
        <w:t>t</w:t>
      </w:r>
      <w:r w:rsidRPr="00C37314">
        <w:rPr>
          <w:lang w:val="en-GB"/>
        </w:rPr>
        <w:t>he equivalent diameter</w:t>
      </w:r>
      <w:r w:rsidRPr="00C37314">
        <w:rPr>
          <w:lang w:val="en-GB" w:eastAsia="zh-CN"/>
        </w:rPr>
        <w:t xml:space="preserve"> </w:t>
      </w:r>
      <w:r w:rsidRPr="00C37314">
        <w:rPr>
          <w:lang w:val="en-GB" w:eastAsia="ja-JP"/>
        </w:rPr>
        <w:t xml:space="preserve">can be </w:t>
      </w:r>
      <w:r w:rsidRPr="00C37314">
        <w:rPr>
          <w:lang w:val="en-GB" w:eastAsia="zh-CN"/>
        </w:rPr>
        <w:t xml:space="preserve">calculated </w:t>
      </w:r>
      <w:r w:rsidRPr="00C37314">
        <w:rPr>
          <w:lang w:val="en-GB" w:eastAsia="ja-JP"/>
        </w:rPr>
        <w:t xml:space="preserve">using the equation in </w:t>
      </w:r>
      <w:r w:rsidRPr="00C37314">
        <w:rPr>
          <w:lang w:val="en-GB" w:eastAsia="zh-CN"/>
        </w:rPr>
        <w:t>Recommendation ITU-R S.1855</w:t>
      </w:r>
      <w:r w:rsidRPr="00C37314">
        <w:rPr>
          <w:lang w:val="en-GB" w:eastAsia="ja-JP"/>
        </w:rPr>
        <w:t>.</w:t>
      </w:r>
    </w:p>
    <w:p w:rsidR="005A1005" w:rsidRPr="00C37314" w:rsidRDefault="005A1005" w:rsidP="00C37314">
      <w:pPr>
        <w:pStyle w:val="Heading2"/>
        <w:rPr>
          <w:lang w:val="en-GB"/>
        </w:rPr>
      </w:pPr>
      <w:bookmarkStart w:id="24" w:name="_Toc372898972"/>
      <w:bookmarkStart w:id="25" w:name="_Toc373828459"/>
      <w:bookmarkStart w:id="26" w:name="_Toc376852985"/>
      <w:r w:rsidRPr="00C37314">
        <w:rPr>
          <w:lang w:val="en-GB"/>
        </w:rPr>
        <w:t>2.5</w:t>
      </w:r>
      <w:r w:rsidRPr="00C37314">
        <w:rPr>
          <w:lang w:val="en-GB"/>
        </w:rPr>
        <w:tab/>
        <w:t>ITU-R Recommendations concerning technical and operational characteristics for</w:t>
      </w:r>
      <w:r w:rsidR="00C37314" w:rsidRPr="00C37314">
        <w:rPr>
          <w:lang w:val="en-GB"/>
        </w:rPr>
        <w:t xml:space="preserve"> </w:t>
      </w:r>
      <w:r w:rsidRPr="00C37314">
        <w:rPr>
          <w:lang w:val="en-GB"/>
        </w:rPr>
        <w:t>VSATs</w:t>
      </w:r>
      <w:bookmarkEnd w:id="24"/>
      <w:bookmarkEnd w:id="25"/>
      <w:bookmarkEnd w:id="26"/>
    </w:p>
    <w:p w:rsidR="005A1005" w:rsidRPr="00C37314" w:rsidRDefault="005A1005" w:rsidP="0021424A">
      <w:pPr>
        <w:rPr>
          <w:lang w:val="en-GB" w:eastAsia="zh-CN"/>
        </w:rPr>
      </w:pPr>
      <w:r w:rsidRPr="00C37314">
        <w:rPr>
          <w:lang w:val="en-GB" w:eastAsia="ja-JP"/>
        </w:rPr>
        <w:t xml:space="preserve">VSATs should </w:t>
      </w:r>
      <w:r w:rsidRPr="00C37314">
        <w:rPr>
          <w:lang w:val="en-GB" w:eastAsia="zh-CN"/>
        </w:rPr>
        <w:t xml:space="preserve">meet the technical and operational </w:t>
      </w:r>
      <w:r w:rsidRPr="00C37314">
        <w:rPr>
          <w:lang w:val="en-GB" w:eastAsia="ja-JP"/>
        </w:rPr>
        <w:t xml:space="preserve">characteristics </w:t>
      </w:r>
      <w:r w:rsidRPr="00C37314">
        <w:rPr>
          <w:lang w:val="en-GB" w:eastAsia="zh-CN"/>
        </w:rPr>
        <w:t>described in ITU-R Recommendations, summarized in Table 1.</w:t>
      </w:r>
    </w:p>
    <w:p w:rsidR="005A1005" w:rsidRPr="00C37314" w:rsidRDefault="005A1005" w:rsidP="0021424A">
      <w:pPr>
        <w:pStyle w:val="TableNo"/>
        <w:keepLines/>
        <w:rPr>
          <w:lang w:val="en-GB"/>
        </w:rPr>
      </w:pPr>
      <w:r w:rsidRPr="00C37314">
        <w:rPr>
          <w:lang w:val="en-GB"/>
        </w:rPr>
        <w:t>TABLE 1</w:t>
      </w:r>
    </w:p>
    <w:p w:rsidR="005A1005" w:rsidRPr="00C908C7" w:rsidRDefault="005A1005" w:rsidP="0021424A">
      <w:pPr>
        <w:pStyle w:val="Tabletitle"/>
        <w:keepLines/>
        <w:rPr>
          <w:lang w:val="en-US"/>
        </w:rPr>
      </w:pPr>
      <w:r w:rsidRPr="00C908C7">
        <w:rPr>
          <w:lang w:val="en-US"/>
        </w:rPr>
        <w:t>ITU-R Recommendations for technical and operational characteristics of VSATs</w:t>
      </w:r>
    </w:p>
    <w:p w:rsidR="005A1005" w:rsidRPr="00C37314" w:rsidRDefault="005A1005" w:rsidP="0021424A">
      <w:pPr>
        <w:keepNext/>
        <w:keepLines/>
        <w:rPr>
          <w:b/>
          <w:lang w:val="en-GB" w:eastAsia="ja-JP"/>
        </w:rPr>
      </w:pPr>
      <w:r w:rsidRPr="00C37314">
        <w:rPr>
          <w:lang w:val="en-GB" w:eastAsia="ja-JP"/>
        </w:rPr>
        <w:t>a)</w:t>
      </w:r>
      <w:r w:rsidRPr="00C37314">
        <w:rPr>
          <w:lang w:val="en-GB" w:eastAsia="ja-JP"/>
        </w:rPr>
        <w:tab/>
        <w:t>General technical and operational characteristics</w:t>
      </w:r>
    </w:p>
    <w:p w:rsidR="0021424A" w:rsidRPr="00C37314" w:rsidRDefault="0021424A" w:rsidP="0021424A">
      <w:pPr>
        <w:keepNext/>
        <w:keepLines/>
        <w:rPr>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21424A" w:rsidRPr="00C37314" w:rsidTr="00495B43">
        <w:trPr>
          <w:cantSplit/>
          <w:jc w:val="center"/>
        </w:trPr>
        <w:tc>
          <w:tcPr>
            <w:tcW w:w="2419" w:type="dxa"/>
            <w:vAlign w:val="center"/>
          </w:tcPr>
          <w:p w:rsidR="005A1005" w:rsidRPr="00C37314" w:rsidRDefault="005A1005" w:rsidP="0021424A">
            <w:pPr>
              <w:pStyle w:val="Tablehead"/>
              <w:keepLines/>
              <w:rPr>
                <w:lang w:val="en-GB"/>
              </w:rPr>
            </w:pPr>
            <w:r w:rsidRPr="00C37314">
              <w:rPr>
                <w:lang w:val="en-GB"/>
              </w:rPr>
              <w:t>ITU-R</w:t>
            </w:r>
            <w:r w:rsidR="0021424A" w:rsidRPr="00C37314">
              <w:rPr>
                <w:lang w:val="en-GB"/>
              </w:rPr>
              <w:br/>
            </w:r>
            <w:r w:rsidRPr="00C37314">
              <w:rPr>
                <w:lang w:val="en-GB"/>
              </w:rPr>
              <w:t>Recommendations</w:t>
            </w:r>
            <w:r w:rsidR="0021424A" w:rsidRPr="00C37314">
              <w:rPr>
                <w:lang w:val="en-GB"/>
              </w:rPr>
              <w:br/>
            </w:r>
            <w:r w:rsidRPr="00C37314">
              <w:rPr>
                <w:lang w:val="en-GB"/>
              </w:rPr>
              <w:t>for VSATs</w:t>
            </w:r>
          </w:p>
        </w:tc>
        <w:tc>
          <w:tcPr>
            <w:tcW w:w="2419" w:type="dxa"/>
            <w:vAlign w:val="center"/>
          </w:tcPr>
          <w:p w:rsidR="005A1005" w:rsidRPr="00C37314" w:rsidRDefault="005A1005" w:rsidP="0021424A">
            <w:pPr>
              <w:pStyle w:val="Tablehead"/>
              <w:keepLines/>
              <w:rPr>
                <w:lang w:val="en-GB"/>
              </w:rPr>
            </w:pPr>
            <w:r w:rsidRPr="00C37314">
              <w:rPr>
                <w:lang w:val="en-GB"/>
              </w:rPr>
              <w:t>ITU-R Recommendations</w:t>
            </w:r>
            <w:r w:rsidR="0021424A" w:rsidRPr="00C37314">
              <w:rPr>
                <w:lang w:val="en-GB"/>
              </w:rPr>
              <w:br/>
            </w:r>
            <w:r w:rsidRPr="00C37314">
              <w:rPr>
                <w:lang w:val="en-GB"/>
              </w:rPr>
              <w:t>for</w:t>
            </w:r>
            <w:r w:rsidR="0021424A" w:rsidRPr="00C37314">
              <w:rPr>
                <w:lang w:val="en-GB"/>
              </w:rPr>
              <w:t xml:space="preserve"> </w:t>
            </w:r>
            <w:r w:rsidRPr="00C37314">
              <w:rPr>
                <w:lang w:val="en-GB"/>
              </w:rPr>
              <w:t>FSS earth stations including VSATs</w:t>
            </w:r>
          </w:p>
        </w:tc>
        <w:tc>
          <w:tcPr>
            <w:tcW w:w="4801" w:type="dxa"/>
            <w:vAlign w:val="center"/>
          </w:tcPr>
          <w:p w:rsidR="005A1005" w:rsidRPr="00C37314" w:rsidRDefault="005A1005" w:rsidP="0021424A">
            <w:pPr>
              <w:pStyle w:val="Tablehead"/>
              <w:keepLines/>
              <w:rPr>
                <w:lang w:val="en-GB"/>
              </w:rPr>
            </w:pPr>
            <w:r w:rsidRPr="00C37314">
              <w:rPr>
                <w:lang w:val="en-GB"/>
              </w:rPr>
              <w:t>Comments</w:t>
            </w:r>
          </w:p>
        </w:tc>
      </w:tr>
      <w:tr w:rsidR="0021424A" w:rsidRPr="003A3778" w:rsidTr="00495B43">
        <w:trPr>
          <w:cantSplit/>
          <w:jc w:val="center"/>
        </w:trPr>
        <w:tc>
          <w:tcPr>
            <w:tcW w:w="2419" w:type="dxa"/>
          </w:tcPr>
          <w:p w:rsidR="005A1005" w:rsidRPr="00C37314" w:rsidRDefault="005A1005" w:rsidP="0021424A">
            <w:pPr>
              <w:pStyle w:val="Tabletext"/>
              <w:keepNext/>
              <w:keepLines/>
              <w:jc w:val="center"/>
              <w:rPr>
                <w:lang w:val="en-GB"/>
              </w:rPr>
            </w:pPr>
            <w:r w:rsidRPr="00C37314">
              <w:rPr>
                <w:lang w:val="en-GB"/>
              </w:rPr>
              <w:t>S.725</w:t>
            </w:r>
          </w:p>
        </w:tc>
        <w:tc>
          <w:tcPr>
            <w:tcW w:w="2419" w:type="dxa"/>
          </w:tcPr>
          <w:p w:rsidR="005A1005" w:rsidRPr="00C37314" w:rsidRDefault="005A1005" w:rsidP="0021424A">
            <w:pPr>
              <w:pStyle w:val="Tabletext"/>
              <w:keepNext/>
              <w:keepLines/>
              <w:jc w:val="center"/>
              <w:rPr>
                <w:lang w:val="en-GB"/>
              </w:rPr>
            </w:pPr>
          </w:p>
        </w:tc>
        <w:tc>
          <w:tcPr>
            <w:tcW w:w="4801" w:type="dxa"/>
          </w:tcPr>
          <w:p w:rsidR="005A1005" w:rsidRPr="00C37314" w:rsidRDefault="005A1005" w:rsidP="001E3236">
            <w:pPr>
              <w:pStyle w:val="Tabletext"/>
              <w:keepNext/>
              <w:keepLines/>
              <w:jc w:val="left"/>
              <w:rPr>
                <w:lang w:val="en-GB"/>
              </w:rPr>
            </w:pPr>
            <w:r w:rsidRPr="00C37314">
              <w:rPr>
                <w:lang w:val="en-GB"/>
              </w:rPr>
              <w:t xml:space="preserve">This Recommendation defines that VSAT technical parameters should comply </w:t>
            </w:r>
            <w:r w:rsidRPr="00C37314">
              <w:rPr>
                <w:lang w:val="en-GB" w:eastAsia="ja-JP"/>
              </w:rPr>
              <w:t xml:space="preserve">with </w:t>
            </w:r>
            <w:r w:rsidRPr="00C37314">
              <w:rPr>
                <w:lang w:val="en-GB"/>
              </w:rPr>
              <w:t>Recommendations ITU-R S.726, ITU-R S.727 and</w:t>
            </w:r>
            <w:r w:rsidR="0021424A" w:rsidRPr="00C37314">
              <w:rPr>
                <w:lang w:val="en-GB"/>
              </w:rPr>
              <w:t xml:space="preserve"> </w:t>
            </w:r>
            <w:r w:rsidRPr="00C37314">
              <w:rPr>
                <w:lang w:val="en-GB"/>
              </w:rPr>
              <w:t>ITU-R S.728. The monitoring and control functions of VSAT networks should comply with Recommendation</w:t>
            </w:r>
            <w:r w:rsidR="001E3236" w:rsidRPr="00C37314">
              <w:rPr>
                <w:lang w:val="en-GB"/>
              </w:rPr>
              <w:t> </w:t>
            </w:r>
            <w:r w:rsidRPr="00C37314">
              <w:rPr>
                <w:lang w:val="en-GB"/>
              </w:rPr>
              <w:t>ITU-R S.729.</w:t>
            </w:r>
          </w:p>
        </w:tc>
      </w:tr>
      <w:tr w:rsidR="0021424A" w:rsidRPr="003A3778" w:rsidTr="00495B43">
        <w:trPr>
          <w:cantSplit/>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S.1709</w:t>
            </w:r>
          </w:p>
        </w:tc>
        <w:tc>
          <w:tcPr>
            <w:tcW w:w="4801" w:type="dxa"/>
          </w:tcPr>
          <w:p w:rsidR="005A1005" w:rsidRPr="00C37314" w:rsidRDefault="005A1005" w:rsidP="0021424A">
            <w:pPr>
              <w:pStyle w:val="Tabletext"/>
              <w:jc w:val="left"/>
              <w:rPr>
                <w:lang w:val="en-GB"/>
              </w:rPr>
            </w:pPr>
            <w:r w:rsidRPr="00C37314">
              <w:rPr>
                <w:lang w:val="en-GB"/>
              </w:rPr>
              <w:t xml:space="preserve">This Recommendation proposes air interface characteristics which can be used as guidance </w:t>
            </w:r>
            <w:r w:rsidRPr="00C37314">
              <w:rPr>
                <w:lang w:val="en-GB" w:eastAsia="ja-JP"/>
              </w:rPr>
              <w:t>for</w:t>
            </w:r>
            <w:r w:rsidRPr="00C37314">
              <w:rPr>
                <w:lang w:val="en-GB"/>
              </w:rPr>
              <w:t xml:space="preserve"> designers of broadband satellite networks (BSN) including summaries of TIA-1008-A, DVB-RCS (ETSI EN 301 790) and ETSI BSM/RSM-A.</w:t>
            </w:r>
          </w:p>
        </w:tc>
      </w:tr>
      <w:tr w:rsidR="0021424A" w:rsidRPr="003A3778" w:rsidTr="00495B43">
        <w:trPr>
          <w:cantSplit/>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S.1782</w:t>
            </w:r>
          </w:p>
        </w:tc>
        <w:tc>
          <w:tcPr>
            <w:tcW w:w="4801" w:type="dxa"/>
          </w:tcPr>
          <w:p w:rsidR="005A1005" w:rsidRPr="00C37314" w:rsidRDefault="005A1005" w:rsidP="0021424A">
            <w:pPr>
              <w:pStyle w:val="Tabletext"/>
              <w:jc w:val="left"/>
              <w:rPr>
                <w:lang w:val="en-GB"/>
              </w:rPr>
            </w:pPr>
            <w:r w:rsidRPr="00C37314">
              <w:rPr>
                <w:lang w:val="en-GB"/>
              </w:rPr>
              <w:t>Technical and operational requirements for VSAT and USAT earth stations have been determined, including HDFSS, for global broadband Internet access (USAT – ultra-small aperture terminal).</w:t>
            </w:r>
          </w:p>
        </w:tc>
      </w:tr>
    </w:tbl>
    <w:p w:rsidR="00495B43" w:rsidRDefault="00495B43" w:rsidP="00466D26">
      <w:pPr>
        <w:pStyle w:val="Tablefin"/>
      </w:pPr>
    </w:p>
    <w:p w:rsidR="00466D26" w:rsidRPr="00C37314" w:rsidRDefault="00466D26" w:rsidP="00466D26">
      <w:pPr>
        <w:pStyle w:val="TableNo"/>
        <w:keepLines/>
        <w:rPr>
          <w:lang w:val="en-GB"/>
        </w:rPr>
      </w:pPr>
      <w:r w:rsidRPr="00C37314">
        <w:rPr>
          <w:lang w:val="en-GB"/>
        </w:rPr>
        <w:lastRenderedPageBreak/>
        <w:t>TABLE 1 (</w:t>
      </w:r>
      <w:r w:rsidRPr="00C37314">
        <w:rPr>
          <w:i/>
          <w:iCs/>
          <w:lang w:val="en-GB"/>
        </w:rPr>
        <w:t>continued</w:t>
      </w:r>
      <w:r w:rsidRPr="00C3731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466D26" w:rsidRPr="00C37314" w:rsidTr="0082656D">
        <w:trPr>
          <w:cantSplit/>
          <w:tblHeader/>
          <w:jc w:val="center"/>
        </w:trPr>
        <w:tc>
          <w:tcPr>
            <w:tcW w:w="2419" w:type="dxa"/>
            <w:tcBorders>
              <w:top w:val="single" w:sz="4" w:space="0" w:color="auto"/>
              <w:left w:val="single" w:sz="4" w:space="0" w:color="auto"/>
              <w:bottom w:val="single" w:sz="4" w:space="0" w:color="auto"/>
              <w:right w:val="single" w:sz="4" w:space="0" w:color="auto"/>
            </w:tcBorders>
          </w:tcPr>
          <w:p w:rsidR="00466D26" w:rsidRPr="00C37314" w:rsidRDefault="00466D26" w:rsidP="0082656D">
            <w:pPr>
              <w:pStyle w:val="Tablehead"/>
              <w:keepLines/>
              <w:rPr>
                <w:lang w:val="en-GB"/>
              </w:rPr>
            </w:pPr>
            <w:r w:rsidRPr="00C37314">
              <w:rPr>
                <w:lang w:val="en-GB"/>
              </w:rPr>
              <w:t>ITU-R Recommendations for VSATs</w:t>
            </w:r>
          </w:p>
        </w:tc>
        <w:tc>
          <w:tcPr>
            <w:tcW w:w="2419" w:type="dxa"/>
            <w:tcBorders>
              <w:top w:val="single" w:sz="4" w:space="0" w:color="auto"/>
              <w:left w:val="single" w:sz="4" w:space="0" w:color="auto"/>
              <w:bottom w:val="single" w:sz="4" w:space="0" w:color="auto"/>
              <w:right w:val="single" w:sz="4" w:space="0" w:color="auto"/>
            </w:tcBorders>
          </w:tcPr>
          <w:p w:rsidR="00466D26" w:rsidRPr="00C37314" w:rsidRDefault="00466D26" w:rsidP="0082656D">
            <w:pPr>
              <w:pStyle w:val="Tablehead"/>
              <w:keepLines/>
              <w:rPr>
                <w:lang w:val="en-GB"/>
              </w:rPr>
            </w:pPr>
            <w:r w:rsidRPr="00C37314">
              <w:rPr>
                <w:lang w:val="en-GB"/>
              </w:rPr>
              <w:t>ITU</w:t>
            </w:r>
            <w:r w:rsidRPr="00C37314">
              <w:rPr>
                <w:lang w:val="en-GB"/>
              </w:rPr>
              <w:noBreakHyphen/>
              <w:t>R Recommendations for FSS earth stations including VSATs</w:t>
            </w:r>
          </w:p>
        </w:tc>
        <w:tc>
          <w:tcPr>
            <w:tcW w:w="4801" w:type="dxa"/>
            <w:tcBorders>
              <w:top w:val="single" w:sz="4" w:space="0" w:color="auto"/>
              <w:left w:val="single" w:sz="4" w:space="0" w:color="auto"/>
              <w:bottom w:val="single" w:sz="4" w:space="0" w:color="auto"/>
              <w:right w:val="single" w:sz="4" w:space="0" w:color="auto"/>
            </w:tcBorders>
          </w:tcPr>
          <w:p w:rsidR="00466D26" w:rsidRPr="00C37314" w:rsidRDefault="00466D26" w:rsidP="0082656D">
            <w:pPr>
              <w:pStyle w:val="Tablehead"/>
              <w:keepLines/>
              <w:rPr>
                <w:lang w:val="en-GB"/>
              </w:rPr>
            </w:pPr>
            <w:r w:rsidRPr="00C37314">
              <w:rPr>
                <w:lang w:val="en-GB"/>
              </w:rPr>
              <w:t>Comments</w:t>
            </w:r>
          </w:p>
        </w:tc>
      </w:tr>
      <w:tr w:rsidR="0021424A" w:rsidRPr="003A3778" w:rsidTr="00495B43">
        <w:trPr>
          <w:cantSplit/>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S.1783</w:t>
            </w:r>
          </w:p>
        </w:tc>
        <w:tc>
          <w:tcPr>
            <w:tcW w:w="4801" w:type="dxa"/>
          </w:tcPr>
          <w:p w:rsidR="005A1005" w:rsidRPr="00C37314" w:rsidRDefault="005A1005" w:rsidP="0021424A">
            <w:pPr>
              <w:pStyle w:val="Tabletext"/>
              <w:jc w:val="left"/>
              <w:rPr>
                <w:lang w:val="en-GB"/>
              </w:rPr>
            </w:pPr>
            <w:r w:rsidRPr="00C37314">
              <w:rPr>
                <w:lang w:val="en-GB"/>
              </w:rPr>
              <w:t>This Recommendation presents the technical characteristics of the existing and planned HDFSS networks. Technical characteristics are provided in the form of an EXCEL database for systems employing geostationary satellites.</w:t>
            </w:r>
          </w:p>
        </w:tc>
      </w:tr>
    </w:tbl>
    <w:p w:rsidR="005A1005" w:rsidRPr="00C37314" w:rsidRDefault="005A1005" w:rsidP="001E3236">
      <w:pPr>
        <w:pStyle w:val="Tablefin"/>
        <w:rPr>
          <w:lang w:eastAsia="ja-JP"/>
        </w:rPr>
      </w:pPr>
    </w:p>
    <w:p w:rsidR="005A1005" w:rsidRPr="00C37314" w:rsidRDefault="005A1005" w:rsidP="001E3236">
      <w:pPr>
        <w:rPr>
          <w:lang w:val="en-GB" w:eastAsia="ja-JP"/>
        </w:rPr>
      </w:pPr>
      <w:r w:rsidRPr="00C37314">
        <w:rPr>
          <w:lang w:val="en-GB" w:eastAsia="ja-JP"/>
        </w:rPr>
        <w:t>b)</w:t>
      </w:r>
      <w:r w:rsidRPr="00C37314">
        <w:rPr>
          <w:lang w:val="en-GB" w:eastAsia="ja-JP"/>
        </w:rPr>
        <w:tab/>
        <w:t>Antenna/Radio frequency characteristics</w:t>
      </w:r>
    </w:p>
    <w:p w:rsidR="001E3236" w:rsidRPr="00C37314" w:rsidRDefault="001E3236" w:rsidP="001E3236">
      <w:pPr>
        <w:rPr>
          <w:b/>
          <w:lang w:val="en-GB"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5A1005" w:rsidRPr="00C37314" w:rsidTr="00261B4A">
        <w:trPr>
          <w:cantSplit/>
          <w:jc w:val="center"/>
        </w:trPr>
        <w:tc>
          <w:tcPr>
            <w:tcW w:w="2419" w:type="dxa"/>
            <w:vAlign w:val="center"/>
          </w:tcPr>
          <w:p w:rsidR="005A1005" w:rsidRPr="00C37314" w:rsidRDefault="005A1005" w:rsidP="0021424A">
            <w:pPr>
              <w:pStyle w:val="Tablehead"/>
              <w:rPr>
                <w:lang w:val="en-GB"/>
              </w:rPr>
            </w:pPr>
            <w:r w:rsidRPr="00C37314">
              <w:rPr>
                <w:lang w:val="en-GB"/>
              </w:rPr>
              <w:t>ITU-R Recommendations for VSATs</w:t>
            </w:r>
          </w:p>
        </w:tc>
        <w:tc>
          <w:tcPr>
            <w:tcW w:w="2419" w:type="dxa"/>
            <w:vAlign w:val="center"/>
          </w:tcPr>
          <w:p w:rsidR="005A1005" w:rsidRPr="00C37314" w:rsidRDefault="005A1005" w:rsidP="0021424A">
            <w:pPr>
              <w:pStyle w:val="Tablehead"/>
              <w:rPr>
                <w:lang w:val="en-GB"/>
              </w:rPr>
            </w:pPr>
            <w:r w:rsidRPr="00C37314">
              <w:rPr>
                <w:lang w:val="en-GB"/>
              </w:rPr>
              <w:t>ITU</w:t>
            </w:r>
            <w:r w:rsidRPr="00C37314">
              <w:rPr>
                <w:lang w:val="en-GB"/>
              </w:rPr>
              <w:noBreakHyphen/>
              <w:t>R Recommendations for FSS earth stations including VSATs</w:t>
            </w:r>
          </w:p>
        </w:tc>
        <w:tc>
          <w:tcPr>
            <w:tcW w:w="4801" w:type="dxa"/>
            <w:vAlign w:val="center"/>
          </w:tcPr>
          <w:p w:rsidR="005A1005" w:rsidRPr="00C37314" w:rsidRDefault="005A1005" w:rsidP="0021424A">
            <w:pPr>
              <w:pStyle w:val="Tablehead"/>
              <w:rPr>
                <w:lang w:val="en-GB"/>
              </w:rPr>
            </w:pPr>
            <w:r w:rsidRPr="00C37314">
              <w:rPr>
                <w:lang w:val="en-GB"/>
              </w:rPr>
              <w:t>Comments</w:t>
            </w:r>
          </w:p>
        </w:tc>
      </w:tr>
      <w:tr w:rsidR="005A1005" w:rsidRPr="003A3778" w:rsidTr="00261B4A">
        <w:trPr>
          <w:cantSplit/>
          <w:tblHeader/>
          <w:jc w:val="center"/>
        </w:trPr>
        <w:tc>
          <w:tcPr>
            <w:tcW w:w="2419" w:type="dxa"/>
          </w:tcPr>
          <w:p w:rsidR="005A1005" w:rsidRPr="00C37314" w:rsidRDefault="005A1005" w:rsidP="0021424A">
            <w:pPr>
              <w:pStyle w:val="Tabletext"/>
              <w:jc w:val="center"/>
              <w:rPr>
                <w:lang w:val="en-GB"/>
              </w:rPr>
            </w:pPr>
            <w:r w:rsidRPr="00C37314">
              <w:rPr>
                <w:lang w:val="en-GB"/>
              </w:rPr>
              <w:t>S.728</w:t>
            </w:r>
          </w:p>
        </w:tc>
        <w:tc>
          <w:tcPr>
            <w:tcW w:w="2419" w:type="dxa"/>
          </w:tcPr>
          <w:p w:rsidR="005A1005" w:rsidRPr="00C37314" w:rsidRDefault="005A1005" w:rsidP="0021424A">
            <w:pPr>
              <w:pStyle w:val="Tabletext"/>
              <w:jc w:val="center"/>
              <w:rPr>
                <w:lang w:val="en-GB"/>
              </w:rPr>
            </w:pPr>
            <w:r w:rsidRPr="00C37314">
              <w:rPr>
                <w:lang w:val="en-GB"/>
              </w:rPr>
              <w:t>S.524</w:t>
            </w:r>
          </w:p>
        </w:tc>
        <w:tc>
          <w:tcPr>
            <w:tcW w:w="4801" w:type="dxa"/>
          </w:tcPr>
          <w:p w:rsidR="005A1005" w:rsidRPr="00C37314" w:rsidRDefault="005A1005" w:rsidP="0021424A">
            <w:pPr>
              <w:pStyle w:val="Tabletext"/>
              <w:jc w:val="left"/>
              <w:rPr>
                <w:lang w:val="en-GB"/>
              </w:rPr>
            </w:pPr>
            <w:r w:rsidRPr="00C37314">
              <w:rPr>
                <w:lang w:val="en-GB"/>
              </w:rPr>
              <w:t>These Recommendations provide requirements for maximum permissible level of off-axis e.i.r.p. density:</w:t>
            </w:r>
          </w:p>
          <w:p w:rsidR="005A1005" w:rsidRPr="00C37314" w:rsidRDefault="005A1005" w:rsidP="001E3236">
            <w:pPr>
              <w:pStyle w:val="Tabletext"/>
              <w:ind w:left="284" w:hanging="284"/>
              <w:jc w:val="left"/>
              <w:rPr>
                <w:lang w:val="en-GB"/>
              </w:rPr>
            </w:pPr>
            <w:r w:rsidRPr="00C37314">
              <w:rPr>
                <w:lang w:val="en-GB"/>
              </w:rPr>
              <w:t>–</w:t>
            </w:r>
            <w:r w:rsidRPr="00C37314">
              <w:rPr>
                <w:lang w:val="en-GB"/>
              </w:rPr>
              <w:tab/>
              <w:t>in any direction within 3° of the GSO in the 14</w:t>
            </w:r>
            <w:r w:rsidR="001E3236" w:rsidRPr="00C37314">
              <w:rPr>
                <w:lang w:val="en-GB"/>
              </w:rPr>
              <w:t> </w:t>
            </w:r>
            <w:r w:rsidRPr="00C37314">
              <w:rPr>
                <w:lang w:val="en-GB"/>
              </w:rPr>
              <w:t>GHz band and for the cross-polarized component (Rec. ITU-R S.728);</w:t>
            </w:r>
          </w:p>
          <w:p w:rsidR="005A1005" w:rsidRPr="00C37314" w:rsidRDefault="005A1005" w:rsidP="001E3236">
            <w:pPr>
              <w:pStyle w:val="Tabletext"/>
              <w:ind w:left="284" w:hanging="284"/>
              <w:jc w:val="left"/>
              <w:rPr>
                <w:lang w:val="en-GB"/>
              </w:rPr>
            </w:pPr>
            <w:r w:rsidRPr="00C37314">
              <w:rPr>
                <w:lang w:val="en-GB"/>
              </w:rPr>
              <w:t>–</w:t>
            </w:r>
            <w:r w:rsidRPr="00C37314">
              <w:rPr>
                <w:lang w:val="en-GB"/>
              </w:rPr>
              <w:tab/>
              <w:t>for 2.0-2.5° or more off the main lobe axis of the earth station antenna in any direction within 3° of the GSO in the 6 GHz, 14 GHz and 30</w:t>
            </w:r>
            <w:r w:rsidR="001E3236" w:rsidRPr="00C37314">
              <w:rPr>
                <w:lang w:val="en-GB"/>
              </w:rPr>
              <w:t> </w:t>
            </w:r>
            <w:r w:rsidRPr="00C37314">
              <w:rPr>
                <w:lang w:val="en-GB"/>
              </w:rPr>
              <w:t>GHz bands (Rec. ITU-R S.524).</w:t>
            </w:r>
          </w:p>
          <w:p w:rsidR="005A1005" w:rsidRPr="00C37314" w:rsidRDefault="005A1005" w:rsidP="0021424A">
            <w:pPr>
              <w:pStyle w:val="Tabletext"/>
              <w:jc w:val="left"/>
              <w:rPr>
                <w:lang w:val="en-GB"/>
              </w:rPr>
            </w:pPr>
            <w:r w:rsidRPr="00C37314">
              <w:rPr>
                <w:lang w:val="en-GB"/>
              </w:rPr>
              <w:t>For VSATs transmitting in the 14 GHz band, Recommendation ITU-R S.728, which is 6 dB more rigid than Recommendation ITU-R S.524, should be used.</w:t>
            </w:r>
          </w:p>
        </w:tc>
      </w:tr>
      <w:tr w:rsidR="005A1005" w:rsidRPr="003A3778" w:rsidTr="00261B4A">
        <w:trPr>
          <w:cantSplit/>
          <w:tblHeader/>
          <w:jc w:val="center"/>
        </w:trPr>
        <w:tc>
          <w:tcPr>
            <w:tcW w:w="2419" w:type="dxa"/>
          </w:tcPr>
          <w:p w:rsidR="005A1005" w:rsidRPr="00C37314" w:rsidRDefault="005A1005" w:rsidP="00C37314">
            <w:pPr>
              <w:pStyle w:val="Tabletext"/>
              <w:jc w:val="center"/>
              <w:rPr>
                <w:lang w:val="en-GB"/>
              </w:rPr>
            </w:pPr>
            <w:r w:rsidRPr="00C37314">
              <w:rPr>
                <w:lang w:val="en-GB"/>
              </w:rPr>
              <w:t>S.726</w:t>
            </w:r>
          </w:p>
        </w:tc>
        <w:tc>
          <w:tcPr>
            <w:tcW w:w="2419" w:type="dxa"/>
          </w:tcPr>
          <w:p w:rsidR="005A1005" w:rsidRPr="00C37314" w:rsidRDefault="005A1005" w:rsidP="00C37314">
            <w:pPr>
              <w:pStyle w:val="Tabletext"/>
              <w:jc w:val="center"/>
              <w:rPr>
                <w:lang w:val="en-GB"/>
              </w:rPr>
            </w:pPr>
          </w:p>
        </w:tc>
        <w:tc>
          <w:tcPr>
            <w:tcW w:w="4801" w:type="dxa"/>
          </w:tcPr>
          <w:p w:rsidR="005A1005" w:rsidRPr="00C37314" w:rsidRDefault="005A1005" w:rsidP="00C37314">
            <w:pPr>
              <w:pStyle w:val="Tabletext"/>
              <w:jc w:val="left"/>
              <w:rPr>
                <w:lang w:val="en-GB"/>
              </w:rPr>
            </w:pPr>
            <w:r w:rsidRPr="00C37314">
              <w:rPr>
                <w:lang w:val="en-GB"/>
              </w:rPr>
              <w:t>This Recommendation provides maximum permissible level of spurious emissions outside the band allocated to the FSS (Earth-to-space) within which the VSAT operating frequency is assigned, such that the off-axis spurious e.i.r.p. from VSATs shall be below the provided limits for off axis angles greater than 7°, and inside the band allocated to the FSS (Earth-to-space) within which the VSAT operating frequency is assigned.</w:t>
            </w:r>
          </w:p>
        </w:tc>
      </w:tr>
    </w:tbl>
    <w:p w:rsidR="00C37314" w:rsidRPr="00C37314" w:rsidRDefault="00C37314" w:rsidP="00C37314">
      <w:pPr>
        <w:pStyle w:val="Tablefin"/>
      </w:pPr>
    </w:p>
    <w:p w:rsidR="00C37314" w:rsidRPr="00C37314" w:rsidRDefault="00C37314" w:rsidP="00C37314">
      <w:pPr>
        <w:pStyle w:val="TableNo"/>
        <w:keepLines/>
        <w:rPr>
          <w:lang w:val="en-GB"/>
        </w:rPr>
      </w:pPr>
      <w:r w:rsidRPr="00C37314">
        <w:rPr>
          <w:lang w:val="en-GB"/>
        </w:rPr>
        <w:lastRenderedPageBreak/>
        <w:t>TABLE 1 (</w:t>
      </w:r>
      <w:r w:rsidRPr="00C37314">
        <w:rPr>
          <w:i/>
          <w:iCs/>
          <w:lang w:val="en-GB"/>
        </w:rPr>
        <w:t>continued</w:t>
      </w:r>
      <w:r w:rsidRPr="00C3731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C37314" w:rsidRPr="00C37314" w:rsidTr="0082656D">
        <w:trPr>
          <w:cantSplit/>
          <w:tblHeader/>
          <w:jc w:val="center"/>
        </w:trPr>
        <w:tc>
          <w:tcPr>
            <w:tcW w:w="2419" w:type="dxa"/>
            <w:tcBorders>
              <w:top w:val="single" w:sz="4" w:space="0" w:color="auto"/>
              <w:left w:val="single" w:sz="4" w:space="0" w:color="auto"/>
              <w:bottom w:val="single" w:sz="4" w:space="0" w:color="auto"/>
              <w:right w:val="single" w:sz="4" w:space="0" w:color="auto"/>
            </w:tcBorders>
          </w:tcPr>
          <w:p w:rsidR="00C37314" w:rsidRPr="00C37314" w:rsidRDefault="00C37314" w:rsidP="00C37314">
            <w:pPr>
              <w:pStyle w:val="Tablehead"/>
              <w:keepLines/>
              <w:rPr>
                <w:lang w:val="en-GB"/>
              </w:rPr>
            </w:pPr>
            <w:r w:rsidRPr="00C37314">
              <w:rPr>
                <w:lang w:val="en-GB"/>
              </w:rPr>
              <w:t>ITU-R Recommendations for VSATs</w:t>
            </w:r>
          </w:p>
        </w:tc>
        <w:tc>
          <w:tcPr>
            <w:tcW w:w="2419" w:type="dxa"/>
            <w:tcBorders>
              <w:top w:val="single" w:sz="4" w:space="0" w:color="auto"/>
              <w:left w:val="single" w:sz="4" w:space="0" w:color="auto"/>
              <w:bottom w:val="single" w:sz="4" w:space="0" w:color="auto"/>
              <w:right w:val="single" w:sz="4" w:space="0" w:color="auto"/>
            </w:tcBorders>
          </w:tcPr>
          <w:p w:rsidR="00C37314" w:rsidRPr="00C37314" w:rsidRDefault="00C37314" w:rsidP="00C37314">
            <w:pPr>
              <w:pStyle w:val="Tablehead"/>
              <w:keepLines/>
              <w:rPr>
                <w:lang w:val="en-GB"/>
              </w:rPr>
            </w:pPr>
            <w:r w:rsidRPr="00C37314">
              <w:rPr>
                <w:lang w:val="en-GB"/>
              </w:rPr>
              <w:t>ITU</w:t>
            </w:r>
            <w:r w:rsidRPr="00C37314">
              <w:rPr>
                <w:lang w:val="en-GB"/>
              </w:rPr>
              <w:noBreakHyphen/>
              <w:t>R Recommendations for FSS earth stations including VSATs</w:t>
            </w:r>
          </w:p>
        </w:tc>
        <w:tc>
          <w:tcPr>
            <w:tcW w:w="4801" w:type="dxa"/>
            <w:tcBorders>
              <w:top w:val="single" w:sz="4" w:space="0" w:color="auto"/>
              <w:left w:val="single" w:sz="4" w:space="0" w:color="auto"/>
              <w:bottom w:val="single" w:sz="4" w:space="0" w:color="auto"/>
              <w:right w:val="single" w:sz="4" w:space="0" w:color="auto"/>
            </w:tcBorders>
          </w:tcPr>
          <w:p w:rsidR="00C37314" w:rsidRPr="00C37314" w:rsidRDefault="00C37314" w:rsidP="00C37314">
            <w:pPr>
              <w:pStyle w:val="Tablehead"/>
              <w:keepLines/>
              <w:rPr>
                <w:lang w:val="en-GB"/>
              </w:rPr>
            </w:pPr>
            <w:r w:rsidRPr="00C37314">
              <w:rPr>
                <w:lang w:val="en-GB"/>
              </w:rPr>
              <w:t>Comments</w:t>
            </w:r>
          </w:p>
        </w:tc>
      </w:tr>
      <w:tr w:rsidR="005A1005" w:rsidRPr="003A3778" w:rsidTr="00261B4A">
        <w:trPr>
          <w:cantSplit/>
          <w:tblHeade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SМ.329</w:t>
            </w:r>
          </w:p>
          <w:p w:rsidR="005A1005" w:rsidRPr="00C37314" w:rsidRDefault="005A1005" w:rsidP="0021424A">
            <w:pPr>
              <w:pStyle w:val="Tabletext"/>
              <w:jc w:val="center"/>
              <w:rPr>
                <w:lang w:val="en-GB"/>
              </w:rPr>
            </w:pPr>
            <w:r w:rsidRPr="00C37314">
              <w:rPr>
                <w:lang w:val="en-GB"/>
              </w:rPr>
              <w:t>SМ.1540</w:t>
            </w:r>
          </w:p>
          <w:p w:rsidR="005A1005" w:rsidRPr="00C37314" w:rsidRDefault="005A1005" w:rsidP="0021424A">
            <w:pPr>
              <w:pStyle w:val="Tabletext"/>
              <w:jc w:val="center"/>
              <w:rPr>
                <w:lang w:val="en-GB"/>
              </w:rPr>
            </w:pPr>
            <w:r w:rsidRPr="00C37314">
              <w:rPr>
                <w:lang w:val="en-GB"/>
              </w:rPr>
              <w:t>SМ.328</w:t>
            </w:r>
          </w:p>
        </w:tc>
        <w:tc>
          <w:tcPr>
            <w:tcW w:w="4801" w:type="dxa"/>
          </w:tcPr>
          <w:p w:rsidR="005A1005" w:rsidRPr="00C37314" w:rsidRDefault="005A1005" w:rsidP="0021424A">
            <w:pPr>
              <w:pStyle w:val="Tabletext"/>
              <w:jc w:val="left"/>
              <w:rPr>
                <w:lang w:val="en-GB"/>
              </w:rPr>
            </w:pPr>
            <w:r w:rsidRPr="00C37314">
              <w:rPr>
                <w:lang w:val="en-GB"/>
              </w:rPr>
              <w:t>These Recommendations provide requirements for unwanted emissions in the spurious domain and in the out-of-band domain.</w:t>
            </w:r>
          </w:p>
          <w:p w:rsidR="005A1005" w:rsidRPr="00C37314" w:rsidRDefault="005A1005" w:rsidP="00BE5B9C">
            <w:pPr>
              <w:pStyle w:val="Tabletext"/>
              <w:jc w:val="left"/>
              <w:rPr>
                <w:lang w:val="en-GB"/>
              </w:rPr>
            </w:pPr>
            <w:r w:rsidRPr="00C37314">
              <w:rPr>
                <w:lang w:val="en-GB"/>
              </w:rPr>
              <w:t>NOTE – While applying Recommendations ITU-R SM.329 and ITU-R SM.1540, Recommendation</w:t>
            </w:r>
            <w:r w:rsidR="00BE5B9C">
              <w:rPr>
                <w:lang w:val="en-GB"/>
              </w:rPr>
              <w:t> </w:t>
            </w:r>
            <w:r w:rsidRPr="00C37314">
              <w:rPr>
                <w:lang w:val="en-GB"/>
              </w:rPr>
              <w:t>ITU-R SM.328, which gives definitions, analytical models and other considerations of the values of emission components for various emission types as well as the usage of these values from the standpoint of spectrum efficiency, should be taken into account.</w:t>
            </w:r>
          </w:p>
        </w:tc>
      </w:tr>
      <w:tr w:rsidR="005A1005" w:rsidRPr="003A3778" w:rsidTr="00261B4A">
        <w:trPr>
          <w:cantSplit/>
          <w:tblHeader/>
          <w:jc w:val="center"/>
        </w:trPr>
        <w:tc>
          <w:tcPr>
            <w:tcW w:w="2419" w:type="dxa"/>
          </w:tcPr>
          <w:p w:rsidR="005A1005" w:rsidRPr="00C37314" w:rsidRDefault="005A1005" w:rsidP="0021424A">
            <w:pPr>
              <w:pStyle w:val="Tabletext"/>
              <w:jc w:val="center"/>
              <w:rPr>
                <w:lang w:val="en-GB"/>
              </w:rPr>
            </w:pPr>
            <w:r w:rsidRPr="00C37314">
              <w:rPr>
                <w:lang w:val="en-GB"/>
              </w:rPr>
              <w:t>S.1844</w:t>
            </w:r>
          </w:p>
        </w:tc>
        <w:tc>
          <w:tcPr>
            <w:tcW w:w="2419" w:type="dxa"/>
          </w:tcPr>
          <w:p w:rsidR="005A1005" w:rsidRPr="00C37314" w:rsidRDefault="005A1005" w:rsidP="0021424A">
            <w:pPr>
              <w:pStyle w:val="Tabletext"/>
              <w:jc w:val="center"/>
              <w:rPr>
                <w:lang w:val="en-GB"/>
              </w:rPr>
            </w:pPr>
            <w:r w:rsidRPr="00C37314">
              <w:rPr>
                <w:lang w:val="en-GB"/>
              </w:rPr>
              <w:t>S.731</w:t>
            </w:r>
          </w:p>
        </w:tc>
        <w:tc>
          <w:tcPr>
            <w:tcW w:w="4801" w:type="dxa"/>
          </w:tcPr>
          <w:p w:rsidR="005A1005" w:rsidRPr="00C37314" w:rsidRDefault="005A1005" w:rsidP="0021424A">
            <w:pPr>
              <w:pStyle w:val="Tabletext"/>
              <w:jc w:val="left"/>
              <w:rPr>
                <w:lang w:val="en-GB"/>
              </w:rPr>
            </w:pPr>
            <w:r w:rsidRPr="00C37314">
              <w:rPr>
                <w:lang w:val="en-GB"/>
              </w:rPr>
              <w:t>These Recommendations address requirements for a reference cross</w:t>
            </w:r>
            <w:r w:rsidRPr="00C37314">
              <w:rPr>
                <w:lang w:val="en-GB"/>
              </w:rPr>
              <w:noBreakHyphen/>
              <w:t>polarized radiation pattern for the earth-station antenna. It may be useful for coordination studies and for the assessment of mutual interference between radiocommunication satellite systems and between earth stations of such systems and stations of other services sharing the same frequency band.</w:t>
            </w:r>
          </w:p>
          <w:p w:rsidR="005A1005" w:rsidRPr="00C37314" w:rsidRDefault="005A1005" w:rsidP="0021424A">
            <w:pPr>
              <w:pStyle w:val="Tabletext"/>
              <w:jc w:val="left"/>
              <w:rPr>
                <w:lang w:val="en-GB"/>
              </w:rPr>
            </w:pPr>
            <w:r w:rsidRPr="00C37314">
              <w:rPr>
                <w:lang w:val="en-GB"/>
              </w:rPr>
              <w:t>For VSATs, Recommendation ITU-R S.1844 should be used.</w:t>
            </w:r>
          </w:p>
        </w:tc>
      </w:tr>
      <w:tr w:rsidR="005A1005" w:rsidRPr="003A3778" w:rsidTr="00261B4A">
        <w:trPr>
          <w:cantSplit/>
          <w:trHeight w:val="1245"/>
          <w:tblHeade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S.1855</w:t>
            </w:r>
          </w:p>
          <w:p w:rsidR="005A1005" w:rsidRPr="00C37314" w:rsidRDefault="005A1005" w:rsidP="0021424A">
            <w:pPr>
              <w:pStyle w:val="Tabletext"/>
              <w:jc w:val="center"/>
              <w:rPr>
                <w:lang w:val="en-GB"/>
              </w:rPr>
            </w:pPr>
            <w:r w:rsidRPr="00C37314">
              <w:rPr>
                <w:lang w:val="en-GB"/>
              </w:rPr>
              <w:t>S.465</w:t>
            </w:r>
          </w:p>
          <w:p w:rsidR="005A1005" w:rsidRPr="00C37314" w:rsidRDefault="005A1005" w:rsidP="0021424A">
            <w:pPr>
              <w:pStyle w:val="Tabletext"/>
              <w:jc w:val="center"/>
              <w:rPr>
                <w:lang w:val="en-GB"/>
              </w:rPr>
            </w:pPr>
          </w:p>
          <w:p w:rsidR="005A1005" w:rsidRPr="00C37314" w:rsidRDefault="005A1005" w:rsidP="00890BC8">
            <w:pPr>
              <w:pStyle w:val="Tabletext"/>
              <w:jc w:val="center"/>
              <w:rPr>
                <w:lang w:val="en-GB"/>
              </w:rPr>
            </w:pPr>
            <w:r w:rsidRPr="00C37314">
              <w:rPr>
                <w:lang w:val="en-GB"/>
              </w:rPr>
              <w:t>(Note)</w:t>
            </w:r>
          </w:p>
        </w:tc>
        <w:tc>
          <w:tcPr>
            <w:tcW w:w="4801" w:type="dxa"/>
          </w:tcPr>
          <w:p w:rsidR="005A1005" w:rsidRPr="00C37314" w:rsidRDefault="005A1005" w:rsidP="00BE5B9C">
            <w:pPr>
              <w:pStyle w:val="Tabletext"/>
              <w:jc w:val="left"/>
              <w:rPr>
                <w:lang w:val="en-GB"/>
              </w:rPr>
            </w:pPr>
            <w:r w:rsidRPr="00C37314">
              <w:rPr>
                <w:lang w:val="en-GB"/>
              </w:rPr>
              <w:t>These Recommendations provide reference radiation patterns for earth station antennas in the frequency range from 2 to 31 GHz which may be utilized for coordination and/or interference assessment between systems in the FSS. Recommendation ITU-R S.465 may be used for circular antennas while Recommendation</w:t>
            </w:r>
            <w:r w:rsidR="00BE5B9C">
              <w:rPr>
                <w:lang w:val="en-GB"/>
              </w:rPr>
              <w:t> </w:t>
            </w:r>
            <w:r w:rsidRPr="00C37314">
              <w:rPr>
                <w:lang w:val="en-GB"/>
              </w:rPr>
              <w:t>ITU</w:t>
            </w:r>
            <w:r w:rsidR="00495B43">
              <w:rPr>
                <w:lang w:val="en-GB"/>
              </w:rPr>
              <w:noBreakHyphen/>
            </w:r>
            <w:r w:rsidRPr="00C37314">
              <w:rPr>
                <w:lang w:val="en-GB"/>
              </w:rPr>
              <w:t>R</w:t>
            </w:r>
            <w:r w:rsidR="00495B43">
              <w:rPr>
                <w:lang w:val="en-GB"/>
              </w:rPr>
              <w:t> </w:t>
            </w:r>
            <w:r w:rsidRPr="00C37314">
              <w:rPr>
                <w:lang w:val="en-GB"/>
              </w:rPr>
              <w:t>S.1855 may be used both for circular and non-circular antennas.</w:t>
            </w:r>
          </w:p>
        </w:tc>
      </w:tr>
      <w:tr w:rsidR="005A1005" w:rsidRPr="003A3778" w:rsidTr="00261B4A">
        <w:trPr>
          <w:cantSplit/>
          <w:trHeight w:val="822"/>
          <w:tblHeade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S.580</w:t>
            </w:r>
          </w:p>
        </w:tc>
        <w:tc>
          <w:tcPr>
            <w:tcW w:w="4801" w:type="dxa"/>
          </w:tcPr>
          <w:p w:rsidR="005A1005" w:rsidRPr="00C37314" w:rsidRDefault="005A1005" w:rsidP="00495B43">
            <w:pPr>
              <w:pStyle w:val="Tabletext"/>
              <w:jc w:val="left"/>
              <w:rPr>
                <w:lang w:val="en-GB"/>
              </w:rPr>
            </w:pPr>
            <w:r w:rsidRPr="00C37314">
              <w:rPr>
                <w:lang w:val="en-GB"/>
              </w:rPr>
              <w:t>This Recommendation provides the design objectives of new symmetric aperture antennas such that the gain (</w:t>
            </w:r>
            <w:r w:rsidRPr="00CE66FD">
              <w:rPr>
                <w:i/>
                <w:iCs/>
                <w:lang w:val="en-GB"/>
              </w:rPr>
              <w:t>G</w:t>
            </w:r>
            <w:r w:rsidRPr="00C37314">
              <w:rPr>
                <w:lang w:val="en-GB"/>
              </w:rPr>
              <w:t>) of at least 90% of the side</w:t>
            </w:r>
            <w:r w:rsidR="00495B43">
              <w:rPr>
                <w:lang w:val="en-GB"/>
              </w:rPr>
              <w:noBreakHyphen/>
            </w:r>
            <w:r w:rsidRPr="00C37314">
              <w:rPr>
                <w:lang w:val="en-GB"/>
              </w:rPr>
              <w:t xml:space="preserve">lobe peaks does not exceed the provided limits. </w:t>
            </w:r>
          </w:p>
        </w:tc>
      </w:tr>
    </w:tbl>
    <w:p w:rsidR="00BA5730" w:rsidRPr="00C37314" w:rsidRDefault="00BA5730">
      <w:pPr>
        <w:rPr>
          <w:lang w:val="en-GB"/>
        </w:rPr>
      </w:pPr>
    </w:p>
    <w:p w:rsidR="00BA5730" w:rsidRPr="00C37314" w:rsidRDefault="00BA5730" w:rsidP="00BA5730">
      <w:pPr>
        <w:pStyle w:val="TableNo"/>
        <w:rPr>
          <w:lang w:val="en-GB"/>
        </w:rPr>
      </w:pPr>
      <w:r w:rsidRPr="00C37314">
        <w:rPr>
          <w:lang w:val="en-GB"/>
        </w:rPr>
        <w:lastRenderedPageBreak/>
        <w:t>TABLE 1 (</w:t>
      </w:r>
      <w:r w:rsidRPr="00C37314">
        <w:rPr>
          <w:i/>
          <w:iCs/>
          <w:lang w:val="en-GB"/>
        </w:rPr>
        <w:t>continued</w:t>
      </w:r>
      <w:r w:rsidRPr="00C3731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BA5730" w:rsidRPr="00C37314" w:rsidTr="0082656D">
        <w:trPr>
          <w:cantSplit/>
          <w:tblHeader/>
          <w:jc w:val="center"/>
        </w:trPr>
        <w:tc>
          <w:tcPr>
            <w:tcW w:w="2419" w:type="dxa"/>
            <w:tcBorders>
              <w:top w:val="single" w:sz="4" w:space="0" w:color="auto"/>
              <w:left w:val="single" w:sz="4" w:space="0" w:color="auto"/>
              <w:bottom w:val="single" w:sz="4" w:space="0" w:color="auto"/>
              <w:right w:val="single" w:sz="4" w:space="0" w:color="auto"/>
            </w:tcBorders>
          </w:tcPr>
          <w:p w:rsidR="00BA5730" w:rsidRPr="00C37314" w:rsidRDefault="00BA5730" w:rsidP="0082656D">
            <w:pPr>
              <w:pStyle w:val="Tablehead"/>
              <w:rPr>
                <w:lang w:val="en-GB"/>
              </w:rPr>
            </w:pPr>
            <w:r w:rsidRPr="00C37314">
              <w:rPr>
                <w:lang w:val="en-GB"/>
              </w:rPr>
              <w:t>ITU-R Recommendations for VSATs</w:t>
            </w:r>
          </w:p>
        </w:tc>
        <w:tc>
          <w:tcPr>
            <w:tcW w:w="2419" w:type="dxa"/>
            <w:tcBorders>
              <w:top w:val="single" w:sz="4" w:space="0" w:color="auto"/>
              <w:left w:val="single" w:sz="4" w:space="0" w:color="auto"/>
              <w:bottom w:val="single" w:sz="4" w:space="0" w:color="auto"/>
              <w:right w:val="single" w:sz="4" w:space="0" w:color="auto"/>
            </w:tcBorders>
          </w:tcPr>
          <w:p w:rsidR="00BA5730" w:rsidRPr="00C37314" w:rsidRDefault="00BA5730" w:rsidP="0082656D">
            <w:pPr>
              <w:pStyle w:val="Tablehead"/>
              <w:rPr>
                <w:lang w:val="en-GB"/>
              </w:rPr>
            </w:pPr>
            <w:r w:rsidRPr="00C37314">
              <w:rPr>
                <w:lang w:val="en-GB"/>
              </w:rPr>
              <w:t>ITU</w:t>
            </w:r>
            <w:r w:rsidRPr="00C37314">
              <w:rPr>
                <w:lang w:val="en-GB"/>
              </w:rPr>
              <w:noBreakHyphen/>
              <w:t>R Recommendations for FSS earth stations including VSATs</w:t>
            </w:r>
          </w:p>
        </w:tc>
        <w:tc>
          <w:tcPr>
            <w:tcW w:w="4801" w:type="dxa"/>
            <w:tcBorders>
              <w:top w:val="single" w:sz="4" w:space="0" w:color="auto"/>
              <w:left w:val="single" w:sz="4" w:space="0" w:color="auto"/>
              <w:bottom w:val="single" w:sz="4" w:space="0" w:color="auto"/>
              <w:right w:val="single" w:sz="4" w:space="0" w:color="auto"/>
            </w:tcBorders>
          </w:tcPr>
          <w:p w:rsidR="00BA5730" w:rsidRPr="00C37314" w:rsidRDefault="00BA5730" w:rsidP="0082656D">
            <w:pPr>
              <w:pStyle w:val="Tablehead"/>
              <w:rPr>
                <w:lang w:val="en-GB"/>
              </w:rPr>
            </w:pPr>
            <w:r w:rsidRPr="00C37314">
              <w:rPr>
                <w:lang w:val="en-GB"/>
              </w:rPr>
              <w:t>Comments</w:t>
            </w:r>
          </w:p>
        </w:tc>
      </w:tr>
      <w:tr w:rsidR="005A1005" w:rsidRPr="003A3778" w:rsidTr="00261B4A">
        <w:trPr>
          <w:cantSplit/>
          <w:trHeight w:val="795"/>
          <w:tblHeade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eastAsia="ja-JP"/>
              </w:rPr>
              <w:t>S.732</w:t>
            </w:r>
          </w:p>
        </w:tc>
        <w:tc>
          <w:tcPr>
            <w:tcW w:w="4801" w:type="dxa"/>
          </w:tcPr>
          <w:p w:rsidR="005A1005" w:rsidRPr="00C37314" w:rsidRDefault="005A1005" w:rsidP="0021424A">
            <w:pPr>
              <w:pStyle w:val="Tabletext"/>
              <w:jc w:val="left"/>
              <w:rPr>
                <w:lang w:val="en-GB"/>
              </w:rPr>
            </w:pPr>
            <w:r w:rsidRPr="00C37314">
              <w:rPr>
                <w:szCs w:val="22"/>
                <w:lang w:val="en-GB" w:eastAsia="ja-JP"/>
              </w:rPr>
              <w:t>This Recommendation provides the method for statistical processing of earth station antenna side-lobe peaks to determine excess over antenna reference patterns and conditions for acceptability of any excess.</w:t>
            </w:r>
          </w:p>
        </w:tc>
      </w:tr>
      <w:tr w:rsidR="005A1005" w:rsidRPr="003A3778" w:rsidTr="00261B4A">
        <w:trPr>
          <w:cantSplit/>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S.1428</w:t>
            </w:r>
          </w:p>
        </w:tc>
        <w:tc>
          <w:tcPr>
            <w:tcW w:w="4801" w:type="dxa"/>
          </w:tcPr>
          <w:p w:rsidR="005A1005" w:rsidRPr="00C37314" w:rsidRDefault="005A1005" w:rsidP="0021424A">
            <w:pPr>
              <w:pStyle w:val="Tabletext"/>
              <w:jc w:val="left"/>
              <w:rPr>
                <w:lang w:val="en-GB"/>
              </w:rPr>
            </w:pPr>
            <w:r w:rsidRPr="00C37314">
              <w:rPr>
                <w:lang w:val="en-GB"/>
              </w:rPr>
              <w:t>This Recommendation provides reference FSS earth station radiation patterns for use in interference assessment involving non-GSO satellites in frequency bands between 10.7 GHz and 30 GHz. The reference antenna pattern covers all off-axis angles from 0° to ±180° in all planes which include the principal axis.</w:t>
            </w:r>
          </w:p>
        </w:tc>
      </w:tr>
      <w:tr w:rsidR="005A1005" w:rsidRPr="003A3778" w:rsidTr="00CE66FD">
        <w:trPr>
          <w:cantSplit/>
          <w:jc w:val="center"/>
        </w:trPr>
        <w:tc>
          <w:tcPr>
            <w:tcW w:w="2419" w:type="dxa"/>
            <w:tcBorders>
              <w:bottom w:val="single" w:sz="4" w:space="0" w:color="auto"/>
            </w:tcBorders>
          </w:tcPr>
          <w:p w:rsidR="005A1005" w:rsidRPr="00C37314" w:rsidRDefault="005A1005" w:rsidP="0021424A">
            <w:pPr>
              <w:pStyle w:val="Tabletext"/>
              <w:jc w:val="center"/>
              <w:rPr>
                <w:lang w:val="en-GB"/>
              </w:rPr>
            </w:pPr>
          </w:p>
        </w:tc>
        <w:tc>
          <w:tcPr>
            <w:tcW w:w="2419" w:type="dxa"/>
            <w:tcBorders>
              <w:bottom w:val="single" w:sz="4" w:space="0" w:color="auto"/>
            </w:tcBorders>
          </w:tcPr>
          <w:p w:rsidR="005A1005" w:rsidRPr="00C37314" w:rsidRDefault="005A1005" w:rsidP="0021424A">
            <w:pPr>
              <w:pStyle w:val="Tabletext"/>
              <w:jc w:val="center"/>
              <w:rPr>
                <w:lang w:val="en-GB"/>
              </w:rPr>
            </w:pPr>
            <w:r w:rsidRPr="00C37314">
              <w:rPr>
                <w:lang w:val="en-GB"/>
              </w:rPr>
              <w:t>S.1594</w:t>
            </w:r>
          </w:p>
        </w:tc>
        <w:tc>
          <w:tcPr>
            <w:tcW w:w="4801" w:type="dxa"/>
            <w:tcBorders>
              <w:bottom w:val="single" w:sz="4" w:space="0" w:color="auto"/>
            </w:tcBorders>
          </w:tcPr>
          <w:p w:rsidR="005A1005" w:rsidRPr="00C37314" w:rsidRDefault="005A1005" w:rsidP="0021424A">
            <w:pPr>
              <w:pStyle w:val="Tabletext"/>
              <w:jc w:val="left"/>
              <w:rPr>
                <w:lang w:val="en-GB"/>
              </w:rPr>
            </w:pPr>
            <w:r w:rsidRPr="00C37314">
              <w:rPr>
                <w:lang w:val="en-GB"/>
              </w:rPr>
              <w:t>Maximum emission levels and associated requirements of high density FSS (HDFSS) earth stations have been provided for earth stations transmitting towards geostationary FSS space stations in the 30 GHz range. This Recommendation should be used for carrying out sharing studies between HDFSS earth stations and other services.</w:t>
            </w:r>
          </w:p>
        </w:tc>
      </w:tr>
      <w:tr w:rsidR="00CE66FD" w:rsidRPr="003A3778" w:rsidTr="00CE66FD">
        <w:trPr>
          <w:cantSplit/>
          <w:jc w:val="center"/>
        </w:trPr>
        <w:tc>
          <w:tcPr>
            <w:tcW w:w="9639" w:type="dxa"/>
            <w:gridSpan w:val="3"/>
            <w:tcBorders>
              <w:left w:val="nil"/>
              <w:bottom w:val="nil"/>
              <w:right w:val="nil"/>
            </w:tcBorders>
          </w:tcPr>
          <w:p w:rsidR="00CE66FD" w:rsidRPr="009A3D89" w:rsidRDefault="00CE66FD" w:rsidP="00890BC8">
            <w:pPr>
              <w:pStyle w:val="Tabletext"/>
              <w:rPr>
                <w:lang w:val="en-GB"/>
              </w:rPr>
            </w:pPr>
            <w:r w:rsidRPr="00C37314">
              <w:rPr>
                <w:lang w:val="en-GB" w:eastAsia="ja-JP"/>
              </w:rPr>
              <w:t>NOTE – Recommendation ITU-R S.1855 should be used as a reference antenna radiation pattern since it would result in improved sharing conditions by minimizing the interferences to adjacent GSO FSS networks.</w:t>
            </w:r>
          </w:p>
          <w:p w:rsidR="00CE66FD" w:rsidRPr="00C37314" w:rsidRDefault="00CE66FD" w:rsidP="0021424A">
            <w:pPr>
              <w:pStyle w:val="Tabletext"/>
              <w:jc w:val="left"/>
              <w:rPr>
                <w:lang w:val="en-GB"/>
              </w:rPr>
            </w:pPr>
          </w:p>
        </w:tc>
      </w:tr>
    </w:tbl>
    <w:p w:rsidR="00BA5730" w:rsidRDefault="00BA5730" w:rsidP="00BA5730">
      <w:pPr>
        <w:pStyle w:val="Tablefin"/>
      </w:pPr>
    </w:p>
    <w:p w:rsidR="005A1005" w:rsidRPr="00C37314" w:rsidRDefault="005A1005" w:rsidP="00BA5730">
      <w:pPr>
        <w:rPr>
          <w:lang w:val="en-GB"/>
        </w:rPr>
      </w:pPr>
      <w:r w:rsidRPr="00C37314">
        <w:rPr>
          <w:lang w:val="en-GB"/>
        </w:rPr>
        <w:t>c)</w:t>
      </w:r>
      <w:r w:rsidRPr="00C37314">
        <w:rPr>
          <w:lang w:val="en-GB"/>
        </w:rPr>
        <w:tab/>
        <w:t>Protocol</w:t>
      </w:r>
    </w:p>
    <w:p w:rsidR="00BA5730" w:rsidRPr="00C37314" w:rsidRDefault="00BA5730" w:rsidP="00BA5730">
      <w:pPr>
        <w:rPr>
          <w:b/>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5A1005" w:rsidRPr="00C37314" w:rsidTr="00BA5730">
        <w:trPr>
          <w:jc w:val="center"/>
        </w:trPr>
        <w:tc>
          <w:tcPr>
            <w:tcW w:w="2419" w:type="dxa"/>
            <w:vAlign w:val="center"/>
          </w:tcPr>
          <w:p w:rsidR="005A1005" w:rsidRPr="00C37314" w:rsidRDefault="005A1005" w:rsidP="0021424A">
            <w:pPr>
              <w:pStyle w:val="Tablehead"/>
              <w:rPr>
                <w:lang w:val="en-GB"/>
              </w:rPr>
            </w:pPr>
            <w:r w:rsidRPr="00C37314">
              <w:rPr>
                <w:lang w:val="en-GB"/>
              </w:rPr>
              <w:t xml:space="preserve">ITU-R </w:t>
            </w:r>
            <w:r w:rsidRPr="00C37314">
              <w:rPr>
                <w:szCs w:val="22"/>
                <w:lang w:val="en-GB"/>
              </w:rPr>
              <w:t>Recommendations for</w:t>
            </w:r>
            <w:r w:rsidRPr="00C37314">
              <w:rPr>
                <w:lang w:val="en-GB" w:eastAsia="ja-JP"/>
              </w:rPr>
              <w:t xml:space="preserve"> VSATs</w:t>
            </w:r>
            <w:r w:rsidRPr="00C37314">
              <w:rPr>
                <w:lang w:val="en-GB" w:eastAsia="ja-JP"/>
              </w:rPr>
              <w:br/>
              <w:t>and ITU-T Recommendations</w:t>
            </w:r>
          </w:p>
        </w:tc>
        <w:tc>
          <w:tcPr>
            <w:tcW w:w="2419" w:type="dxa"/>
            <w:vAlign w:val="center"/>
          </w:tcPr>
          <w:p w:rsidR="005A1005" w:rsidRPr="00C37314" w:rsidRDefault="005A1005" w:rsidP="0021424A">
            <w:pPr>
              <w:pStyle w:val="Tablehead"/>
              <w:rPr>
                <w:lang w:val="en-GB"/>
              </w:rPr>
            </w:pPr>
            <w:r w:rsidRPr="00C37314">
              <w:rPr>
                <w:lang w:val="en-GB"/>
              </w:rPr>
              <w:t>ITU</w:t>
            </w:r>
            <w:r w:rsidRPr="00C37314">
              <w:rPr>
                <w:lang w:val="en-GB"/>
              </w:rPr>
              <w:noBreakHyphen/>
              <w:t>R Recommendations for FSS earth stations including VSATs</w:t>
            </w:r>
          </w:p>
        </w:tc>
        <w:tc>
          <w:tcPr>
            <w:tcW w:w="4801" w:type="dxa"/>
            <w:vAlign w:val="center"/>
          </w:tcPr>
          <w:p w:rsidR="005A1005" w:rsidRPr="00C37314" w:rsidRDefault="005A1005" w:rsidP="0082656D">
            <w:pPr>
              <w:pStyle w:val="Tablehead"/>
              <w:rPr>
                <w:lang w:val="en-GB"/>
              </w:rPr>
            </w:pPr>
            <w:r w:rsidRPr="00C37314">
              <w:rPr>
                <w:lang w:val="en-GB"/>
              </w:rPr>
              <w:t>Comments</w:t>
            </w:r>
          </w:p>
        </w:tc>
      </w:tr>
      <w:tr w:rsidR="005A1005" w:rsidRPr="003A3778" w:rsidTr="00BA5730">
        <w:trP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S.1711</w:t>
            </w:r>
          </w:p>
        </w:tc>
        <w:tc>
          <w:tcPr>
            <w:tcW w:w="4801" w:type="dxa"/>
          </w:tcPr>
          <w:p w:rsidR="005A1005" w:rsidRPr="00C37314" w:rsidRDefault="005A1005" w:rsidP="0021424A">
            <w:pPr>
              <w:pStyle w:val="Tabletext"/>
              <w:jc w:val="left"/>
              <w:rPr>
                <w:lang w:val="en-GB"/>
              </w:rPr>
            </w:pPr>
            <w:r w:rsidRPr="00C37314">
              <w:rPr>
                <w:lang w:val="en-GB"/>
              </w:rPr>
              <w:t xml:space="preserve">Various techniques collectively referred to as “TCP performance enhancements” were developed in order to overcome some shortcomings of the transmission control protocol (TCP) when used in satellite networks. </w:t>
            </w:r>
          </w:p>
        </w:tc>
      </w:tr>
      <w:tr w:rsidR="005A1005" w:rsidRPr="003A3778" w:rsidTr="00BA5730">
        <w:trPr>
          <w:jc w:val="center"/>
        </w:trPr>
        <w:tc>
          <w:tcPr>
            <w:tcW w:w="2419" w:type="dxa"/>
          </w:tcPr>
          <w:p w:rsidR="005A1005" w:rsidRPr="00C37314" w:rsidRDefault="005A1005" w:rsidP="0021424A">
            <w:pPr>
              <w:pStyle w:val="Tabletext"/>
              <w:jc w:val="center"/>
              <w:rPr>
                <w:lang w:val="en-GB"/>
              </w:rPr>
            </w:pPr>
          </w:p>
        </w:tc>
        <w:tc>
          <w:tcPr>
            <w:tcW w:w="2419" w:type="dxa"/>
          </w:tcPr>
          <w:p w:rsidR="005A1005" w:rsidRPr="00C37314" w:rsidRDefault="005A1005" w:rsidP="0021424A">
            <w:pPr>
              <w:pStyle w:val="Tabletext"/>
              <w:jc w:val="center"/>
              <w:rPr>
                <w:lang w:val="en-GB"/>
              </w:rPr>
            </w:pPr>
            <w:r w:rsidRPr="00C37314">
              <w:rPr>
                <w:lang w:val="en-GB"/>
              </w:rPr>
              <w:t>S.1061</w:t>
            </w:r>
          </w:p>
        </w:tc>
        <w:tc>
          <w:tcPr>
            <w:tcW w:w="4801" w:type="dxa"/>
          </w:tcPr>
          <w:p w:rsidR="005A1005" w:rsidRPr="00C37314" w:rsidRDefault="005A1005" w:rsidP="00261B4A">
            <w:pPr>
              <w:pStyle w:val="Tabletext"/>
              <w:jc w:val="left"/>
              <w:rPr>
                <w:lang w:val="en-GB"/>
              </w:rPr>
            </w:pPr>
            <w:r w:rsidRPr="00C37314">
              <w:rPr>
                <w:lang w:val="en-GB"/>
              </w:rPr>
              <w:t xml:space="preserve">This Recommendation presents an overview of strategies and countermeasures for rain attenuation in the satellite link in the FSS, to provide high-speed multimedia services in Ku- and Ka-bands. </w:t>
            </w:r>
          </w:p>
        </w:tc>
      </w:tr>
    </w:tbl>
    <w:p w:rsidR="00BA5730" w:rsidRPr="00C37314" w:rsidRDefault="00BA5730" w:rsidP="00BA5730">
      <w:pPr>
        <w:pStyle w:val="Tablefin"/>
      </w:pPr>
    </w:p>
    <w:p w:rsidR="00BA5730" w:rsidRPr="00C37314" w:rsidRDefault="00BA5730" w:rsidP="00BA5730">
      <w:pPr>
        <w:pStyle w:val="TableNo"/>
        <w:rPr>
          <w:lang w:val="en-GB"/>
        </w:rPr>
      </w:pPr>
      <w:r w:rsidRPr="00C37314">
        <w:rPr>
          <w:lang w:val="en-GB"/>
        </w:rPr>
        <w:lastRenderedPageBreak/>
        <w:t>TABLE 1 (</w:t>
      </w:r>
      <w:r w:rsidRPr="00C37314">
        <w:rPr>
          <w:i/>
          <w:iCs/>
          <w:lang w:val="en-GB"/>
        </w:rPr>
        <w:t>end</w:t>
      </w:r>
      <w:r w:rsidRPr="00C37314">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9"/>
        <w:gridCol w:w="2419"/>
        <w:gridCol w:w="4801"/>
      </w:tblGrid>
      <w:tr w:rsidR="009A3D89" w:rsidRPr="00C37314" w:rsidTr="00967BE6">
        <w:trPr>
          <w:jc w:val="center"/>
        </w:trPr>
        <w:tc>
          <w:tcPr>
            <w:tcW w:w="2419" w:type="dxa"/>
            <w:vAlign w:val="center"/>
          </w:tcPr>
          <w:p w:rsidR="009A3D89" w:rsidRPr="00C37314" w:rsidRDefault="009A3D89" w:rsidP="00967BE6">
            <w:pPr>
              <w:pStyle w:val="Tablehead"/>
              <w:rPr>
                <w:lang w:val="en-GB"/>
              </w:rPr>
            </w:pPr>
            <w:r w:rsidRPr="00C37314">
              <w:rPr>
                <w:lang w:val="en-GB"/>
              </w:rPr>
              <w:t xml:space="preserve">ITU-R </w:t>
            </w:r>
            <w:r w:rsidRPr="00C37314">
              <w:rPr>
                <w:szCs w:val="22"/>
                <w:lang w:val="en-GB"/>
              </w:rPr>
              <w:t>Recommendations for</w:t>
            </w:r>
            <w:r w:rsidRPr="00C37314">
              <w:rPr>
                <w:lang w:val="en-GB" w:eastAsia="ja-JP"/>
              </w:rPr>
              <w:t xml:space="preserve"> VSATs</w:t>
            </w:r>
            <w:r w:rsidRPr="00C37314">
              <w:rPr>
                <w:lang w:val="en-GB" w:eastAsia="ja-JP"/>
              </w:rPr>
              <w:br/>
              <w:t>and ITU-T Recommendations</w:t>
            </w:r>
          </w:p>
        </w:tc>
        <w:tc>
          <w:tcPr>
            <w:tcW w:w="2419" w:type="dxa"/>
            <w:vAlign w:val="center"/>
          </w:tcPr>
          <w:p w:rsidR="009A3D89" w:rsidRPr="00C37314" w:rsidRDefault="009A3D89" w:rsidP="00967BE6">
            <w:pPr>
              <w:pStyle w:val="Tablehead"/>
              <w:rPr>
                <w:lang w:val="en-GB"/>
              </w:rPr>
            </w:pPr>
            <w:r w:rsidRPr="00C37314">
              <w:rPr>
                <w:lang w:val="en-GB"/>
              </w:rPr>
              <w:t>ITU</w:t>
            </w:r>
            <w:r w:rsidRPr="00C37314">
              <w:rPr>
                <w:lang w:val="en-GB"/>
              </w:rPr>
              <w:noBreakHyphen/>
              <w:t>R Recommendations for FSS earth stations including VSATs</w:t>
            </w:r>
          </w:p>
        </w:tc>
        <w:tc>
          <w:tcPr>
            <w:tcW w:w="4801" w:type="dxa"/>
            <w:vAlign w:val="center"/>
          </w:tcPr>
          <w:p w:rsidR="009A3D89" w:rsidRPr="00C37314" w:rsidRDefault="009A3D89" w:rsidP="00967BE6">
            <w:pPr>
              <w:pStyle w:val="Tablehead"/>
              <w:rPr>
                <w:lang w:val="en-GB"/>
              </w:rPr>
            </w:pPr>
            <w:r w:rsidRPr="00C37314">
              <w:rPr>
                <w:lang w:val="en-GB"/>
              </w:rPr>
              <w:t>Comments</w:t>
            </w:r>
          </w:p>
        </w:tc>
      </w:tr>
      <w:tr w:rsidR="005A1005" w:rsidRPr="003A3778" w:rsidTr="00BA5730">
        <w:trPr>
          <w:jc w:val="center"/>
        </w:trPr>
        <w:tc>
          <w:tcPr>
            <w:tcW w:w="2419" w:type="dxa"/>
          </w:tcPr>
          <w:p w:rsidR="005A1005" w:rsidRPr="00C37314" w:rsidRDefault="005A1005" w:rsidP="00BA5730">
            <w:pPr>
              <w:pStyle w:val="Tabletext"/>
              <w:keepNext/>
              <w:keepLines/>
              <w:tabs>
                <w:tab w:val="left" w:leader="dot" w:pos="7938"/>
                <w:tab w:val="center" w:pos="9526"/>
              </w:tabs>
              <w:ind w:left="567" w:hanging="567"/>
              <w:jc w:val="center"/>
              <w:rPr>
                <w:szCs w:val="22"/>
                <w:lang w:val="en-GB"/>
              </w:rPr>
            </w:pPr>
            <w:r w:rsidRPr="00C37314">
              <w:rPr>
                <w:szCs w:val="22"/>
                <w:lang w:val="en-GB"/>
              </w:rPr>
              <w:t>ITU-T I.571</w:t>
            </w:r>
          </w:p>
        </w:tc>
        <w:tc>
          <w:tcPr>
            <w:tcW w:w="2419" w:type="dxa"/>
          </w:tcPr>
          <w:p w:rsidR="005A1005" w:rsidRPr="00C37314" w:rsidRDefault="005A1005" w:rsidP="0021424A">
            <w:pPr>
              <w:pStyle w:val="Tabletext"/>
              <w:jc w:val="center"/>
              <w:rPr>
                <w:szCs w:val="22"/>
                <w:lang w:val="en-GB"/>
              </w:rPr>
            </w:pPr>
          </w:p>
        </w:tc>
        <w:tc>
          <w:tcPr>
            <w:tcW w:w="4801" w:type="dxa"/>
          </w:tcPr>
          <w:p w:rsidR="005A1005" w:rsidRPr="00C37314" w:rsidRDefault="005A1005" w:rsidP="0021424A">
            <w:pPr>
              <w:pStyle w:val="Tabletext"/>
              <w:keepLines/>
              <w:tabs>
                <w:tab w:val="clear" w:pos="567"/>
                <w:tab w:val="left" w:pos="-108"/>
                <w:tab w:val="left" w:leader="dot" w:pos="7938"/>
                <w:tab w:val="center" w:pos="9526"/>
              </w:tabs>
              <w:jc w:val="left"/>
              <w:rPr>
                <w:szCs w:val="22"/>
                <w:lang w:val="en-GB"/>
              </w:rPr>
            </w:pPr>
            <w:r w:rsidRPr="00C37314">
              <w:rPr>
                <w:szCs w:val="22"/>
                <w:lang w:val="en-GB"/>
              </w:rPr>
              <w:t>This Recommendation describes different interconnection scenarios between VSATs based on private networks and public ISDNs, and specifies the requirements that VSATs should satisfy when connecting to the public ISDN.</w:t>
            </w:r>
          </w:p>
        </w:tc>
      </w:tr>
      <w:tr w:rsidR="005A1005" w:rsidRPr="003A3778" w:rsidTr="00BA5730">
        <w:trPr>
          <w:jc w:val="center"/>
        </w:trPr>
        <w:tc>
          <w:tcPr>
            <w:tcW w:w="2419" w:type="dxa"/>
          </w:tcPr>
          <w:p w:rsidR="005A1005" w:rsidRPr="00C37314" w:rsidRDefault="005A1005" w:rsidP="0021424A">
            <w:pPr>
              <w:pStyle w:val="Tabletext"/>
              <w:keepLines/>
              <w:tabs>
                <w:tab w:val="left" w:leader="dot" w:pos="7938"/>
                <w:tab w:val="center" w:pos="9526"/>
              </w:tabs>
              <w:ind w:left="567" w:hanging="567"/>
              <w:jc w:val="center"/>
              <w:rPr>
                <w:szCs w:val="22"/>
                <w:lang w:val="en-GB" w:eastAsia="ja-JP"/>
              </w:rPr>
            </w:pPr>
            <w:r w:rsidRPr="00C37314">
              <w:rPr>
                <w:lang w:val="en-GB"/>
              </w:rPr>
              <w:t>ITU-T I.572</w:t>
            </w:r>
          </w:p>
        </w:tc>
        <w:tc>
          <w:tcPr>
            <w:tcW w:w="2419" w:type="dxa"/>
          </w:tcPr>
          <w:p w:rsidR="005A1005" w:rsidRPr="00C37314" w:rsidRDefault="005A1005" w:rsidP="0021424A">
            <w:pPr>
              <w:pStyle w:val="Tabletext"/>
              <w:jc w:val="center"/>
              <w:rPr>
                <w:lang w:val="en-GB"/>
              </w:rPr>
            </w:pPr>
          </w:p>
        </w:tc>
        <w:tc>
          <w:tcPr>
            <w:tcW w:w="4801" w:type="dxa"/>
          </w:tcPr>
          <w:p w:rsidR="005A1005" w:rsidRPr="00C37314" w:rsidRDefault="005A1005" w:rsidP="0021424A">
            <w:pPr>
              <w:pStyle w:val="Tabletext"/>
              <w:keepLines/>
              <w:tabs>
                <w:tab w:val="clear" w:pos="567"/>
                <w:tab w:val="left" w:pos="0"/>
                <w:tab w:val="left" w:leader="dot" w:pos="7938"/>
                <w:tab w:val="center" w:pos="9526"/>
              </w:tabs>
              <w:ind w:left="34" w:hanging="34"/>
              <w:jc w:val="left"/>
              <w:rPr>
                <w:szCs w:val="22"/>
                <w:lang w:val="en-GB"/>
              </w:rPr>
            </w:pPr>
            <w:r w:rsidRPr="00C37314">
              <w:rPr>
                <w:lang w:val="en-GB" w:eastAsia="zh-CN"/>
              </w:rPr>
              <w:t>This Recommendation covers the technical functional requirements for the interconnection of VSAT networks to the national telephone networks.</w:t>
            </w:r>
          </w:p>
        </w:tc>
      </w:tr>
    </w:tbl>
    <w:p w:rsidR="005A1005" w:rsidRPr="00C37314" w:rsidRDefault="005A1005" w:rsidP="0021424A">
      <w:pPr>
        <w:pStyle w:val="Tablefin"/>
      </w:pPr>
      <w:bookmarkStart w:id="27" w:name="_Toc252972309"/>
      <w:bookmarkStart w:id="28" w:name="_Toc252972169"/>
      <w:bookmarkStart w:id="29" w:name="_Toc252971291"/>
      <w:bookmarkStart w:id="30" w:name="_Toc252969804"/>
    </w:p>
    <w:p w:rsidR="005A1005" w:rsidRPr="00C37314" w:rsidRDefault="005A1005" w:rsidP="005A1005">
      <w:pPr>
        <w:pStyle w:val="Heading1"/>
        <w:rPr>
          <w:lang w:val="en-GB"/>
        </w:rPr>
      </w:pPr>
      <w:bookmarkStart w:id="31" w:name="_Toc372898973"/>
      <w:bookmarkStart w:id="32" w:name="_Toc373828460"/>
      <w:bookmarkStart w:id="33" w:name="_Toc376852986"/>
      <w:r w:rsidRPr="00C37314">
        <w:rPr>
          <w:lang w:val="en-GB"/>
        </w:rPr>
        <w:t>3</w:t>
      </w:r>
      <w:r w:rsidRPr="00C37314">
        <w:rPr>
          <w:lang w:val="en-GB"/>
        </w:rPr>
        <w:tab/>
      </w:r>
      <w:bookmarkEnd w:id="27"/>
      <w:bookmarkEnd w:id="28"/>
      <w:bookmarkEnd w:id="29"/>
      <w:bookmarkEnd w:id="30"/>
      <w:r w:rsidRPr="00C37314">
        <w:rPr>
          <w:lang w:val="en-GB"/>
        </w:rPr>
        <w:t>Topologies of networks with VSATs</w:t>
      </w:r>
      <w:bookmarkEnd w:id="31"/>
      <w:bookmarkEnd w:id="32"/>
      <w:bookmarkEnd w:id="33"/>
    </w:p>
    <w:p w:rsidR="005A1005" w:rsidRPr="00C37314" w:rsidRDefault="005A1005" w:rsidP="001E3236">
      <w:pPr>
        <w:rPr>
          <w:lang w:val="en-GB" w:eastAsia="ja-JP"/>
        </w:rPr>
      </w:pPr>
      <w:r w:rsidRPr="00C37314">
        <w:rPr>
          <w:lang w:val="en-GB" w:eastAsia="ja-JP"/>
        </w:rPr>
        <w:t>There are several topologies of networks with VSATs as discussed below. The</w:t>
      </w:r>
      <w:r w:rsidR="001E3236" w:rsidRPr="00C37314">
        <w:rPr>
          <w:lang w:val="en-GB" w:eastAsia="ja-JP"/>
        </w:rPr>
        <w:t xml:space="preserve"> </w:t>
      </w:r>
      <w:r w:rsidRPr="00C37314">
        <w:rPr>
          <w:lang w:val="en-GB" w:eastAsia="ja-JP"/>
        </w:rPr>
        <w:t>difference in network topology may affect the control and monitoring function of VSATs.</w:t>
      </w:r>
    </w:p>
    <w:p w:rsidR="005A1005" w:rsidRPr="00C37314" w:rsidRDefault="005A1005" w:rsidP="005A1005">
      <w:pPr>
        <w:pStyle w:val="Heading2"/>
        <w:rPr>
          <w:lang w:val="en-GB"/>
        </w:rPr>
      </w:pPr>
      <w:bookmarkStart w:id="34" w:name="_Toc372898974"/>
      <w:bookmarkStart w:id="35" w:name="_Toc373828461"/>
      <w:bookmarkStart w:id="36" w:name="_Toc376852987"/>
      <w:r w:rsidRPr="00C37314">
        <w:rPr>
          <w:lang w:val="en-GB"/>
        </w:rPr>
        <w:t>3.1</w:t>
      </w:r>
      <w:r w:rsidRPr="00C37314">
        <w:rPr>
          <w:lang w:val="en-GB"/>
        </w:rPr>
        <w:tab/>
        <w:t>Star type topology</w:t>
      </w:r>
      <w:bookmarkEnd w:id="34"/>
      <w:bookmarkEnd w:id="35"/>
      <w:bookmarkEnd w:id="36"/>
    </w:p>
    <w:p w:rsidR="005A1005" w:rsidRPr="00C37314" w:rsidRDefault="005A1005" w:rsidP="00261B4A">
      <w:pPr>
        <w:rPr>
          <w:lang w:val="en-GB" w:eastAsia="ja-JP"/>
        </w:rPr>
      </w:pPr>
      <w:r w:rsidRPr="00C37314">
        <w:rPr>
          <w:lang w:val="en-GB"/>
        </w:rPr>
        <w:t>In th</w:t>
      </w:r>
      <w:r w:rsidRPr="00C37314">
        <w:rPr>
          <w:lang w:val="en-GB" w:eastAsia="ja-JP"/>
        </w:rPr>
        <w:t>is topology, there is a “hub” earth station where the user traffic from a group of VSATs is concentrated and which assumes control of the VSATs, as depicted in Fig</w:t>
      </w:r>
      <w:r w:rsidR="00261B4A" w:rsidRPr="00C37314">
        <w:rPr>
          <w:lang w:val="en-GB" w:eastAsia="ja-JP"/>
        </w:rPr>
        <w:t>.</w:t>
      </w:r>
      <w:r w:rsidRPr="00C37314">
        <w:rPr>
          <w:lang w:val="en-GB" w:eastAsia="ja-JP"/>
        </w:rPr>
        <w:t xml:space="preserve"> 1. However, more than </w:t>
      </w:r>
      <w:r w:rsidRPr="00C37314">
        <w:rPr>
          <w:lang w:val="en-GB"/>
        </w:rPr>
        <w:t xml:space="preserve">one </w:t>
      </w:r>
      <w:r w:rsidRPr="00C37314">
        <w:rPr>
          <w:lang w:val="en-GB" w:eastAsia="ja-JP"/>
        </w:rPr>
        <w:t>h</w:t>
      </w:r>
      <w:r w:rsidRPr="00C37314">
        <w:rPr>
          <w:lang w:val="en-GB"/>
        </w:rPr>
        <w:t xml:space="preserve">ub </w:t>
      </w:r>
      <w:r w:rsidRPr="00C37314">
        <w:rPr>
          <w:lang w:val="en-GB" w:eastAsia="ja-JP"/>
        </w:rPr>
        <w:t>e</w:t>
      </w:r>
      <w:r w:rsidRPr="00C37314">
        <w:rPr>
          <w:lang w:val="en-GB"/>
        </w:rPr>
        <w:t xml:space="preserve">arth </w:t>
      </w:r>
      <w:r w:rsidRPr="00C37314">
        <w:rPr>
          <w:lang w:val="en-GB" w:eastAsia="ja-JP"/>
        </w:rPr>
        <w:t>s</w:t>
      </w:r>
      <w:r w:rsidRPr="00C37314">
        <w:rPr>
          <w:lang w:val="en-GB"/>
        </w:rPr>
        <w:t xml:space="preserve">tation may be utilized in </w:t>
      </w:r>
      <w:r w:rsidRPr="00C37314">
        <w:rPr>
          <w:rFonts w:cstheme="minorBidi"/>
          <w:lang w:val="en-GB"/>
        </w:rPr>
        <w:t xml:space="preserve">the </w:t>
      </w:r>
      <w:r w:rsidRPr="00C37314">
        <w:rPr>
          <w:lang w:val="en-GB"/>
        </w:rPr>
        <w:t xml:space="preserve">network for redundancy purposes (i.e. primary </w:t>
      </w:r>
      <w:r w:rsidRPr="00C37314">
        <w:rPr>
          <w:lang w:val="en-GB" w:eastAsia="ja-JP"/>
        </w:rPr>
        <w:t>a</w:t>
      </w:r>
      <w:r w:rsidRPr="00C37314">
        <w:rPr>
          <w:lang w:val="en-GB"/>
        </w:rPr>
        <w:t xml:space="preserve">nd </w:t>
      </w:r>
      <w:r w:rsidRPr="00C37314">
        <w:rPr>
          <w:lang w:val="en-GB" w:eastAsia="ja-JP"/>
        </w:rPr>
        <w:t>b</w:t>
      </w:r>
      <w:r w:rsidRPr="00C37314">
        <w:rPr>
          <w:lang w:val="en-GB"/>
        </w:rPr>
        <w:t xml:space="preserve">ackup </w:t>
      </w:r>
      <w:r w:rsidRPr="00C37314">
        <w:rPr>
          <w:lang w:val="en-GB" w:eastAsia="ja-JP"/>
        </w:rPr>
        <w:t>h</w:t>
      </w:r>
      <w:r w:rsidRPr="00C37314">
        <w:rPr>
          <w:lang w:val="en-GB"/>
        </w:rPr>
        <w:t xml:space="preserve">ub </w:t>
      </w:r>
      <w:r w:rsidRPr="00C37314">
        <w:rPr>
          <w:lang w:val="en-GB" w:eastAsia="ja-JP"/>
        </w:rPr>
        <w:t>e</w:t>
      </w:r>
      <w:r w:rsidRPr="00C37314">
        <w:rPr>
          <w:lang w:val="en-GB"/>
        </w:rPr>
        <w:t xml:space="preserve">arth </w:t>
      </w:r>
      <w:r w:rsidRPr="00C37314">
        <w:rPr>
          <w:lang w:val="en-GB" w:eastAsia="ja-JP"/>
        </w:rPr>
        <w:t>s</w:t>
      </w:r>
      <w:r w:rsidRPr="00C37314">
        <w:rPr>
          <w:lang w:val="en-GB"/>
        </w:rPr>
        <w:t xml:space="preserve">tation). </w:t>
      </w:r>
      <w:r w:rsidRPr="00C37314">
        <w:rPr>
          <w:lang w:val="en-GB" w:eastAsia="ja-JP"/>
        </w:rPr>
        <w:t>When communicating between VSATs,</w:t>
      </w:r>
      <w:r w:rsidRPr="00C37314">
        <w:rPr>
          <w:rFonts w:cstheme="minorBidi"/>
          <w:lang w:val="en-GB"/>
        </w:rPr>
        <w:t xml:space="preserve"> the </w:t>
      </w:r>
      <w:r w:rsidRPr="00C37314">
        <w:rPr>
          <w:lang w:val="en-GB" w:eastAsia="ja-JP"/>
        </w:rPr>
        <w:t>“double hop” path must be employed (order 2N latency).</w:t>
      </w:r>
    </w:p>
    <w:p w:rsidR="005A1005" w:rsidRPr="00C37314" w:rsidRDefault="005A1005" w:rsidP="00CE66FD">
      <w:pPr>
        <w:rPr>
          <w:lang w:val="en-GB" w:eastAsia="ja-JP"/>
        </w:rPr>
      </w:pPr>
      <w:r w:rsidRPr="00C37314">
        <w:rPr>
          <w:lang w:val="en-GB" w:eastAsia="ja-JP"/>
        </w:rPr>
        <w:t>In</w:t>
      </w:r>
      <w:r w:rsidR="00261B4A" w:rsidRPr="00C37314">
        <w:rPr>
          <w:lang w:val="en-GB" w:eastAsia="ja-JP"/>
        </w:rPr>
        <w:t xml:space="preserve"> </w:t>
      </w:r>
      <w:r w:rsidRPr="00C37314">
        <w:rPr>
          <w:lang w:val="en-GB" w:eastAsia="ja-JP"/>
        </w:rPr>
        <w:t xml:space="preserve">many cases, the frequency spectrum is shared between VSATs based on a demand driven protocol. The transmission speed of outbound (i.e. </w:t>
      </w:r>
      <w:r w:rsidRPr="00C37314">
        <w:rPr>
          <w:rFonts w:cstheme="minorBidi"/>
          <w:lang w:val="en-GB"/>
        </w:rPr>
        <w:t xml:space="preserve">hub </w:t>
      </w:r>
      <w:r w:rsidRPr="00C37314">
        <w:rPr>
          <w:lang w:val="en-GB" w:eastAsia="ja-JP"/>
        </w:rPr>
        <w:t>to VSAT) and inbound (i.e. VSAT to hub) traffic is</w:t>
      </w:r>
      <w:r w:rsidR="00261B4A" w:rsidRPr="00C37314">
        <w:rPr>
          <w:lang w:val="en-GB" w:eastAsia="ja-JP"/>
        </w:rPr>
        <w:t xml:space="preserve"> </w:t>
      </w:r>
      <w:r w:rsidRPr="00C37314">
        <w:rPr>
          <w:lang w:val="en-GB" w:eastAsia="ja-JP"/>
        </w:rPr>
        <w:t xml:space="preserve">often asymmetric for such networks in order to avert bottlenecking of data traffic at the hub. It should also </w:t>
      </w:r>
      <w:r w:rsidR="00CE66FD" w:rsidRPr="00C37314">
        <w:rPr>
          <w:lang w:val="en-GB" w:eastAsia="ja-JP"/>
        </w:rPr>
        <w:t xml:space="preserve">be </w:t>
      </w:r>
      <w:r w:rsidRPr="00C37314">
        <w:rPr>
          <w:lang w:val="en-GB" w:eastAsia="ja-JP"/>
        </w:rPr>
        <w:t>noted that VSATs with different characteristics (i.e. antenna diameter, transmission power and so forth) may operate in the same network.</w:t>
      </w:r>
    </w:p>
    <w:p w:rsidR="005A1005" w:rsidRPr="00C37314" w:rsidRDefault="005A1005" w:rsidP="005A1005">
      <w:pPr>
        <w:pStyle w:val="FigureNo"/>
        <w:rPr>
          <w:lang w:val="en-GB"/>
        </w:rPr>
      </w:pPr>
      <w:r w:rsidRPr="00C37314">
        <w:rPr>
          <w:lang w:val="en-GB"/>
        </w:rPr>
        <w:lastRenderedPageBreak/>
        <w:t>Figure 1</w:t>
      </w:r>
    </w:p>
    <w:p w:rsidR="005A1005" w:rsidRDefault="005A1005" w:rsidP="005A1005">
      <w:pPr>
        <w:pStyle w:val="Figuretitle"/>
        <w:rPr>
          <w:lang w:val="en-GB"/>
        </w:rPr>
      </w:pPr>
      <w:r w:rsidRPr="00C37314">
        <w:rPr>
          <w:lang w:val="en-GB"/>
        </w:rPr>
        <w:t>Star type topology</w:t>
      </w:r>
    </w:p>
    <w:p w:rsidR="00CF1A23" w:rsidRDefault="00CF1A23" w:rsidP="00CF1A23">
      <w:pPr>
        <w:pStyle w:val="Figure"/>
        <w:rPr>
          <w:lang w:val="en-GB"/>
        </w:rPr>
      </w:pPr>
      <w:r>
        <w:rPr>
          <w:lang w:val="en-GB"/>
        </w:rPr>
        <w:object w:dxaOrig="4259" w:dyaOrig="2454">
          <v:shape id="_x0000_i1026" type="#_x0000_t75" style="width:352.5pt;height:202.5pt" o:ole="">
            <v:imagedata r:id="rId14" o:title=""/>
          </v:shape>
          <o:OLEObject Type="Embed" ProgID="CorelDRAW.Graphic.14" ShapeID="_x0000_i1026" DrawAspect="Content" ObjectID="_1450772898" r:id="rId15"/>
        </w:object>
      </w:r>
    </w:p>
    <w:p w:rsidR="00CF1A23" w:rsidRPr="00CF1A23" w:rsidRDefault="00CF1A23" w:rsidP="00CF1A23">
      <w:pPr>
        <w:pStyle w:val="Figurelegend"/>
        <w:rPr>
          <w:lang w:val="en-GB"/>
        </w:rPr>
      </w:pPr>
      <w:r w:rsidRPr="00C908C7">
        <w:rPr>
          <w:lang w:val="en-US"/>
        </w:rPr>
        <w:t>(*)</w:t>
      </w:r>
      <w:r>
        <w:rPr>
          <w:lang w:val="en-US"/>
        </w:rPr>
        <w:tab/>
      </w:r>
      <w:r w:rsidRPr="00C908C7">
        <w:rPr>
          <w:lang w:val="en-US"/>
        </w:rPr>
        <w:t>There may be more than one hub earth stations in the network (i.e. primary hub earth station and</w:t>
      </w:r>
      <w:r>
        <w:rPr>
          <w:lang w:val="en-US"/>
        </w:rPr>
        <w:t xml:space="preserve"> </w:t>
      </w:r>
      <w:r w:rsidRPr="00C908C7">
        <w:rPr>
          <w:lang w:val="en-US"/>
        </w:rPr>
        <w:t>backup hub earth station).</w:t>
      </w:r>
    </w:p>
    <w:p w:rsidR="005A1005" w:rsidRPr="00C37314" w:rsidRDefault="005A1005" w:rsidP="00261B4A">
      <w:pPr>
        <w:pStyle w:val="Heading2"/>
        <w:rPr>
          <w:lang w:val="en-GB"/>
        </w:rPr>
      </w:pPr>
      <w:bookmarkStart w:id="37" w:name="_Toc372898975"/>
      <w:bookmarkStart w:id="38" w:name="_Toc373828462"/>
      <w:bookmarkStart w:id="39" w:name="_Toc376852988"/>
      <w:r w:rsidRPr="00C37314">
        <w:rPr>
          <w:lang w:val="en-GB"/>
        </w:rPr>
        <w:t>3.2</w:t>
      </w:r>
      <w:r w:rsidRPr="00C37314">
        <w:rPr>
          <w:lang w:val="en-GB"/>
        </w:rPr>
        <w:tab/>
        <w:t>Mesh type topology</w:t>
      </w:r>
      <w:bookmarkEnd w:id="37"/>
      <w:bookmarkEnd w:id="38"/>
      <w:bookmarkEnd w:id="39"/>
    </w:p>
    <w:p w:rsidR="005A1005" w:rsidRPr="00C37314" w:rsidRDefault="005A1005" w:rsidP="00CE66FD">
      <w:pPr>
        <w:rPr>
          <w:lang w:val="en-GB" w:eastAsia="ja-JP"/>
        </w:rPr>
      </w:pPr>
      <w:r w:rsidRPr="00C37314">
        <w:rPr>
          <w:lang w:val="en-GB"/>
        </w:rPr>
        <w:t>In th</w:t>
      </w:r>
      <w:r w:rsidRPr="00C37314">
        <w:rPr>
          <w:lang w:val="en-GB" w:eastAsia="ja-JP"/>
        </w:rPr>
        <w:t xml:space="preserve">is topology, a group of VSATs can communicate with each other without involving a hub earth station (i.e. “single hop” connection) as depicted in </w:t>
      </w:r>
      <w:r w:rsidR="00861D38" w:rsidRPr="00C37314">
        <w:rPr>
          <w:lang w:val="en-GB" w:eastAsia="ja-JP"/>
        </w:rPr>
        <w:t>Fig.</w:t>
      </w:r>
      <w:r w:rsidRPr="00C37314">
        <w:rPr>
          <w:lang w:val="en-GB" w:eastAsia="ja-JP"/>
        </w:rPr>
        <w:t xml:space="preserve"> 2 (order N latency). There is a network control and monitoring centre (NCMC) earth station (or more than one NCMC earth station in redundancy) for management and control of the group of VSATs. Yet the user traffic need not be concentrated to the NCMC earth station. In many cases, the frequency spectrum is shared between VSATs on demand basis. The transmission speeds may vary from station to station independent of type. It should also </w:t>
      </w:r>
      <w:r w:rsidR="00CE66FD" w:rsidRPr="00C37314">
        <w:rPr>
          <w:lang w:val="en-GB" w:eastAsia="ja-JP"/>
        </w:rPr>
        <w:t xml:space="preserve">be </w:t>
      </w:r>
      <w:r w:rsidRPr="00C37314">
        <w:rPr>
          <w:lang w:val="en-GB" w:eastAsia="ja-JP"/>
        </w:rPr>
        <w:t>noted that VSATs with different characteristics (i.e. antenna diameter, transmission power and so forth) may operate in the same network.</w:t>
      </w:r>
    </w:p>
    <w:p w:rsidR="005A1005" w:rsidRPr="00C37314" w:rsidRDefault="005A1005" w:rsidP="00261B4A">
      <w:pPr>
        <w:pStyle w:val="FigureNo"/>
        <w:rPr>
          <w:lang w:val="en-GB" w:eastAsia="ja-JP"/>
        </w:rPr>
      </w:pPr>
      <w:r w:rsidRPr="00C37314">
        <w:rPr>
          <w:lang w:val="en-GB"/>
        </w:rPr>
        <w:lastRenderedPageBreak/>
        <w:t>Figure 2</w:t>
      </w:r>
    </w:p>
    <w:p w:rsidR="005A1005" w:rsidRDefault="005A1005" w:rsidP="005A1005">
      <w:pPr>
        <w:pStyle w:val="Figuretitle"/>
      </w:pPr>
      <w:r w:rsidRPr="00BE5B9C">
        <w:t>Mesh type topology</w:t>
      </w:r>
    </w:p>
    <w:p w:rsidR="00CF1A23" w:rsidRDefault="00CF1A23" w:rsidP="00CF1A23">
      <w:pPr>
        <w:pStyle w:val="Figure"/>
        <w:keepNext/>
      </w:pPr>
      <w:r>
        <w:object w:dxaOrig="4161" w:dyaOrig="2463">
          <v:shape id="_x0000_i1027" type="#_x0000_t75" style="width:344pt;height:203.5pt" o:ole="">
            <v:imagedata r:id="rId16" o:title=""/>
          </v:shape>
          <o:OLEObject Type="Embed" ProgID="CorelDRAW.Graphic.14" ShapeID="_x0000_i1027" DrawAspect="Content" ObjectID="_1450772899" r:id="rId17"/>
        </w:object>
      </w:r>
    </w:p>
    <w:p w:rsidR="00CF1A23" w:rsidRPr="003A3778" w:rsidRDefault="00CF1A23" w:rsidP="00CF1A23">
      <w:pPr>
        <w:pStyle w:val="Figurelegend"/>
        <w:rPr>
          <w:lang w:val="en-US"/>
        </w:rPr>
      </w:pPr>
      <w:r w:rsidRPr="00C908C7">
        <w:rPr>
          <w:lang w:val="en-US"/>
        </w:rPr>
        <w:t>(*)</w:t>
      </w:r>
      <w:r>
        <w:rPr>
          <w:lang w:val="en-US"/>
        </w:rPr>
        <w:tab/>
      </w:r>
      <w:r w:rsidRPr="00C908C7">
        <w:rPr>
          <w:lang w:val="en-US"/>
        </w:rPr>
        <w:t>There may be more than one NCMC in the network (i.e. primary NCMC and backup NCMC).</w:t>
      </w:r>
    </w:p>
    <w:p w:rsidR="005A1005" w:rsidRPr="00C37314" w:rsidRDefault="005A1005" w:rsidP="005A1005">
      <w:pPr>
        <w:pStyle w:val="Heading2"/>
        <w:rPr>
          <w:szCs w:val="24"/>
          <w:lang w:val="en-GB" w:eastAsia="ja-JP"/>
        </w:rPr>
      </w:pPr>
      <w:bookmarkStart w:id="40" w:name="_Toc372898976"/>
      <w:bookmarkStart w:id="41" w:name="_Toc373828463"/>
      <w:bookmarkStart w:id="42" w:name="_Toc376852989"/>
      <w:r w:rsidRPr="00C37314">
        <w:rPr>
          <w:lang w:val="en-GB" w:eastAsia="ja-JP"/>
        </w:rPr>
        <w:t>3.3</w:t>
      </w:r>
      <w:r w:rsidRPr="00C37314">
        <w:rPr>
          <w:lang w:val="en-GB" w:eastAsia="ja-JP"/>
        </w:rPr>
        <w:tab/>
        <w:t>Hybrid topology</w:t>
      </w:r>
      <w:bookmarkEnd w:id="40"/>
      <w:bookmarkEnd w:id="41"/>
      <w:bookmarkEnd w:id="42"/>
    </w:p>
    <w:p w:rsidR="005A1005" w:rsidRPr="00C37314" w:rsidRDefault="005A1005" w:rsidP="00BA5730">
      <w:pPr>
        <w:rPr>
          <w:lang w:val="en-GB" w:eastAsia="ja-JP"/>
        </w:rPr>
      </w:pPr>
      <w:r w:rsidRPr="00C37314">
        <w:rPr>
          <w:lang w:val="en-GB" w:eastAsia="ja-JP"/>
        </w:rPr>
        <w:t>A network with a hybrid topology uses characteristics of both star and mesh topologies. For</w:t>
      </w:r>
      <w:r w:rsidR="00BA5730" w:rsidRPr="00C37314">
        <w:rPr>
          <w:lang w:val="en-GB" w:eastAsia="ja-JP"/>
        </w:rPr>
        <w:t xml:space="preserve"> </w:t>
      </w:r>
      <w:r w:rsidRPr="00C37314">
        <w:rPr>
          <w:lang w:val="en-GB" w:eastAsia="ja-JP"/>
        </w:rPr>
        <w:t>example, depending on the number of stations in the network, it may be more efficient to have the edges of the network use a star topology while connecting the “</w:t>
      </w:r>
      <w:r w:rsidR="00C37314" w:rsidRPr="00C37314">
        <w:rPr>
          <w:lang w:val="en-GB" w:eastAsia="ja-JP"/>
        </w:rPr>
        <w:t>centres</w:t>
      </w:r>
      <w:r w:rsidRPr="00C37314">
        <w:rPr>
          <w:lang w:val="en-GB" w:eastAsia="ja-JP"/>
        </w:rPr>
        <w:t>” of the stars by means of a mesh network.</w:t>
      </w:r>
    </w:p>
    <w:p w:rsidR="005A1005" w:rsidRPr="00C37314" w:rsidRDefault="005A1005" w:rsidP="00890BC8">
      <w:pPr>
        <w:rPr>
          <w:lang w:val="en-GB" w:eastAsia="zh-CN"/>
        </w:rPr>
      </w:pPr>
      <w:r w:rsidRPr="00C37314">
        <w:rPr>
          <w:lang w:val="en-GB" w:eastAsia="ja-JP"/>
        </w:rPr>
        <w:t xml:space="preserve">NOTE – </w:t>
      </w:r>
      <w:r w:rsidRPr="00C37314">
        <w:rPr>
          <w:lang w:val="en-GB" w:eastAsia="zh-CN"/>
        </w:rPr>
        <w:t>Any combination of topology and multiple access may be used in VSAT networks.</w:t>
      </w:r>
    </w:p>
    <w:p w:rsidR="005A1005" w:rsidRPr="00C37314" w:rsidRDefault="005A1005" w:rsidP="00CE66FD">
      <w:pPr>
        <w:pStyle w:val="Heading2"/>
        <w:rPr>
          <w:lang w:val="en-GB"/>
        </w:rPr>
      </w:pPr>
      <w:bookmarkStart w:id="43" w:name="_Toc252972314"/>
      <w:bookmarkStart w:id="44" w:name="_Toc252972174"/>
      <w:bookmarkStart w:id="45" w:name="_Toc252971296"/>
      <w:bookmarkStart w:id="46" w:name="_Toc252969809"/>
      <w:bookmarkStart w:id="47" w:name="_Toc372898977"/>
      <w:bookmarkStart w:id="48" w:name="_Toc373828464"/>
      <w:bookmarkStart w:id="49" w:name="_Toc376852990"/>
      <w:r w:rsidRPr="00C37314">
        <w:rPr>
          <w:lang w:val="en-GB"/>
        </w:rPr>
        <w:t>3.4</w:t>
      </w:r>
      <w:r w:rsidRPr="00C37314">
        <w:rPr>
          <w:lang w:val="en-GB"/>
        </w:rPr>
        <w:tab/>
      </w:r>
      <w:bookmarkEnd w:id="43"/>
      <w:bookmarkEnd w:id="44"/>
      <w:bookmarkEnd w:id="45"/>
      <w:bookmarkEnd w:id="46"/>
      <w:r w:rsidR="00CE66FD">
        <w:rPr>
          <w:lang w:val="en-GB"/>
        </w:rPr>
        <w:t>Point-</w:t>
      </w:r>
      <w:r w:rsidRPr="00C37314">
        <w:rPr>
          <w:lang w:val="en-GB"/>
        </w:rPr>
        <w:t>to</w:t>
      </w:r>
      <w:r w:rsidR="00CE66FD">
        <w:rPr>
          <w:lang w:val="en-GB"/>
        </w:rPr>
        <w:t>-</w:t>
      </w:r>
      <w:r w:rsidRPr="00C37314">
        <w:rPr>
          <w:lang w:val="en-GB"/>
        </w:rPr>
        <w:t>point topology</w:t>
      </w:r>
      <w:bookmarkEnd w:id="47"/>
      <w:bookmarkEnd w:id="48"/>
      <w:bookmarkEnd w:id="49"/>
    </w:p>
    <w:p w:rsidR="005A1005" w:rsidRPr="00C37314" w:rsidRDefault="005A1005" w:rsidP="00CE66FD">
      <w:pPr>
        <w:rPr>
          <w:lang w:val="en-GB" w:eastAsia="ja-JP"/>
        </w:rPr>
      </w:pPr>
      <w:r w:rsidRPr="00C37314">
        <w:rPr>
          <w:lang w:val="en-GB"/>
        </w:rPr>
        <w:t>In th</w:t>
      </w:r>
      <w:r w:rsidRPr="00C37314">
        <w:rPr>
          <w:lang w:val="en-GB" w:eastAsia="ja-JP"/>
        </w:rPr>
        <w:t>is topology, only two earth stations on a point</w:t>
      </w:r>
      <w:r w:rsidR="00CE66FD">
        <w:rPr>
          <w:lang w:val="en-GB" w:eastAsia="ja-JP"/>
        </w:rPr>
        <w:t>-</w:t>
      </w:r>
      <w:r w:rsidRPr="00C37314">
        <w:rPr>
          <w:lang w:val="en-GB" w:eastAsia="ja-JP"/>
        </w:rPr>
        <w:t>to</w:t>
      </w:r>
      <w:r w:rsidR="00CE66FD">
        <w:rPr>
          <w:lang w:val="en-GB" w:eastAsia="ja-JP"/>
        </w:rPr>
        <w:t>-</w:t>
      </w:r>
      <w:r w:rsidRPr="00C37314">
        <w:rPr>
          <w:lang w:val="en-GB" w:eastAsia="ja-JP"/>
        </w:rPr>
        <w:t>point connection are associated as depicted in Fig</w:t>
      </w:r>
      <w:r w:rsidR="00261B4A" w:rsidRPr="00C37314">
        <w:rPr>
          <w:lang w:val="en-GB" w:eastAsia="ja-JP"/>
        </w:rPr>
        <w:t>.</w:t>
      </w:r>
      <w:r w:rsidRPr="00C37314">
        <w:rPr>
          <w:lang w:val="en-GB" w:eastAsia="ja-JP"/>
        </w:rPr>
        <w:t> 3. Either one end or both ends of the connections are VSATs. Basically, the</w:t>
      </w:r>
      <w:r w:rsidR="00261B4A" w:rsidRPr="00C37314">
        <w:rPr>
          <w:lang w:val="en-GB" w:eastAsia="ja-JP"/>
        </w:rPr>
        <w:t xml:space="preserve"> </w:t>
      </w:r>
      <w:r w:rsidRPr="00C37314">
        <w:rPr>
          <w:lang w:val="en-GB" w:eastAsia="ja-JP"/>
        </w:rPr>
        <w:t>frequency spectrum is not shared but dedicated to the connection and VSATs operate in stand-alone mode without control by other earth stations. However, one earth station plays a role of “master” earth</w:t>
      </w:r>
      <w:r w:rsidR="00261B4A" w:rsidRPr="00C37314">
        <w:rPr>
          <w:lang w:val="en-GB" w:eastAsia="ja-JP"/>
        </w:rPr>
        <w:t xml:space="preserve"> </w:t>
      </w:r>
      <w:r w:rsidRPr="00C37314">
        <w:rPr>
          <w:lang w:val="en-GB" w:eastAsia="ja-JP"/>
        </w:rPr>
        <w:t>station that controls the other earth station (“slave”) in some cases.</w:t>
      </w:r>
    </w:p>
    <w:p w:rsidR="005A1005" w:rsidRPr="00C37314" w:rsidRDefault="005A1005" w:rsidP="005A1005">
      <w:pPr>
        <w:pStyle w:val="FigureNo"/>
        <w:rPr>
          <w:lang w:val="en-GB"/>
        </w:rPr>
      </w:pPr>
      <w:r w:rsidRPr="00C37314">
        <w:rPr>
          <w:lang w:val="en-GB"/>
        </w:rPr>
        <w:lastRenderedPageBreak/>
        <w:t>Figure 3</w:t>
      </w:r>
    </w:p>
    <w:p w:rsidR="005A1005" w:rsidRDefault="005A1005" w:rsidP="00CE66FD">
      <w:pPr>
        <w:pStyle w:val="Figuretitle"/>
        <w:rPr>
          <w:lang w:val="en-GB"/>
        </w:rPr>
      </w:pPr>
      <w:r w:rsidRPr="00C37314">
        <w:rPr>
          <w:lang w:val="en-GB"/>
        </w:rPr>
        <w:t>Point</w:t>
      </w:r>
      <w:r w:rsidR="00CE66FD">
        <w:rPr>
          <w:lang w:val="en-GB"/>
        </w:rPr>
        <w:t>-</w:t>
      </w:r>
      <w:r w:rsidRPr="00C37314">
        <w:rPr>
          <w:lang w:val="en-GB"/>
        </w:rPr>
        <w:t>to</w:t>
      </w:r>
      <w:r w:rsidR="00CE66FD">
        <w:rPr>
          <w:lang w:val="en-GB"/>
        </w:rPr>
        <w:t>-</w:t>
      </w:r>
      <w:r w:rsidRPr="00C37314">
        <w:rPr>
          <w:lang w:val="en-GB"/>
        </w:rPr>
        <w:t>point topology</w:t>
      </w:r>
    </w:p>
    <w:p w:rsidR="00CF1A23" w:rsidRDefault="00CF1A23" w:rsidP="00CF1A23">
      <w:pPr>
        <w:pStyle w:val="Figure"/>
        <w:keepNext/>
        <w:rPr>
          <w:lang w:val="en-GB"/>
        </w:rPr>
      </w:pPr>
      <w:r>
        <w:rPr>
          <w:lang w:val="en-GB"/>
        </w:rPr>
        <w:object w:dxaOrig="4100" w:dyaOrig="2229">
          <v:shape id="_x0000_i1028" type="#_x0000_t75" style="width:339.5pt;height:184.5pt" o:ole="">
            <v:imagedata r:id="rId18" o:title=""/>
          </v:shape>
          <o:OLEObject Type="Embed" ProgID="CorelDRAW.Graphic.14" ShapeID="_x0000_i1028" DrawAspect="Content" ObjectID="_1450772900" r:id="rId19"/>
        </w:object>
      </w:r>
    </w:p>
    <w:p w:rsidR="00CF1A23" w:rsidRPr="00CF1A23" w:rsidRDefault="00CF1A23" w:rsidP="00CF1A23">
      <w:pPr>
        <w:pStyle w:val="Figurelegend"/>
        <w:rPr>
          <w:lang w:val="en-GB"/>
        </w:rPr>
      </w:pPr>
      <w:r w:rsidRPr="003A3778">
        <w:rPr>
          <w:lang w:val="en-US"/>
        </w:rPr>
        <w:t>(*)</w:t>
      </w:r>
      <w:r>
        <w:rPr>
          <w:lang w:val="en-US"/>
        </w:rPr>
        <w:tab/>
      </w:r>
      <w:r w:rsidRPr="00C908C7">
        <w:rPr>
          <w:lang w:val="en-US"/>
        </w:rPr>
        <w:t>Either one end or both ends of the point</w:t>
      </w:r>
      <w:r>
        <w:rPr>
          <w:lang w:val="en-US"/>
        </w:rPr>
        <w:t>-</w:t>
      </w:r>
      <w:r w:rsidRPr="00C908C7">
        <w:rPr>
          <w:lang w:val="en-US"/>
        </w:rPr>
        <w:t>to</w:t>
      </w:r>
      <w:r>
        <w:rPr>
          <w:lang w:val="en-US"/>
        </w:rPr>
        <w:t>-</w:t>
      </w:r>
      <w:r w:rsidRPr="00C908C7">
        <w:rPr>
          <w:lang w:val="en-US"/>
        </w:rPr>
        <w:t>point connection are VSATs</w:t>
      </w:r>
      <w:r w:rsidRPr="00C908C7">
        <w:rPr>
          <w:rFonts w:ascii="Arial" w:hAnsi="Arial" w:cs="Arial"/>
          <w:sz w:val="16"/>
          <w:szCs w:val="16"/>
          <w:lang w:val="en-US"/>
        </w:rPr>
        <w:t>.</w:t>
      </w:r>
    </w:p>
    <w:p w:rsidR="005A1005" w:rsidRPr="00C37314" w:rsidRDefault="005A1005" w:rsidP="005A1005">
      <w:pPr>
        <w:pStyle w:val="Heading1"/>
        <w:rPr>
          <w:lang w:val="en-GB" w:eastAsia="ja-JP"/>
        </w:rPr>
      </w:pPr>
      <w:bookmarkStart w:id="50" w:name="_Toc372898978"/>
      <w:bookmarkStart w:id="51" w:name="_Toc373828465"/>
      <w:bookmarkStart w:id="52" w:name="_Toc376852991"/>
      <w:r w:rsidRPr="00C37314">
        <w:rPr>
          <w:lang w:val="en-GB" w:eastAsia="ja-JP"/>
        </w:rPr>
        <w:t>4</w:t>
      </w:r>
      <w:r w:rsidRPr="00C37314">
        <w:rPr>
          <w:lang w:val="en-GB" w:eastAsia="ja-JP"/>
        </w:rPr>
        <w:tab/>
        <w:t>Features of operation of VSATs</w:t>
      </w:r>
      <w:bookmarkEnd w:id="50"/>
      <w:bookmarkEnd w:id="51"/>
      <w:bookmarkEnd w:id="52"/>
    </w:p>
    <w:p w:rsidR="005A1005" w:rsidRPr="00C37314" w:rsidRDefault="005A1005" w:rsidP="005A1005">
      <w:pPr>
        <w:rPr>
          <w:lang w:val="en-GB" w:eastAsia="ja-JP"/>
        </w:rPr>
      </w:pPr>
      <w:r w:rsidRPr="00C37314">
        <w:rPr>
          <w:lang w:val="en-GB" w:eastAsia="ja-JP"/>
        </w:rPr>
        <w:t>In association with the combination of network topologies mentioned above, the following elements are described in this section:</w:t>
      </w:r>
    </w:p>
    <w:p w:rsidR="005A1005" w:rsidRPr="00C37314" w:rsidRDefault="005A1005" w:rsidP="005A1005">
      <w:pPr>
        <w:pStyle w:val="enumlev1"/>
        <w:rPr>
          <w:lang w:val="en-GB"/>
        </w:rPr>
      </w:pPr>
      <w:r w:rsidRPr="00C37314">
        <w:rPr>
          <w:lang w:val="en-GB"/>
        </w:rPr>
        <w:t>i)</w:t>
      </w:r>
      <w:r w:rsidRPr="00C37314">
        <w:rPr>
          <w:lang w:val="en-GB"/>
        </w:rPr>
        <w:tab/>
        <w:t>initialization of the operation of a VSAT;</w:t>
      </w:r>
    </w:p>
    <w:p w:rsidR="005A1005" w:rsidRPr="00C37314" w:rsidRDefault="005A1005" w:rsidP="005A1005">
      <w:pPr>
        <w:pStyle w:val="enumlev1"/>
        <w:rPr>
          <w:lang w:val="en-GB"/>
        </w:rPr>
      </w:pPr>
      <w:r w:rsidRPr="00C37314">
        <w:rPr>
          <w:lang w:val="en-GB"/>
        </w:rPr>
        <w:t>ii)</w:t>
      </w:r>
      <w:r w:rsidRPr="00C37314">
        <w:rPr>
          <w:lang w:val="en-GB"/>
        </w:rPr>
        <w:tab/>
        <w:t>control and monitoring functions during the operation of a VSAT;</w:t>
      </w:r>
    </w:p>
    <w:p w:rsidR="005A1005" w:rsidRPr="00C37314" w:rsidRDefault="005A1005" w:rsidP="005A1005">
      <w:pPr>
        <w:pStyle w:val="enumlev1"/>
        <w:rPr>
          <w:lang w:val="en-GB"/>
        </w:rPr>
      </w:pPr>
      <w:r w:rsidRPr="00C37314">
        <w:rPr>
          <w:lang w:val="en-GB"/>
        </w:rPr>
        <w:t>iii)</w:t>
      </w:r>
      <w:r w:rsidRPr="00C37314">
        <w:rPr>
          <w:lang w:val="en-GB"/>
        </w:rPr>
        <w:tab/>
        <w:t>other control and monitoring functions (management of the profiles of VSATs (location, satellite beam contour and beam handover), dynamic power control fun</w:t>
      </w:r>
      <w:r w:rsidR="00261B4A" w:rsidRPr="00C37314">
        <w:rPr>
          <w:lang w:val="en-GB"/>
        </w:rPr>
        <w:t xml:space="preserve">ction during the operation of a </w:t>
      </w:r>
      <w:r w:rsidRPr="00C37314">
        <w:rPr>
          <w:lang w:val="en-GB"/>
        </w:rPr>
        <w:t>VSAT and adaptive coding and modulation (ACM) function).</w:t>
      </w:r>
    </w:p>
    <w:p w:rsidR="005A1005" w:rsidRPr="00C37314" w:rsidRDefault="005A1005" w:rsidP="005A1005">
      <w:pPr>
        <w:pStyle w:val="Heading2"/>
        <w:rPr>
          <w:lang w:val="en-GB"/>
        </w:rPr>
      </w:pPr>
      <w:bookmarkStart w:id="53" w:name="_Toc372898979"/>
      <w:bookmarkStart w:id="54" w:name="_Toc373828466"/>
      <w:bookmarkStart w:id="55" w:name="_Toc376852992"/>
      <w:r w:rsidRPr="00C37314">
        <w:rPr>
          <w:lang w:val="en-GB" w:eastAsia="ja-JP"/>
        </w:rPr>
        <w:t>4.1</w:t>
      </w:r>
      <w:r w:rsidRPr="00C37314">
        <w:rPr>
          <w:lang w:val="en-GB"/>
        </w:rPr>
        <w:tab/>
      </w:r>
      <w:r w:rsidRPr="00C37314">
        <w:rPr>
          <w:lang w:val="en-GB" w:eastAsia="ja-JP"/>
        </w:rPr>
        <w:t xml:space="preserve">Initialization of </w:t>
      </w:r>
      <w:r w:rsidRPr="00C37314">
        <w:rPr>
          <w:lang w:val="en-GB"/>
        </w:rPr>
        <w:t>the operation of a VSAT</w:t>
      </w:r>
      <w:bookmarkEnd w:id="53"/>
      <w:bookmarkEnd w:id="54"/>
      <w:bookmarkEnd w:id="55"/>
    </w:p>
    <w:p w:rsidR="005A1005" w:rsidRPr="00C37314" w:rsidRDefault="005A1005" w:rsidP="005A1005">
      <w:pPr>
        <w:rPr>
          <w:lang w:val="en-GB" w:eastAsia="ja-JP"/>
        </w:rPr>
      </w:pPr>
      <w:r w:rsidRPr="00C37314">
        <w:rPr>
          <w:lang w:val="en-GB" w:eastAsia="ja-JP"/>
        </w:rPr>
        <w:t>When a VSAT is powered on, its operational status is assessed by both the NCMC as well as the command processor on the terminal.</w:t>
      </w:r>
      <w:r w:rsidR="0021424A" w:rsidRPr="00C37314">
        <w:rPr>
          <w:lang w:val="en-GB" w:eastAsia="ja-JP"/>
        </w:rPr>
        <w:t xml:space="preserve"> </w:t>
      </w:r>
      <w:r w:rsidRPr="00C37314">
        <w:rPr>
          <w:lang w:val="en-GB" w:eastAsia="ja-JP"/>
        </w:rPr>
        <w:t>The VSAT transmission is enabled when the following conditions are met:</w:t>
      </w:r>
    </w:p>
    <w:p w:rsidR="005A1005" w:rsidRPr="00C37314" w:rsidRDefault="005A1005" w:rsidP="005A1005">
      <w:pPr>
        <w:pStyle w:val="enumlev1"/>
        <w:rPr>
          <w:lang w:val="en-GB" w:eastAsia="ja-JP"/>
        </w:rPr>
      </w:pPr>
      <w:r w:rsidRPr="00C37314">
        <w:rPr>
          <w:lang w:val="en-GB" w:eastAsia="ja-JP"/>
        </w:rPr>
        <w:t>i)</w:t>
      </w:r>
      <w:r w:rsidRPr="00C37314">
        <w:rPr>
          <w:lang w:val="en-GB" w:eastAsia="ja-JP"/>
        </w:rPr>
        <w:tab/>
        <w:t>the VSAT determines that it is correctly receiving and interpreting a specified command signal generated by the NCMC;</w:t>
      </w:r>
    </w:p>
    <w:p w:rsidR="005A1005" w:rsidRPr="00C37314" w:rsidRDefault="005A1005" w:rsidP="005A1005">
      <w:pPr>
        <w:pStyle w:val="enumlev1"/>
        <w:rPr>
          <w:lang w:val="en-GB" w:eastAsia="ja-JP"/>
        </w:rPr>
      </w:pPr>
      <w:r w:rsidRPr="00C37314">
        <w:rPr>
          <w:lang w:val="en-GB" w:eastAsia="ja-JP"/>
        </w:rPr>
        <w:t>ii)</w:t>
      </w:r>
      <w:r w:rsidRPr="00C37314">
        <w:rPr>
          <w:lang w:val="en-GB" w:eastAsia="ja-JP"/>
        </w:rPr>
        <w:tab/>
        <w:t>the VSAT confirms that no faults have been detected that could result in harmful interference;</w:t>
      </w:r>
    </w:p>
    <w:p w:rsidR="005A1005" w:rsidRPr="00C37314" w:rsidRDefault="005A1005" w:rsidP="005A1005">
      <w:pPr>
        <w:pStyle w:val="enumlev1"/>
        <w:rPr>
          <w:lang w:val="en-GB" w:eastAsia="ja-JP"/>
        </w:rPr>
      </w:pPr>
      <w:r w:rsidRPr="00C37314">
        <w:rPr>
          <w:lang w:val="en-GB" w:eastAsia="ja-JP"/>
        </w:rPr>
        <w:t>iii)</w:t>
      </w:r>
      <w:r w:rsidRPr="00C37314">
        <w:rPr>
          <w:lang w:val="en-GB" w:eastAsia="ja-JP"/>
        </w:rPr>
        <w:tab/>
        <w:t>the initial transmission parameters such as frequency, power, modulation, timing and coding schemes and so forth are in compliance with expected performance.</w:t>
      </w:r>
    </w:p>
    <w:p w:rsidR="005A1005" w:rsidRPr="00C37314" w:rsidRDefault="005A1005" w:rsidP="001E3236">
      <w:pPr>
        <w:rPr>
          <w:lang w:val="en-GB" w:eastAsia="ja-JP"/>
        </w:rPr>
      </w:pPr>
      <w:r w:rsidRPr="00C37314">
        <w:rPr>
          <w:lang w:val="en-GB" w:eastAsia="ja-JP"/>
        </w:rPr>
        <w:t>Conditions i) and iii) are not applicable in a point-to-point topology when a VSAT operates in a</w:t>
      </w:r>
      <w:r w:rsidR="001E3236" w:rsidRPr="00C37314">
        <w:rPr>
          <w:lang w:val="en-GB" w:eastAsia="ja-JP"/>
        </w:rPr>
        <w:t xml:space="preserve"> </w:t>
      </w:r>
      <w:r w:rsidRPr="00C37314">
        <w:rPr>
          <w:lang w:val="en-GB" w:eastAsia="ja-JP"/>
        </w:rPr>
        <w:t>stand-alone mode.</w:t>
      </w:r>
    </w:p>
    <w:p w:rsidR="005A1005" w:rsidRPr="00C37314" w:rsidRDefault="005A1005" w:rsidP="005A1005">
      <w:pPr>
        <w:rPr>
          <w:lang w:val="en-GB" w:eastAsia="ja-JP"/>
        </w:rPr>
      </w:pPr>
      <w:r w:rsidRPr="00C37314">
        <w:rPr>
          <w:lang w:val="en-GB" w:eastAsia="ja-JP"/>
        </w:rPr>
        <w:t>In determining the initial transmission parameters of a VSAT, the NCMC may take into account some of the following profiles:</w:t>
      </w:r>
    </w:p>
    <w:p w:rsidR="005A1005" w:rsidRPr="00C37314" w:rsidRDefault="005A1005" w:rsidP="005A1005">
      <w:pPr>
        <w:pStyle w:val="enumlev1"/>
        <w:rPr>
          <w:lang w:val="en-GB"/>
        </w:rPr>
      </w:pPr>
      <w:r w:rsidRPr="00C37314">
        <w:rPr>
          <w:lang w:val="en-GB"/>
        </w:rPr>
        <w:t>–</w:t>
      </w:r>
      <w:r w:rsidRPr="00C37314">
        <w:rPr>
          <w:lang w:val="en-GB"/>
        </w:rPr>
        <w:tab/>
        <w:t>geographical location of the VSAT (to establish transmission timing, propagation loss and if the terminal is authorized for operation at that location);</w:t>
      </w:r>
    </w:p>
    <w:p w:rsidR="005A1005" w:rsidRPr="00C37314" w:rsidRDefault="005A1005" w:rsidP="005A1005">
      <w:pPr>
        <w:pStyle w:val="enumlev1"/>
        <w:rPr>
          <w:lang w:val="en-GB"/>
        </w:rPr>
      </w:pPr>
      <w:r w:rsidRPr="00C37314">
        <w:rPr>
          <w:lang w:val="en-GB"/>
        </w:rPr>
        <w:t>–</w:t>
      </w:r>
      <w:r w:rsidRPr="00C37314">
        <w:rPr>
          <w:lang w:val="en-GB"/>
        </w:rPr>
        <w:tab/>
        <w:t>satellite gain in the direction of the VSAT (to determine transmission power towards and from the VSAT);</w:t>
      </w:r>
    </w:p>
    <w:p w:rsidR="005A1005" w:rsidRPr="00C37314" w:rsidRDefault="005A1005" w:rsidP="005A1005">
      <w:pPr>
        <w:pStyle w:val="enumlev1"/>
        <w:rPr>
          <w:lang w:val="en-GB"/>
        </w:rPr>
      </w:pPr>
      <w:r w:rsidRPr="00C37314">
        <w:rPr>
          <w:lang w:val="en-GB"/>
        </w:rPr>
        <w:t>–</w:t>
      </w:r>
      <w:r w:rsidRPr="00C37314">
        <w:rPr>
          <w:lang w:val="en-GB"/>
        </w:rPr>
        <w:tab/>
        <w:t>local rain statistics;</w:t>
      </w:r>
    </w:p>
    <w:p w:rsidR="005A1005" w:rsidRPr="00C37314" w:rsidRDefault="005A1005" w:rsidP="005A1005">
      <w:pPr>
        <w:pStyle w:val="enumlev1"/>
        <w:rPr>
          <w:lang w:val="en-GB"/>
        </w:rPr>
      </w:pPr>
      <w:r w:rsidRPr="00C37314">
        <w:rPr>
          <w:lang w:val="en-GB"/>
        </w:rPr>
        <w:lastRenderedPageBreak/>
        <w:t>–</w:t>
      </w:r>
      <w:r w:rsidRPr="00C37314">
        <w:rPr>
          <w:lang w:val="en-GB"/>
        </w:rPr>
        <w:tab/>
        <w:t>service subscription profiles of the VSAT (e.g. maximum transmission speed of outbound/inbound direction);</w:t>
      </w:r>
    </w:p>
    <w:p w:rsidR="005A1005" w:rsidRPr="00C37314" w:rsidRDefault="005A1005" w:rsidP="005A1005">
      <w:pPr>
        <w:pStyle w:val="enumlev1"/>
        <w:rPr>
          <w:lang w:val="en-GB"/>
        </w:rPr>
      </w:pPr>
      <w:r w:rsidRPr="00C37314">
        <w:rPr>
          <w:lang w:val="en-GB"/>
        </w:rPr>
        <w:t>–</w:t>
      </w:r>
      <w:r w:rsidRPr="00C37314">
        <w:rPr>
          <w:lang w:val="en-GB"/>
        </w:rPr>
        <w:tab/>
        <w:t>the current number of terminals already authorized or currently in operation (to prevent overloading of satellite resources).</w:t>
      </w:r>
    </w:p>
    <w:p w:rsidR="005A1005" w:rsidRPr="00C37314" w:rsidRDefault="005A1005" w:rsidP="005A1005">
      <w:pPr>
        <w:pStyle w:val="Heading2"/>
        <w:rPr>
          <w:lang w:val="en-GB"/>
        </w:rPr>
      </w:pPr>
      <w:bookmarkStart w:id="56" w:name="_Toc372898980"/>
      <w:bookmarkStart w:id="57" w:name="_Toc373828467"/>
      <w:bookmarkStart w:id="58" w:name="_Toc376852993"/>
      <w:r w:rsidRPr="00C37314">
        <w:rPr>
          <w:lang w:val="en-GB"/>
        </w:rPr>
        <w:t>4.2</w:t>
      </w:r>
      <w:r w:rsidRPr="00C37314">
        <w:rPr>
          <w:lang w:val="en-GB"/>
        </w:rPr>
        <w:tab/>
        <w:t>Control and monitoring functions during the operation of a VSAT</w:t>
      </w:r>
      <w:bookmarkEnd w:id="56"/>
      <w:bookmarkEnd w:id="57"/>
      <w:bookmarkEnd w:id="58"/>
    </w:p>
    <w:p w:rsidR="005A1005" w:rsidRPr="00C37314" w:rsidRDefault="005A1005" w:rsidP="00BE5B9C">
      <w:pPr>
        <w:rPr>
          <w:lang w:val="en-GB" w:eastAsia="ja-JP"/>
        </w:rPr>
      </w:pPr>
      <w:r w:rsidRPr="00C37314">
        <w:rPr>
          <w:lang w:val="en-GB" w:eastAsia="ja-JP"/>
        </w:rPr>
        <w:t>During its operation, the VSAT is continuously assessed by the NCMC and its own command processor for correct operation, and</w:t>
      </w:r>
      <w:r w:rsidRPr="00C37314">
        <w:rPr>
          <w:lang w:val="en-GB"/>
        </w:rPr>
        <w:t xml:space="preserve"> it </w:t>
      </w:r>
      <w:r w:rsidRPr="00C37314">
        <w:rPr>
          <w:lang w:val="en-GB" w:eastAsia="ja-JP"/>
        </w:rPr>
        <w:t xml:space="preserve">is usually </w:t>
      </w:r>
      <w:r w:rsidRPr="00C37314">
        <w:rPr>
          <w:lang w:val="en-GB"/>
        </w:rPr>
        <w:t xml:space="preserve">possible for the </w:t>
      </w:r>
      <w:r w:rsidRPr="00C37314">
        <w:rPr>
          <w:lang w:val="en-GB" w:eastAsia="ja-JP"/>
        </w:rPr>
        <w:t xml:space="preserve">NCMC </w:t>
      </w:r>
      <w:r w:rsidRPr="00C37314">
        <w:rPr>
          <w:lang w:val="en-GB"/>
        </w:rPr>
        <w:t>or an equivalent facility to</w:t>
      </w:r>
      <w:r w:rsidR="00BE5B9C">
        <w:rPr>
          <w:lang w:val="en-GB"/>
        </w:rPr>
        <w:t xml:space="preserve"> </w:t>
      </w:r>
      <w:r w:rsidRPr="00C37314">
        <w:rPr>
          <w:lang w:val="en-GB"/>
        </w:rPr>
        <w:t>monitor the health of a VSAT and to determine if a VSAT has failed.</w:t>
      </w:r>
    </w:p>
    <w:p w:rsidR="005A1005" w:rsidRPr="00C37314" w:rsidRDefault="005A1005" w:rsidP="005A1005">
      <w:pPr>
        <w:rPr>
          <w:lang w:val="en-GB" w:eastAsia="ja-JP"/>
        </w:rPr>
      </w:pPr>
      <w:r w:rsidRPr="00C37314">
        <w:rPr>
          <w:lang w:val="en-GB" w:eastAsia="ja-JP"/>
        </w:rPr>
        <w:t>The VSAT should cease its transmission when one of the following events occurs:</w:t>
      </w:r>
    </w:p>
    <w:p w:rsidR="005A1005" w:rsidRPr="00C37314" w:rsidRDefault="005A1005" w:rsidP="005A1005">
      <w:pPr>
        <w:pStyle w:val="enumlev1"/>
        <w:rPr>
          <w:lang w:val="en-GB" w:eastAsia="ja-JP"/>
        </w:rPr>
      </w:pPr>
      <w:r w:rsidRPr="00C37314">
        <w:rPr>
          <w:lang w:val="en-GB" w:eastAsia="ja-JP"/>
        </w:rPr>
        <w:t>i)</w:t>
      </w:r>
      <w:r w:rsidRPr="00C37314">
        <w:rPr>
          <w:lang w:val="en-GB" w:eastAsia="ja-JP"/>
        </w:rPr>
        <w:tab/>
        <w:t>the VSAT loses the control carrier from the NCMC;</w:t>
      </w:r>
      <w:r w:rsidRPr="00C37314">
        <w:rPr>
          <w:rStyle w:val="FootnoteReference"/>
          <w:lang w:val="en-GB" w:eastAsia="ja-JP"/>
        </w:rPr>
        <w:footnoteReference w:id="1"/>
      </w:r>
    </w:p>
    <w:p w:rsidR="005A1005" w:rsidRPr="00C37314" w:rsidRDefault="005A1005" w:rsidP="005A1005">
      <w:pPr>
        <w:pStyle w:val="enumlev1"/>
        <w:rPr>
          <w:lang w:val="en-GB" w:eastAsia="ja-JP"/>
        </w:rPr>
      </w:pPr>
      <w:r w:rsidRPr="00C37314">
        <w:rPr>
          <w:lang w:val="en-GB" w:eastAsia="ja-JP"/>
        </w:rPr>
        <w:t>ii)</w:t>
      </w:r>
      <w:r w:rsidRPr="00C37314">
        <w:rPr>
          <w:lang w:val="en-GB" w:eastAsia="ja-JP"/>
        </w:rPr>
        <w:tab/>
        <w:t>the VSAT detects a fault that could result in harmful interference being produced;</w:t>
      </w:r>
      <w:r w:rsidRPr="00C37314">
        <w:rPr>
          <w:rStyle w:val="FootnoteReference"/>
          <w:lang w:val="en-GB" w:eastAsia="ja-JP"/>
        </w:rPr>
        <w:footnoteReference w:id="2"/>
      </w:r>
    </w:p>
    <w:p w:rsidR="005A1005" w:rsidRPr="00C37314" w:rsidRDefault="005A1005" w:rsidP="005A1005">
      <w:pPr>
        <w:pStyle w:val="enumlev1"/>
        <w:rPr>
          <w:lang w:val="en-GB" w:eastAsia="ja-JP"/>
        </w:rPr>
      </w:pPr>
      <w:r w:rsidRPr="00C37314">
        <w:rPr>
          <w:lang w:val="en-GB" w:eastAsia="ja-JP"/>
        </w:rPr>
        <w:t>iii)</w:t>
      </w:r>
      <w:r w:rsidRPr="00C37314">
        <w:rPr>
          <w:lang w:val="en-GB" w:eastAsia="ja-JP"/>
        </w:rPr>
        <w:tab/>
        <w:t>a command is received from the NCMC that directs the VSAT to change the transmit frequency;</w:t>
      </w:r>
      <w:r w:rsidRPr="00C37314">
        <w:rPr>
          <w:vertAlign w:val="superscript"/>
          <w:lang w:val="en-GB" w:eastAsia="ja-JP"/>
        </w:rPr>
        <w:t>1</w:t>
      </w:r>
    </w:p>
    <w:p w:rsidR="005A1005" w:rsidRPr="00C37314" w:rsidRDefault="005A1005" w:rsidP="005A1005">
      <w:pPr>
        <w:pStyle w:val="enumlev1"/>
        <w:rPr>
          <w:lang w:val="en-GB" w:eastAsia="ja-JP"/>
        </w:rPr>
      </w:pPr>
      <w:r w:rsidRPr="00C37314">
        <w:rPr>
          <w:lang w:val="en-GB" w:eastAsia="ja-JP"/>
        </w:rPr>
        <w:t>iv)</w:t>
      </w:r>
      <w:r w:rsidRPr="00C37314">
        <w:rPr>
          <w:lang w:val="en-GB" w:eastAsia="ja-JP"/>
        </w:rPr>
        <w:tab/>
      </w:r>
      <w:r w:rsidRPr="00C37314">
        <w:rPr>
          <w:lang w:val="en-GB" w:eastAsia="ko-KR"/>
        </w:rPr>
        <w:t>the angle between the orbital location of the target satellite and the axis of the main lobe of the VSAT antenna exceeds</w:t>
      </w:r>
      <w:r w:rsidRPr="00C37314">
        <w:rPr>
          <w:lang w:val="en-GB" w:eastAsia="ja-JP"/>
        </w:rPr>
        <w:t xml:space="preserve"> allowed limits;</w:t>
      </w:r>
    </w:p>
    <w:p w:rsidR="005A1005" w:rsidRPr="00C37314" w:rsidRDefault="005A1005" w:rsidP="005A1005">
      <w:pPr>
        <w:pStyle w:val="enumlev1"/>
        <w:rPr>
          <w:lang w:val="en-GB" w:eastAsia="ja-JP"/>
        </w:rPr>
      </w:pPr>
      <w:r w:rsidRPr="00C37314">
        <w:rPr>
          <w:lang w:val="en-GB" w:eastAsia="ja-JP"/>
        </w:rPr>
        <w:t>v)</w:t>
      </w:r>
      <w:r w:rsidRPr="00C37314">
        <w:rPr>
          <w:lang w:val="en-GB" w:eastAsia="ja-JP"/>
        </w:rPr>
        <w:tab/>
        <w:t xml:space="preserve">the VSAT has been relocated to a geographic area where it does not have administrative permission to operate. </w:t>
      </w:r>
    </w:p>
    <w:p w:rsidR="005A1005" w:rsidRPr="00C37314" w:rsidRDefault="005A1005" w:rsidP="005A1005">
      <w:pPr>
        <w:rPr>
          <w:lang w:val="en-GB"/>
        </w:rPr>
      </w:pPr>
      <w:r w:rsidRPr="00C37314">
        <w:rPr>
          <w:lang w:val="en-GB" w:eastAsia="ja-JP"/>
        </w:rPr>
        <w:t xml:space="preserve">The VSAT </w:t>
      </w:r>
      <w:r w:rsidRPr="00C37314">
        <w:rPr>
          <w:lang w:val="en-GB"/>
        </w:rPr>
        <w:t xml:space="preserve">may resume transmission once the issue that caused the shutdown as listed above </w:t>
      </w:r>
      <w:r w:rsidRPr="00C37314">
        <w:rPr>
          <w:lang w:val="en-GB" w:eastAsia="ja-JP"/>
        </w:rPr>
        <w:t>has been cleared.</w:t>
      </w:r>
      <w:r w:rsidRPr="00C37314" w:rsidDel="00237D46">
        <w:rPr>
          <w:lang w:val="en-GB" w:eastAsia="ja-JP"/>
        </w:rPr>
        <w:t xml:space="preserve"> </w:t>
      </w:r>
      <w:r w:rsidRPr="00C37314">
        <w:rPr>
          <w:lang w:val="en-GB" w:eastAsia="ja-JP"/>
        </w:rPr>
        <w:t xml:space="preserve">However, a VSAT network with “point-to-point topology” and stand-alone VSAT operation may </w:t>
      </w:r>
      <w:r w:rsidRPr="00C37314">
        <w:rPr>
          <w:lang w:val="en-GB"/>
        </w:rPr>
        <w:t>continue transmission</w:t>
      </w:r>
      <w:r w:rsidRPr="00C37314">
        <w:rPr>
          <w:lang w:val="en-GB" w:eastAsia="ja-JP"/>
        </w:rPr>
        <w:t xml:space="preserve"> after its local malfunction is cleared without receiving the carrier from the other VSAT </w:t>
      </w:r>
      <w:r w:rsidRPr="00C37314">
        <w:rPr>
          <w:lang w:val="en-GB"/>
        </w:rPr>
        <w:t>because otherwise the network will never restore after rain fades if both sides stop transmission.</w:t>
      </w:r>
    </w:p>
    <w:p w:rsidR="005A1005" w:rsidRPr="00C37314" w:rsidRDefault="005A1005" w:rsidP="00261B4A">
      <w:pPr>
        <w:rPr>
          <w:lang w:val="en-GB"/>
        </w:rPr>
      </w:pPr>
      <w:r w:rsidRPr="00C37314">
        <w:rPr>
          <w:lang w:val="en-GB"/>
        </w:rPr>
        <w:t>In addition, the VSAT should accept the commands for “enable transmission”/“disable transmission” from the NCMC or an equivalent facility (e.g. in a case of emergency).</w:t>
      </w:r>
    </w:p>
    <w:p w:rsidR="005A1005" w:rsidRPr="00C37314" w:rsidRDefault="005A1005" w:rsidP="00261B4A">
      <w:pPr>
        <w:pStyle w:val="Heading2"/>
        <w:rPr>
          <w:lang w:val="en-GB"/>
        </w:rPr>
      </w:pPr>
      <w:bookmarkStart w:id="59" w:name="_Toc372898981"/>
      <w:bookmarkStart w:id="60" w:name="_Toc373828468"/>
      <w:bookmarkStart w:id="61" w:name="_Toc376852994"/>
      <w:r w:rsidRPr="00C37314">
        <w:rPr>
          <w:lang w:val="en-GB"/>
        </w:rPr>
        <w:lastRenderedPageBreak/>
        <w:t>4.3</w:t>
      </w:r>
      <w:r w:rsidRPr="00C37314">
        <w:rPr>
          <w:lang w:val="en-GB"/>
        </w:rPr>
        <w:tab/>
        <w:t>Other control and monitoring functions</w:t>
      </w:r>
      <w:bookmarkEnd w:id="59"/>
      <w:bookmarkEnd w:id="60"/>
      <w:bookmarkEnd w:id="61"/>
    </w:p>
    <w:p w:rsidR="005A1005" w:rsidRPr="00C37314" w:rsidRDefault="005A1005" w:rsidP="00261B4A">
      <w:pPr>
        <w:pStyle w:val="Heading3"/>
        <w:rPr>
          <w:lang w:val="en-GB" w:eastAsia="ja-JP"/>
        </w:rPr>
      </w:pPr>
      <w:bookmarkStart w:id="62" w:name="_Toc372898982"/>
      <w:bookmarkStart w:id="63" w:name="_Toc373828469"/>
      <w:bookmarkStart w:id="64" w:name="_Toc376852995"/>
      <w:r w:rsidRPr="00C37314">
        <w:rPr>
          <w:lang w:val="en-GB" w:eastAsia="ja-JP"/>
        </w:rPr>
        <w:t>4.3.1</w:t>
      </w:r>
      <w:r w:rsidRPr="00C37314">
        <w:rPr>
          <w:lang w:val="en-GB" w:eastAsia="ja-JP"/>
        </w:rPr>
        <w:tab/>
        <w:t>Management of the profiles of VSATs (location, satellite beam contour and beam handover)</w:t>
      </w:r>
      <w:bookmarkEnd w:id="62"/>
      <w:bookmarkEnd w:id="63"/>
      <w:bookmarkEnd w:id="64"/>
    </w:p>
    <w:p w:rsidR="005A1005" w:rsidRPr="00C37314" w:rsidRDefault="005A1005" w:rsidP="00261B4A">
      <w:pPr>
        <w:pStyle w:val="FigureNo"/>
        <w:rPr>
          <w:lang w:val="en-GB"/>
        </w:rPr>
      </w:pPr>
      <w:r w:rsidRPr="00C37314">
        <w:rPr>
          <w:lang w:val="en-GB"/>
        </w:rPr>
        <w:t>Figure 4</w:t>
      </w:r>
    </w:p>
    <w:p w:rsidR="005A1005" w:rsidRPr="00C37314" w:rsidRDefault="005A1005" w:rsidP="00261B4A">
      <w:pPr>
        <w:pStyle w:val="Figuretitle"/>
        <w:keepLines/>
        <w:rPr>
          <w:lang w:val="en-GB" w:eastAsia="ja-JP"/>
        </w:rPr>
      </w:pPr>
      <w:r w:rsidRPr="00C37314">
        <w:rPr>
          <w:lang w:val="en-GB" w:eastAsia="ja-JP"/>
        </w:rPr>
        <w:t>Management of the profiles of VSATs</w:t>
      </w:r>
    </w:p>
    <w:p w:rsidR="005A1005" w:rsidRPr="00C37314" w:rsidRDefault="00CF1A23" w:rsidP="00C41CD1">
      <w:pPr>
        <w:pStyle w:val="Figure"/>
        <w:rPr>
          <w:lang w:val="en-GB" w:eastAsia="ja-JP"/>
        </w:rPr>
      </w:pPr>
      <w:r>
        <w:rPr>
          <w:noProof/>
          <w:lang w:val="en-US" w:eastAsia="zh-CN"/>
        </w:rPr>
        <w:object w:dxaOrig="4626" w:dyaOrig="2457">
          <v:shape id="_x0000_i1029" type="#_x0000_t75" style="width:383pt;height:203.5pt" o:ole="">
            <v:imagedata r:id="rId20" o:title=""/>
          </v:shape>
          <o:OLEObject Type="Embed" ProgID="CorelDRAW.Graphic.14" ShapeID="_x0000_i1029" DrawAspect="Content" ObjectID="_1450772901" r:id="rId21"/>
        </w:object>
      </w:r>
    </w:p>
    <w:p w:rsidR="005A1005" w:rsidRPr="00C37314" w:rsidRDefault="005A1005" w:rsidP="005A1005">
      <w:pPr>
        <w:rPr>
          <w:lang w:val="en-GB" w:eastAsia="ja-JP"/>
        </w:rPr>
      </w:pPr>
      <w:r w:rsidRPr="00C37314">
        <w:rPr>
          <w:lang w:val="en-GB" w:eastAsia="ja-JP"/>
        </w:rPr>
        <w:t>For some types of VSAT, it may be useful for the NCMC to continuously manage the profiles of the VSAT such as geographical location and satellite beam contour since they may vary during its operation.</w:t>
      </w:r>
    </w:p>
    <w:p w:rsidR="005A1005" w:rsidRPr="00C37314" w:rsidRDefault="005A1005" w:rsidP="00703C2C">
      <w:pPr>
        <w:rPr>
          <w:lang w:val="en-GB" w:eastAsia="ja-JP"/>
        </w:rPr>
      </w:pPr>
      <w:r w:rsidRPr="00C37314">
        <w:rPr>
          <w:lang w:val="en-GB" w:eastAsia="ja-JP"/>
        </w:rPr>
        <w:t xml:space="preserve">If such a VSAT is relocated from one satellite beam to another, the commands from the NCMC direct the frequency and power in the new satellite beam in the manner described in condition iii) in </w:t>
      </w:r>
      <w:r w:rsidR="00703C2C" w:rsidRPr="00C37314">
        <w:rPr>
          <w:lang w:val="en-GB" w:eastAsia="ja-JP"/>
        </w:rPr>
        <w:t>§ </w:t>
      </w:r>
      <w:r w:rsidRPr="00C37314">
        <w:rPr>
          <w:lang w:val="en-GB" w:eastAsia="ja-JP"/>
        </w:rPr>
        <w:t>4.2. For example, if the VSAT is relocated from satellite beam #A to satellite beam #B as</w:t>
      </w:r>
      <w:r w:rsidR="00861D38" w:rsidRPr="00C37314">
        <w:rPr>
          <w:lang w:val="en-GB" w:eastAsia="ja-JP"/>
        </w:rPr>
        <w:t xml:space="preserve"> </w:t>
      </w:r>
      <w:r w:rsidRPr="00C37314">
        <w:rPr>
          <w:lang w:val="en-GB" w:eastAsia="ja-JP"/>
        </w:rPr>
        <w:t xml:space="preserve">shown in </w:t>
      </w:r>
      <w:r w:rsidR="00861D38" w:rsidRPr="00C37314">
        <w:rPr>
          <w:lang w:val="en-GB" w:eastAsia="ja-JP"/>
        </w:rPr>
        <w:t>Fig.</w:t>
      </w:r>
      <w:r w:rsidRPr="00C37314">
        <w:rPr>
          <w:lang w:val="en-GB" w:eastAsia="ja-JP"/>
        </w:rPr>
        <w:t xml:space="preserve"> 4, it ceases its transmission when the VSAT is located at the edge of satellite beam #A.</w:t>
      </w:r>
      <w:r w:rsidR="0021424A" w:rsidRPr="00C37314">
        <w:rPr>
          <w:lang w:val="en-GB" w:eastAsia="ja-JP"/>
        </w:rPr>
        <w:t xml:space="preserve"> </w:t>
      </w:r>
      <w:r w:rsidRPr="00C37314">
        <w:rPr>
          <w:lang w:val="en-GB" w:eastAsia="ja-JP"/>
        </w:rPr>
        <w:t>Subsequently, it may search and acquire the carrier from the NCMC in satellite beam #B and start its transmission. Alternatively, in order to minimize the service interruption due to the relocation, it may lock to the carrier in satellite beam #B before the carrier is reassigned from beam #A.</w:t>
      </w:r>
    </w:p>
    <w:p w:rsidR="005A1005" w:rsidRPr="00C37314" w:rsidRDefault="005A1005" w:rsidP="005A1005">
      <w:pPr>
        <w:pStyle w:val="Heading3"/>
        <w:rPr>
          <w:lang w:val="en-GB" w:eastAsia="ja-JP"/>
        </w:rPr>
      </w:pPr>
      <w:bookmarkStart w:id="65" w:name="_Toc372898983"/>
      <w:bookmarkStart w:id="66" w:name="_Toc373828470"/>
      <w:bookmarkStart w:id="67" w:name="_Toc376852996"/>
      <w:r w:rsidRPr="00C37314">
        <w:rPr>
          <w:lang w:val="en-GB" w:eastAsia="ja-JP"/>
        </w:rPr>
        <w:t>4.3.2</w:t>
      </w:r>
      <w:r w:rsidRPr="00C37314">
        <w:rPr>
          <w:lang w:val="en-GB" w:eastAsia="ja-JP"/>
        </w:rPr>
        <w:tab/>
        <w:t>Dynamic power control function during the operation of a VSAT</w:t>
      </w:r>
      <w:bookmarkEnd w:id="65"/>
      <w:bookmarkEnd w:id="66"/>
      <w:bookmarkEnd w:id="67"/>
    </w:p>
    <w:p w:rsidR="005A1005" w:rsidRPr="00C37314" w:rsidRDefault="005A1005" w:rsidP="005A1005">
      <w:pPr>
        <w:rPr>
          <w:lang w:val="en-GB" w:eastAsia="ja-JP"/>
        </w:rPr>
      </w:pPr>
      <w:r w:rsidRPr="00C37314">
        <w:rPr>
          <w:lang w:val="en-GB" w:eastAsia="ja-JP"/>
        </w:rPr>
        <w:t>In order to achieve the efficient use of transmission power of satellites and VSATs, dynamic power control mechanism</w:t>
      </w:r>
      <w:r w:rsidR="00CE66FD">
        <w:rPr>
          <w:lang w:val="en-GB" w:eastAsia="ja-JP"/>
        </w:rPr>
        <w:t>s</w:t>
      </w:r>
      <w:r w:rsidRPr="00C37314">
        <w:rPr>
          <w:lang w:val="en-GB" w:eastAsia="ja-JP"/>
        </w:rPr>
        <w:t xml:space="preserve"> may be employed.</w:t>
      </w:r>
    </w:p>
    <w:p w:rsidR="005A1005" w:rsidRPr="00C37314" w:rsidRDefault="005A1005" w:rsidP="00944E87">
      <w:pPr>
        <w:rPr>
          <w:lang w:val="en-GB" w:eastAsia="ko-KR"/>
        </w:rPr>
      </w:pPr>
      <w:r w:rsidRPr="00C37314">
        <w:rPr>
          <w:lang w:val="en-GB" w:eastAsia="ja-JP"/>
        </w:rPr>
        <w:t xml:space="preserve">Figure 5 shows an example of dynamic power control of a VSAT (in star topology). In this example, it is assumed that the uplink power of the hub earth station has already been properly adjusted in advance. The VSAT periodically measures the signal quality (e.g. </w:t>
      </w:r>
      <w:r w:rsidRPr="00C37314">
        <w:rPr>
          <w:i/>
          <w:iCs/>
          <w:lang w:val="en-GB" w:eastAsia="ja-JP"/>
        </w:rPr>
        <w:t>C</w:t>
      </w:r>
      <w:r w:rsidRPr="00C37314">
        <w:rPr>
          <w:lang w:val="en-GB" w:eastAsia="ja-JP"/>
        </w:rPr>
        <w:t>/</w:t>
      </w:r>
      <w:r w:rsidRPr="00C37314">
        <w:rPr>
          <w:i/>
          <w:iCs/>
          <w:lang w:val="en-GB" w:eastAsia="ja-JP"/>
        </w:rPr>
        <w:t>N</w:t>
      </w:r>
      <w:r w:rsidRPr="00C37314">
        <w:rPr>
          <w:lang w:val="en-GB" w:eastAsia="ja-JP"/>
        </w:rPr>
        <w:t>) of the outbound carrier and reports it to the NCMC. The NCMC determines the transmit power requirement of the</w:t>
      </w:r>
      <w:r w:rsidR="00944E87" w:rsidRPr="00C37314">
        <w:rPr>
          <w:lang w:val="en-GB" w:eastAsia="ja-JP"/>
        </w:rPr>
        <w:t xml:space="preserve"> </w:t>
      </w:r>
      <w:r w:rsidRPr="00C37314">
        <w:rPr>
          <w:lang w:val="en-GB" w:eastAsia="ja-JP"/>
        </w:rPr>
        <w:t>VSAT based on the quality report from the VSAT and its own measurement on the signal quality of the inbound carrier and command it to the VSAT accordingly. T</w:t>
      </w:r>
      <w:r w:rsidRPr="00C37314">
        <w:rPr>
          <w:lang w:val="en-GB" w:eastAsia="ko-KR"/>
        </w:rPr>
        <w:t>he VSAT will then carefully adjust its transmit power in order to avoid excess power emission.</w:t>
      </w:r>
    </w:p>
    <w:p w:rsidR="005A1005" w:rsidRPr="00C37314" w:rsidRDefault="005A1005" w:rsidP="005A1005">
      <w:pPr>
        <w:pStyle w:val="FigureNo"/>
        <w:rPr>
          <w:lang w:val="en-GB" w:eastAsia="ja-JP"/>
        </w:rPr>
      </w:pPr>
      <w:r w:rsidRPr="00C37314">
        <w:rPr>
          <w:lang w:val="en-GB"/>
        </w:rPr>
        <w:lastRenderedPageBreak/>
        <w:t>Figure </w:t>
      </w:r>
      <w:r w:rsidRPr="00C37314">
        <w:rPr>
          <w:lang w:val="en-GB" w:eastAsia="ja-JP"/>
        </w:rPr>
        <w:t>5</w:t>
      </w:r>
    </w:p>
    <w:p w:rsidR="005A1005" w:rsidRPr="00C37314" w:rsidRDefault="005A1005" w:rsidP="005A1005">
      <w:pPr>
        <w:pStyle w:val="Figuretitle"/>
        <w:rPr>
          <w:lang w:val="en-GB" w:eastAsia="ja-JP"/>
        </w:rPr>
      </w:pPr>
      <w:r w:rsidRPr="00C37314">
        <w:rPr>
          <w:lang w:val="en-GB" w:eastAsia="ja-JP"/>
        </w:rPr>
        <w:t>Example of dynamic power control (in star topology)</w:t>
      </w:r>
    </w:p>
    <w:p w:rsidR="005A1005" w:rsidRDefault="003A3778" w:rsidP="00C41CD1">
      <w:pPr>
        <w:pStyle w:val="Figure"/>
        <w:rPr>
          <w:lang w:val="en-GB" w:eastAsia="ja-JP"/>
        </w:rPr>
      </w:pPr>
      <w:r>
        <w:rPr>
          <w:noProof/>
          <w:lang w:val="en-US" w:eastAsia="zh-CN"/>
        </w:rPr>
        <w:object w:dxaOrig="8548" w:dyaOrig="3986">
          <v:shape id="_x0000_i1042" type="#_x0000_t75" style="width:402.5pt;height:187pt" o:ole="">
            <v:imagedata r:id="rId22" o:title=""/>
          </v:shape>
          <o:OLEObject Type="Embed" ProgID="CorelDRAW.Graphic.14" ShapeID="_x0000_i1042" DrawAspect="Content" ObjectID="_1450772902" r:id="rId23"/>
        </w:object>
      </w:r>
    </w:p>
    <w:p w:rsidR="005A1005" w:rsidRPr="00C37314" w:rsidRDefault="005A1005" w:rsidP="005A1005">
      <w:pPr>
        <w:pStyle w:val="Heading3"/>
        <w:rPr>
          <w:lang w:val="en-GB" w:eastAsia="ja-JP"/>
        </w:rPr>
      </w:pPr>
      <w:bookmarkStart w:id="68" w:name="_Toc372898984"/>
      <w:bookmarkStart w:id="69" w:name="_Toc373828471"/>
      <w:bookmarkStart w:id="70" w:name="_Toc376852997"/>
      <w:r w:rsidRPr="00C37314">
        <w:rPr>
          <w:lang w:val="en-GB" w:eastAsia="ja-JP"/>
        </w:rPr>
        <w:t>4.3.3</w:t>
      </w:r>
      <w:r w:rsidRPr="00C37314">
        <w:rPr>
          <w:lang w:val="en-GB" w:eastAsia="ja-JP"/>
        </w:rPr>
        <w:tab/>
        <w:t>Adaptive coding and modulation function</w:t>
      </w:r>
      <w:bookmarkEnd w:id="68"/>
      <w:bookmarkEnd w:id="69"/>
      <w:bookmarkEnd w:id="70"/>
    </w:p>
    <w:p w:rsidR="005A1005" w:rsidRPr="00C37314" w:rsidRDefault="005A1005" w:rsidP="00861D38">
      <w:pPr>
        <w:rPr>
          <w:lang w:val="en-GB" w:eastAsia="ko-KR"/>
        </w:rPr>
      </w:pPr>
      <w:r w:rsidRPr="00C37314">
        <w:rPr>
          <w:lang w:val="en-GB" w:eastAsia="ko-KR"/>
        </w:rPr>
        <w:t xml:space="preserve">In order to improve the link availability and spectral efficiency, the ACM function may be effective in a VSAT system. With ACM, a VSAT system can change its </w:t>
      </w:r>
      <w:r w:rsidRPr="00C37314">
        <w:rPr>
          <w:lang w:val="en-GB"/>
        </w:rPr>
        <w:t>modulation and coding (</w:t>
      </w:r>
      <w:r w:rsidRPr="00C37314">
        <w:rPr>
          <w:lang w:val="en-GB" w:eastAsia="ko-KR"/>
        </w:rPr>
        <w:t xml:space="preserve">MODCOD) </w:t>
      </w:r>
      <w:r w:rsidRPr="00C37314">
        <w:rPr>
          <w:lang w:val="en-GB"/>
        </w:rPr>
        <w:t>rates</w:t>
      </w:r>
      <w:r w:rsidRPr="00C37314">
        <w:rPr>
          <w:lang w:val="en-GB" w:eastAsia="ko-KR"/>
        </w:rPr>
        <w:t xml:space="preserve"> adaptively depending on the channel condition.</w:t>
      </w:r>
      <w:r w:rsidR="0021424A" w:rsidRPr="00C37314">
        <w:rPr>
          <w:lang w:val="en-GB" w:eastAsia="ko-KR"/>
        </w:rPr>
        <w:t xml:space="preserve"> </w:t>
      </w:r>
      <w:r w:rsidRPr="00C37314">
        <w:rPr>
          <w:lang w:val="en-GB" w:eastAsia="ko-KR"/>
        </w:rPr>
        <w:t>In clear sky conditions, a spectrally efficient MODCOD (e.g. 16APSK 4/5 FEC) is used, and in rain fading conditions, a more power-efficient MODCOD (e.g. QPSK ½ FEC) is used.</w:t>
      </w:r>
    </w:p>
    <w:p w:rsidR="005A1005" w:rsidRPr="00C37314" w:rsidRDefault="005A1005" w:rsidP="005A1005">
      <w:pPr>
        <w:rPr>
          <w:lang w:val="en-GB"/>
        </w:rPr>
      </w:pPr>
      <w:r w:rsidRPr="00C37314">
        <w:rPr>
          <w:lang w:val="en-GB" w:eastAsia="ko-KR"/>
        </w:rPr>
        <w:t>In order to implement adaptive rain fade compensation according to the channel conditions, it is required to predict the channel condition. For this purpose, an ACM control algorithm may also be combined with a dynamic power control algorithm.</w:t>
      </w:r>
      <w:r w:rsidR="0021424A" w:rsidRPr="00C37314">
        <w:rPr>
          <w:lang w:val="en-GB" w:eastAsia="ko-KR"/>
        </w:rPr>
        <w:t xml:space="preserve"> </w:t>
      </w:r>
      <w:r w:rsidRPr="00C37314">
        <w:rPr>
          <w:lang w:val="en-GB" w:eastAsia="ko-KR"/>
        </w:rPr>
        <w:t>The detailed ACM control algorithm is provided in Recommendation ITU-R S.1061.</w:t>
      </w:r>
    </w:p>
    <w:p w:rsidR="005A1005" w:rsidRPr="00C37314" w:rsidRDefault="005A1005" w:rsidP="00BE5B9C">
      <w:pPr>
        <w:rPr>
          <w:rFonts w:asciiTheme="majorBidi" w:hAnsiTheme="majorBidi" w:cstheme="majorBidi"/>
          <w:lang w:val="en-GB" w:eastAsia="ko-KR"/>
        </w:rPr>
      </w:pPr>
      <w:r w:rsidRPr="00C37314">
        <w:rPr>
          <w:lang w:val="en-GB" w:eastAsia="ja-JP"/>
        </w:rPr>
        <w:t xml:space="preserve">Figure </w:t>
      </w:r>
      <w:r w:rsidRPr="00C37314">
        <w:rPr>
          <w:lang w:val="en-GB" w:eastAsia="ko-KR"/>
        </w:rPr>
        <w:t>6</w:t>
      </w:r>
      <w:r w:rsidRPr="00C37314">
        <w:rPr>
          <w:lang w:val="en-GB" w:eastAsia="ja-JP"/>
        </w:rPr>
        <w:t xml:space="preserve"> shows an example of </w:t>
      </w:r>
      <w:r w:rsidRPr="00C37314">
        <w:rPr>
          <w:lang w:val="en-GB" w:eastAsia="ko-KR"/>
        </w:rPr>
        <w:t>ACM</w:t>
      </w:r>
      <w:r w:rsidRPr="00C37314">
        <w:rPr>
          <w:lang w:val="en-GB" w:eastAsia="ja-JP"/>
        </w:rPr>
        <w:t xml:space="preserve"> of a VSAT (in</w:t>
      </w:r>
      <w:r w:rsidR="00703C2C" w:rsidRPr="00C37314">
        <w:rPr>
          <w:lang w:val="en-GB" w:eastAsia="ja-JP"/>
        </w:rPr>
        <w:t xml:space="preserve"> </w:t>
      </w:r>
      <w:r w:rsidRPr="00C37314">
        <w:rPr>
          <w:lang w:val="en-GB" w:eastAsia="ja-JP"/>
        </w:rPr>
        <w:t>star topology). In</w:t>
      </w:r>
      <w:r w:rsidR="00BE5B9C">
        <w:rPr>
          <w:lang w:val="en-GB" w:eastAsia="ja-JP"/>
        </w:rPr>
        <w:t xml:space="preserve"> </w:t>
      </w:r>
      <w:r w:rsidRPr="00C37314">
        <w:rPr>
          <w:lang w:val="en-GB" w:eastAsia="ja-JP"/>
        </w:rPr>
        <w:t xml:space="preserve">this example, the VSAT periodically measures the </w:t>
      </w:r>
      <w:r w:rsidRPr="00C37314">
        <w:rPr>
          <w:lang w:val="en-GB" w:eastAsia="ko-KR"/>
        </w:rPr>
        <w:t>SNR</w:t>
      </w:r>
      <w:r w:rsidRPr="00C37314">
        <w:rPr>
          <w:lang w:val="en-GB" w:eastAsia="ja-JP"/>
        </w:rPr>
        <w:t xml:space="preserve"> of the outbound carrier and reports it to the NCMC. </w:t>
      </w:r>
      <w:r w:rsidRPr="00C37314">
        <w:rPr>
          <w:lang w:val="en-GB" w:eastAsia="ko-KR"/>
        </w:rPr>
        <w:t>Also t</w:t>
      </w:r>
      <w:r w:rsidRPr="00C37314">
        <w:rPr>
          <w:lang w:val="en-GB" w:eastAsia="ja-JP"/>
        </w:rPr>
        <w:t xml:space="preserve">he NCMC </w:t>
      </w:r>
      <w:r w:rsidRPr="00C37314">
        <w:rPr>
          <w:lang w:val="en-GB" w:eastAsia="ko-KR"/>
        </w:rPr>
        <w:t>measures the SNR of the inbound carrier and predicts the channel condition based on Recommendation ITU-R S.1061.</w:t>
      </w:r>
      <w:r w:rsidR="0021424A" w:rsidRPr="00C37314">
        <w:rPr>
          <w:lang w:val="en-GB" w:eastAsia="ko-KR"/>
        </w:rPr>
        <w:t xml:space="preserve"> </w:t>
      </w:r>
      <w:r w:rsidRPr="00C37314">
        <w:rPr>
          <w:lang w:val="en-GB" w:eastAsia="ko-KR"/>
        </w:rPr>
        <w:t xml:space="preserve">The NCMC </w:t>
      </w:r>
      <w:r w:rsidRPr="00C37314">
        <w:rPr>
          <w:lang w:val="en-GB" w:eastAsia="ja-JP"/>
        </w:rPr>
        <w:t xml:space="preserve">determines the </w:t>
      </w:r>
      <w:r w:rsidRPr="00C37314">
        <w:rPr>
          <w:lang w:val="en-GB" w:eastAsia="ko-KR"/>
        </w:rPr>
        <w:t>modulation schemes of the outbound and inbound carriers and finally changes its own MODCOD adaptively. Then, the NCMC commands the</w:t>
      </w:r>
      <w:r w:rsidRPr="00C37314">
        <w:rPr>
          <w:lang w:val="en-GB" w:eastAsia="ja-JP"/>
        </w:rPr>
        <w:t xml:space="preserve"> VSAT</w:t>
      </w:r>
      <w:r w:rsidRPr="00C37314">
        <w:rPr>
          <w:lang w:val="en-GB" w:eastAsia="ko-KR"/>
        </w:rPr>
        <w:t xml:space="preserve"> to change the MODCOD.</w:t>
      </w:r>
      <w:r w:rsidRPr="00C37314">
        <w:rPr>
          <w:lang w:val="en-GB" w:eastAsia="ja-JP"/>
        </w:rPr>
        <w:t xml:space="preserve"> </w:t>
      </w:r>
      <w:r w:rsidRPr="00C37314">
        <w:rPr>
          <w:lang w:val="en-GB" w:eastAsia="ko-KR"/>
        </w:rPr>
        <w:t>When implementing the ACM function, it should be taken into account that th</w:t>
      </w:r>
      <w:r w:rsidRPr="00C37314">
        <w:rPr>
          <w:rFonts w:asciiTheme="majorBidi" w:hAnsiTheme="majorBidi" w:cstheme="majorBidi"/>
          <w:lang w:val="en-GB" w:eastAsia="ko-KR"/>
        </w:rPr>
        <w:t>e MODCOD needs to be carefully adjusted in order to prevent packet loss caused by unwanted oscillation in choice of the MODCOD.</w:t>
      </w:r>
      <w:r w:rsidR="00F752B2">
        <w:rPr>
          <w:rFonts w:asciiTheme="majorBidi" w:hAnsiTheme="majorBidi" w:cstheme="majorBidi"/>
          <w:lang w:val="en-GB" w:eastAsia="ko-KR"/>
        </w:rPr>
        <w:t xml:space="preserve"> </w:t>
      </w:r>
    </w:p>
    <w:p w:rsidR="005A1005" w:rsidRPr="00C37314" w:rsidRDefault="005A1005" w:rsidP="00261B4A">
      <w:pPr>
        <w:pStyle w:val="FigureNo"/>
        <w:rPr>
          <w:lang w:val="en-GB" w:eastAsia="ko-KR"/>
        </w:rPr>
      </w:pPr>
      <w:r w:rsidRPr="00C37314">
        <w:rPr>
          <w:lang w:val="en-GB"/>
        </w:rPr>
        <w:lastRenderedPageBreak/>
        <w:t>Figure </w:t>
      </w:r>
      <w:r w:rsidRPr="00C37314">
        <w:rPr>
          <w:lang w:val="en-GB" w:eastAsia="ko-KR"/>
        </w:rPr>
        <w:t>6</w:t>
      </w:r>
    </w:p>
    <w:p w:rsidR="005A1005" w:rsidRPr="00C37314" w:rsidRDefault="005A1005" w:rsidP="00261B4A">
      <w:pPr>
        <w:pStyle w:val="Figuretitle"/>
        <w:keepLines/>
        <w:rPr>
          <w:lang w:val="en-GB"/>
        </w:rPr>
      </w:pPr>
      <w:r w:rsidRPr="00C37314">
        <w:rPr>
          <w:lang w:val="en-GB"/>
        </w:rPr>
        <w:t>Example of adaptive coding and modulation (in star topology)</w:t>
      </w:r>
    </w:p>
    <w:p w:rsidR="005A1005" w:rsidRPr="00C37314" w:rsidRDefault="003A3778" w:rsidP="00C41CD1">
      <w:pPr>
        <w:pStyle w:val="Figure"/>
        <w:rPr>
          <w:lang w:val="en-GB" w:eastAsia="ja-JP"/>
        </w:rPr>
      </w:pPr>
      <w:r>
        <w:rPr>
          <w:noProof/>
          <w:lang w:val="en-US" w:eastAsia="zh-CN"/>
        </w:rPr>
        <w:object w:dxaOrig="9236" w:dyaOrig="5319">
          <v:shape id="_x0000_i1054" type="#_x0000_t75" style="width:432.5pt;height:249.5pt" o:ole="">
            <v:imagedata r:id="rId24" o:title=""/>
          </v:shape>
          <o:OLEObject Type="Embed" ProgID="CorelDRAW.Graphic.14" ShapeID="_x0000_i1054" DrawAspect="Content" ObjectID="_1450772903" r:id="rId25"/>
        </w:object>
      </w:r>
    </w:p>
    <w:p w:rsidR="005A1005" w:rsidRPr="00C37314" w:rsidRDefault="005A1005" w:rsidP="005A1005">
      <w:pPr>
        <w:pStyle w:val="Heading1"/>
        <w:rPr>
          <w:lang w:val="en-GB" w:eastAsia="ja-JP"/>
        </w:rPr>
      </w:pPr>
      <w:bookmarkStart w:id="71" w:name="_Toc372898985"/>
      <w:bookmarkStart w:id="72" w:name="_Toc373828472"/>
      <w:bookmarkStart w:id="73" w:name="_Toc376852998"/>
      <w:r w:rsidRPr="00C37314">
        <w:rPr>
          <w:lang w:val="en-GB" w:eastAsia="ja-JP"/>
        </w:rPr>
        <w:t>5</w:t>
      </w:r>
      <w:r w:rsidRPr="00C37314">
        <w:rPr>
          <w:lang w:val="en-GB" w:eastAsia="ja-JP"/>
        </w:rPr>
        <w:tab/>
        <w:t>Conclusion</w:t>
      </w:r>
      <w:bookmarkEnd w:id="71"/>
      <w:bookmarkEnd w:id="72"/>
      <w:bookmarkEnd w:id="73"/>
    </w:p>
    <w:p w:rsidR="005A1005" w:rsidRPr="00C37314" w:rsidRDefault="005A1005" w:rsidP="005A1005">
      <w:pPr>
        <w:rPr>
          <w:lang w:val="en-GB"/>
        </w:rPr>
      </w:pPr>
      <w:r w:rsidRPr="00C37314">
        <w:rPr>
          <w:lang w:val="en-GB"/>
        </w:rPr>
        <w:t>This Report may be used as a guide for e.g. manufacturers, operators and regulators involved with building, using or authorizing VSAT networks.</w:t>
      </w:r>
    </w:p>
    <w:p w:rsidR="005A1005" w:rsidRDefault="005A1005" w:rsidP="005A1005">
      <w:pPr>
        <w:rPr>
          <w:lang w:val="en-GB"/>
        </w:rPr>
      </w:pPr>
    </w:p>
    <w:p w:rsidR="00D573B0" w:rsidRPr="00C37314" w:rsidRDefault="00D573B0" w:rsidP="005A1005">
      <w:pPr>
        <w:rPr>
          <w:lang w:val="en-GB"/>
        </w:rPr>
      </w:pPr>
    </w:p>
    <w:p w:rsidR="005A1005" w:rsidRPr="00C37314" w:rsidRDefault="005A1005" w:rsidP="005A1005">
      <w:pPr>
        <w:rPr>
          <w:lang w:val="en-GB"/>
        </w:rPr>
      </w:pPr>
    </w:p>
    <w:p w:rsidR="005A1005" w:rsidRPr="00C37314" w:rsidRDefault="005A1005" w:rsidP="00944E87">
      <w:pPr>
        <w:pStyle w:val="Line"/>
      </w:pPr>
    </w:p>
    <w:p w:rsidR="005A1005" w:rsidRPr="00C37314" w:rsidRDefault="005A1005" w:rsidP="005A1005">
      <w:pPr>
        <w:rPr>
          <w:lang w:val="en-GB"/>
        </w:rPr>
      </w:pPr>
    </w:p>
    <w:sectPr w:rsidR="005A1005" w:rsidRPr="00C37314" w:rsidSect="00644266">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005" w:rsidRDefault="005A1005">
      <w:r>
        <w:separator/>
      </w:r>
    </w:p>
  </w:endnote>
  <w:endnote w:type="continuationSeparator" w:id="0">
    <w:p w:rsidR="005A1005" w:rsidRDefault="005A1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CYR">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CYR">
    <w:altName w:val="Arial"/>
    <w:charset w:val="00"/>
    <w:family w:val="swiss"/>
    <w:pitch w:val="variable"/>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005" w:rsidRDefault="005A1005">
      <w:r>
        <w:separator/>
      </w:r>
    </w:p>
  </w:footnote>
  <w:footnote w:type="continuationSeparator" w:id="0">
    <w:p w:rsidR="005A1005" w:rsidRDefault="005A1005">
      <w:r>
        <w:continuationSeparator/>
      </w:r>
    </w:p>
  </w:footnote>
  <w:footnote w:id="1">
    <w:p w:rsidR="005A1005" w:rsidRPr="007C4FFF" w:rsidRDefault="005A1005" w:rsidP="005A1005">
      <w:pPr>
        <w:pStyle w:val="FootnoteText"/>
        <w:rPr>
          <w:lang w:val="en-US"/>
        </w:rPr>
      </w:pPr>
      <w:r w:rsidRPr="00D35FAC">
        <w:rPr>
          <w:rStyle w:val="FootnoteReference"/>
        </w:rPr>
        <w:footnoteRef/>
      </w:r>
      <w:r w:rsidRPr="00C908C7">
        <w:rPr>
          <w:lang w:val="en-US"/>
        </w:rPr>
        <w:t xml:space="preserve"> </w:t>
      </w:r>
      <w:r w:rsidRPr="00C908C7">
        <w:rPr>
          <w:lang w:val="en-US"/>
        </w:rPr>
        <w:tab/>
      </w:r>
      <w:r>
        <w:rPr>
          <w:lang w:val="en-US" w:eastAsia="ja-JP"/>
        </w:rPr>
        <w:t>In a point-to-</w:t>
      </w:r>
      <w:r w:rsidRPr="00D35FAC">
        <w:rPr>
          <w:lang w:val="en-US" w:eastAsia="ja-JP"/>
        </w:rPr>
        <w:t>point topology, when a VSAT operates in a stand-alone mode, this condition is not applicable. But, when one VSAT plays a role of “Master”, this condition may be applied.</w:t>
      </w:r>
    </w:p>
  </w:footnote>
  <w:footnote w:id="2">
    <w:p w:rsidR="005A1005" w:rsidRPr="007C4FFF" w:rsidRDefault="005A1005" w:rsidP="005A1005">
      <w:pPr>
        <w:pStyle w:val="FootnoteText"/>
        <w:rPr>
          <w:lang w:val="en-US"/>
        </w:rPr>
      </w:pPr>
      <w:r w:rsidRPr="007C4FFF">
        <w:rPr>
          <w:rStyle w:val="FootnoteReference"/>
        </w:rPr>
        <w:footnoteRef/>
      </w:r>
      <w:r w:rsidRPr="00C908C7">
        <w:rPr>
          <w:lang w:val="en-US"/>
        </w:rPr>
        <w:t xml:space="preserve"> </w:t>
      </w:r>
      <w:r w:rsidRPr="00C908C7">
        <w:rPr>
          <w:lang w:val="en-US"/>
        </w:rPr>
        <w:tab/>
      </w:r>
      <w:r w:rsidRPr="007C4FFF">
        <w:rPr>
          <w:lang w:val="en-US"/>
        </w:rPr>
        <w:t xml:space="preserve">Some faults that do not impact RF performance should not result in the disabling of the transmitter.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005" w:rsidRPr="006323E9" w:rsidRDefault="005A1005" w:rsidP="007166CD">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5909A0">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5909A0" w:rsidRPr="005909A0">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5909A0">
      <w:rPr>
        <w:b/>
        <w:bCs/>
        <w:noProof/>
      </w:rPr>
      <w:t>ITU-R  S.2278</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005" w:rsidRDefault="005A1005" w:rsidP="00B033C8">
    <w:pPr>
      <w:pStyle w:val="Header"/>
      <w:ind w:right="360" w:firstLine="360"/>
    </w:pPr>
    <w:r>
      <w:rPr>
        <w:noProof/>
        <w:lang w:val="en-US" w:eastAsia="zh-CN"/>
      </w:rPr>
      <w:drawing>
        <wp:anchor distT="0" distB="0" distL="114300" distR="114300" simplePos="0" relativeHeight="251659264" behindDoc="1" locked="0" layoutInCell="1" allowOverlap="1" wp14:anchorId="7F20320F" wp14:editId="112D6E6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6072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09A0">
      <w:rPr>
        <w:rStyle w:val="PageNumber"/>
        <w:b/>
        <w:bCs/>
        <w:noProof/>
        <w:lang w:val="en-US"/>
      </w:rPr>
      <w:t>14</w:t>
    </w:r>
    <w:r>
      <w:rPr>
        <w:rStyle w:val="PageNumber"/>
        <w:b/>
        <w:bCs/>
      </w:rPr>
      <w:fldChar w:fldCharType="end"/>
    </w:r>
    <w:r>
      <w:rPr>
        <w:lang w:val="en-US"/>
      </w:rPr>
      <w:tab/>
    </w:r>
    <w:r w:rsidR="006072FF">
      <w:fldChar w:fldCharType="begin"/>
    </w:r>
    <w:r w:rsidR="006072FF" w:rsidRPr="006323E9">
      <w:rPr>
        <w:lang w:val="en-US"/>
      </w:rPr>
      <w:instrText xml:space="preserve"> DOCPROPERTY "Header 2" \* MERGEFORMAT </w:instrText>
    </w:r>
    <w:r w:rsidR="006072FF">
      <w:fldChar w:fldCharType="separate"/>
    </w:r>
    <w:r w:rsidR="005909A0" w:rsidRPr="005909A0">
      <w:rPr>
        <w:b/>
        <w:bCs/>
        <w:lang w:val="en-US"/>
      </w:rPr>
      <w:t xml:space="preserve">Rep. </w:t>
    </w:r>
    <w:r w:rsidR="006072FF">
      <w:rPr>
        <w:b/>
        <w:bCs/>
        <w:lang w:val="en-US"/>
      </w:rPr>
      <w:fldChar w:fldCharType="end"/>
    </w:r>
    <w:r w:rsidR="006072FF" w:rsidRPr="006323E9">
      <w:rPr>
        <w:b/>
        <w:bCs/>
        <w:lang w:val="en-US"/>
      </w:rPr>
      <w:t xml:space="preserve"> </w:t>
    </w:r>
    <w:r>
      <w:rPr>
        <w:b/>
        <w:bCs/>
      </w:rPr>
      <w:fldChar w:fldCharType="begin"/>
    </w:r>
    <w:r>
      <w:rPr>
        <w:b/>
        <w:bCs/>
        <w:lang w:val="en-US"/>
      </w:rPr>
      <w:instrText>styleref href</w:instrText>
    </w:r>
    <w:r>
      <w:rPr>
        <w:b/>
        <w:bCs/>
      </w:rPr>
      <w:fldChar w:fldCharType="separate"/>
    </w:r>
    <w:r w:rsidR="005909A0">
      <w:rPr>
        <w:b/>
        <w:bCs/>
        <w:noProof/>
      </w:rPr>
      <w:t>ITU-R  S.2278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6072FF">
    <w:pPr>
      <w:pStyle w:val="Header"/>
    </w:pPr>
    <w:r>
      <w:tab/>
    </w:r>
    <w:r w:rsidR="006072FF">
      <w:fldChar w:fldCharType="begin"/>
    </w:r>
    <w:r w:rsidR="006072FF" w:rsidRPr="006323E9">
      <w:rPr>
        <w:lang w:val="en-US"/>
      </w:rPr>
      <w:instrText xml:space="preserve"> DOCPROPERTY "Header 2" \* MERGEFORMAT </w:instrText>
    </w:r>
    <w:r w:rsidR="006072FF">
      <w:fldChar w:fldCharType="separate"/>
    </w:r>
    <w:r w:rsidR="005909A0" w:rsidRPr="005909A0">
      <w:rPr>
        <w:b/>
        <w:bCs/>
        <w:lang w:val="en-US"/>
      </w:rPr>
      <w:t xml:space="preserve">Rep. </w:t>
    </w:r>
    <w:r w:rsidR="006072FF">
      <w:rPr>
        <w:b/>
        <w:bCs/>
        <w:lang w:val="en-US"/>
      </w:rPr>
      <w:fldChar w:fldCharType="end"/>
    </w:r>
    <w:r w:rsidR="006072FF" w:rsidRPr="006323E9">
      <w:rPr>
        <w:b/>
        <w:bCs/>
        <w:lang w:val="en-US"/>
      </w:rPr>
      <w:t xml:space="preserve"> </w:t>
    </w:r>
    <w:r>
      <w:rPr>
        <w:b/>
        <w:bCs/>
      </w:rPr>
      <w:fldChar w:fldCharType="begin"/>
    </w:r>
    <w:r>
      <w:rPr>
        <w:b/>
        <w:bCs/>
      </w:rPr>
      <w:instrText>styleref href</w:instrText>
    </w:r>
    <w:r>
      <w:rPr>
        <w:b/>
        <w:bCs/>
      </w:rPr>
      <w:fldChar w:fldCharType="separate"/>
    </w:r>
    <w:r w:rsidR="005909A0">
      <w:rPr>
        <w:b/>
        <w:bCs/>
        <w:noProof/>
      </w:rPr>
      <w:t>ITU-R  S.2278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09A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005"/>
    <w:rsid w:val="001E3236"/>
    <w:rsid w:val="0021424A"/>
    <w:rsid w:val="00217EBF"/>
    <w:rsid w:val="00240781"/>
    <w:rsid w:val="00242AEE"/>
    <w:rsid w:val="00261B4A"/>
    <w:rsid w:val="002D76C4"/>
    <w:rsid w:val="003A3778"/>
    <w:rsid w:val="00466D26"/>
    <w:rsid w:val="00495B43"/>
    <w:rsid w:val="0052529D"/>
    <w:rsid w:val="005909A0"/>
    <w:rsid w:val="005A1005"/>
    <w:rsid w:val="006072FF"/>
    <w:rsid w:val="00607D68"/>
    <w:rsid w:val="00644266"/>
    <w:rsid w:val="00695B7B"/>
    <w:rsid w:val="00703C2C"/>
    <w:rsid w:val="007468DA"/>
    <w:rsid w:val="00861D38"/>
    <w:rsid w:val="00890BC8"/>
    <w:rsid w:val="00944E87"/>
    <w:rsid w:val="0095733C"/>
    <w:rsid w:val="009A3D89"/>
    <w:rsid w:val="009E00A8"/>
    <w:rsid w:val="00A6617B"/>
    <w:rsid w:val="00AB0DC8"/>
    <w:rsid w:val="00B44E24"/>
    <w:rsid w:val="00BA5730"/>
    <w:rsid w:val="00BE5B9C"/>
    <w:rsid w:val="00C37314"/>
    <w:rsid w:val="00C41CD1"/>
    <w:rsid w:val="00C825C0"/>
    <w:rsid w:val="00C908C7"/>
    <w:rsid w:val="00CE66FD"/>
    <w:rsid w:val="00CF1A23"/>
    <w:rsid w:val="00D573B0"/>
    <w:rsid w:val="00DF4176"/>
    <w:rsid w:val="00E86477"/>
    <w:rsid w:val="00F752B2"/>
    <w:rsid w:val="00FE00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A1005"/>
    <w:rPr>
      <w:color w:val="0000FF"/>
      <w:u w:val="single"/>
    </w:rPr>
  </w:style>
  <w:style w:type="character" w:customStyle="1" w:styleId="FootnoteTextChar">
    <w:name w:val="Footnote Text Char"/>
    <w:basedOn w:val="DefaultParagraphFont"/>
    <w:link w:val="FootnoteText"/>
    <w:uiPriority w:val="99"/>
    <w:rsid w:val="005A1005"/>
    <w:rPr>
      <w:sz w:val="22"/>
      <w:lang w:val="fr-FR" w:eastAsia="en-US"/>
    </w:rPr>
  </w:style>
  <w:style w:type="character" w:customStyle="1" w:styleId="TabletextChar">
    <w:name w:val="Table_text Char"/>
    <w:link w:val="Tabletext"/>
    <w:uiPriority w:val="99"/>
    <w:locked/>
    <w:rsid w:val="005A1005"/>
    <w:rPr>
      <w:sz w:val="22"/>
      <w:lang w:val="fr-FR" w:eastAsia="en-US"/>
    </w:rPr>
  </w:style>
  <w:style w:type="character" w:customStyle="1" w:styleId="enumlev10">
    <w:name w:val="enumlev1 Знак"/>
    <w:basedOn w:val="DefaultParagraphFont"/>
    <w:link w:val="enumlev1"/>
    <w:uiPriority w:val="99"/>
    <w:locked/>
    <w:rsid w:val="005A1005"/>
    <w:rPr>
      <w:sz w:val="24"/>
      <w:lang w:val="fr-FR" w:eastAsia="en-US"/>
    </w:rPr>
  </w:style>
  <w:style w:type="character" w:customStyle="1" w:styleId="TableNo0">
    <w:name w:val="Table_No Знак"/>
    <w:basedOn w:val="DefaultParagraphFont"/>
    <w:link w:val="TableNo"/>
    <w:uiPriority w:val="99"/>
    <w:locked/>
    <w:rsid w:val="005A1005"/>
    <w:rPr>
      <w:sz w:val="24"/>
      <w:lang w:val="fr-FR" w:eastAsia="en-US"/>
    </w:rPr>
  </w:style>
  <w:style w:type="character" w:customStyle="1" w:styleId="Tabletitle0">
    <w:name w:val="Table_title Знак"/>
    <w:basedOn w:val="DefaultParagraphFont"/>
    <w:link w:val="Tabletitle"/>
    <w:uiPriority w:val="99"/>
    <w:locked/>
    <w:rsid w:val="005A1005"/>
    <w:rPr>
      <w:b/>
      <w:sz w:val="24"/>
      <w:lang w:val="fr-FR" w:eastAsia="en-US"/>
    </w:rPr>
  </w:style>
  <w:style w:type="character" w:customStyle="1" w:styleId="FiguretitleChar">
    <w:name w:val="Figure_title Char"/>
    <w:basedOn w:val="DefaultParagraphFont"/>
    <w:link w:val="Figuretitle"/>
    <w:uiPriority w:val="99"/>
    <w:locked/>
    <w:rsid w:val="005A1005"/>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5A1005"/>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5A1005"/>
    <w:rPr>
      <w:color w:val="0000FF"/>
      <w:u w:val="single"/>
    </w:rPr>
  </w:style>
  <w:style w:type="character" w:customStyle="1" w:styleId="FootnoteTextChar">
    <w:name w:val="Footnote Text Char"/>
    <w:basedOn w:val="DefaultParagraphFont"/>
    <w:link w:val="FootnoteText"/>
    <w:uiPriority w:val="99"/>
    <w:rsid w:val="005A1005"/>
    <w:rPr>
      <w:sz w:val="22"/>
      <w:lang w:val="fr-FR" w:eastAsia="en-US"/>
    </w:rPr>
  </w:style>
  <w:style w:type="character" w:customStyle="1" w:styleId="TabletextChar">
    <w:name w:val="Table_text Char"/>
    <w:link w:val="Tabletext"/>
    <w:uiPriority w:val="99"/>
    <w:locked/>
    <w:rsid w:val="005A1005"/>
    <w:rPr>
      <w:sz w:val="22"/>
      <w:lang w:val="fr-FR" w:eastAsia="en-US"/>
    </w:rPr>
  </w:style>
  <w:style w:type="character" w:customStyle="1" w:styleId="enumlev10">
    <w:name w:val="enumlev1 Знак"/>
    <w:basedOn w:val="DefaultParagraphFont"/>
    <w:link w:val="enumlev1"/>
    <w:uiPriority w:val="99"/>
    <w:locked/>
    <w:rsid w:val="005A1005"/>
    <w:rPr>
      <w:sz w:val="24"/>
      <w:lang w:val="fr-FR" w:eastAsia="en-US"/>
    </w:rPr>
  </w:style>
  <w:style w:type="character" w:customStyle="1" w:styleId="TableNo0">
    <w:name w:val="Table_No Знак"/>
    <w:basedOn w:val="DefaultParagraphFont"/>
    <w:link w:val="TableNo"/>
    <w:uiPriority w:val="99"/>
    <w:locked/>
    <w:rsid w:val="005A1005"/>
    <w:rPr>
      <w:sz w:val="24"/>
      <w:lang w:val="fr-FR" w:eastAsia="en-US"/>
    </w:rPr>
  </w:style>
  <w:style w:type="character" w:customStyle="1" w:styleId="Tabletitle0">
    <w:name w:val="Table_title Знак"/>
    <w:basedOn w:val="DefaultParagraphFont"/>
    <w:link w:val="Tabletitle"/>
    <w:uiPriority w:val="99"/>
    <w:locked/>
    <w:rsid w:val="005A1005"/>
    <w:rPr>
      <w:b/>
      <w:sz w:val="24"/>
      <w:lang w:val="fr-FR" w:eastAsia="en-US"/>
    </w:rPr>
  </w:style>
  <w:style w:type="character" w:customStyle="1" w:styleId="FiguretitleChar">
    <w:name w:val="Figure_title Char"/>
    <w:basedOn w:val="DefaultParagraphFont"/>
    <w:link w:val="Figuretitle"/>
    <w:uiPriority w:val="99"/>
    <w:locked/>
    <w:rsid w:val="005A1005"/>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5A1005"/>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73E8-7686-48B8-A8B2-0780EB5B5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TotalTime>
  <Pages>16</Pages>
  <Words>3569</Words>
  <Characters>20332</Characters>
  <Application>Microsoft Office Word</Application>
  <DocSecurity>0</DocSecurity>
  <Lines>753</Lines>
  <Paragraphs>7</Paragraphs>
  <ScaleCrop>false</ScaleCrop>
  <HeadingPairs>
    <vt:vector size="2" baseType="variant">
      <vt:variant>
        <vt:lpstr>Title</vt:lpstr>
      </vt:variant>
      <vt:variant>
        <vt:i4>1</vt:i4>
      </vt:variant>
    </vt:vector>
  </HeadingPairs>
  <TitlesOfParts>
    <vt:vector size="1" baseType="lpstr">
      <vt:lpstr> - </vt:lpstr>
    </vt:vector>
  </TitlesOfParts>
  <Company>ITU</Company>
  <LinksUpToDate>false</LinksUpToDate>
  <CharactersWithSpaces>23894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11.12.2013, ITU51007790</dc:description>
  <cp:lastModifiedBy>Gachet, Christelle</cp:lastModifiedBy>
  <cp:revision>28</cp:revision>
  <cp:lastPrinted>2005-02-10T15:54:00Z</cp:lastPrinted>
  <dcterms:created xsi:type="dcterms:W3CDTF">2013-12-02T13:54:00Z</dcterms:created>
  <dcterms:modified xsi:type="dcterms:W3CDTF">2014-01-09T10:19:00Z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11. décembre 2013</vt:lpwstr>
  </property>
</Properties>
</file>